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160655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9" w:lineRule="exact"/>
        <w:rPr>
          <w:sz w:val="24"/>
          <w:szCs w:val="24"/>
          <w:color w:val="auto"/>
        </w:rPr>
      </w:pPr>
    </w:p>
    <w:p>
      <w:pPr>
        <w:jc w:val="center"/>
        <w:ind w:right="-840"/>
        <w:spacing w:after="0"/>
        <w:rPr>
          <w:sz w:val="20"/>
          <w:szCs w:val="20"/>
          <w:color w:val="auto"/>
        </w:rPr>
      </w:pPr>
      <w:r>
        <w:rPr>
          <w:rFonts w:ascii="Arial" w:cs="Arial" w:eastAsia="Arial" w:hAnsi="Arial"/>
          <w:sz w:val="25"/>
          <w:szCs w:val="25"/>
          <w:color w:val="auto"/>
        </w:rPr>
        <w:t>SCHEDULE 14A</w:t>
      </w:r>
    </w:p>
    <w:p>
      <w:pPr>
        <w:spacing w:after="0" w:line="12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126365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1" w:lineRule="exact"/>
        <w:rPr>
          <w:sz w:val="24"/>
          <w:szCs w:val="24"/>
          <w:color w:val="auto"/>
        </w:rPr>
      </w:pPr>
    </w:p>
    <w:p>
      <w:pPr>
        <w:ind w:left="8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5" w:lineRule="exact"/>
        <w:rPr>
          <w:sz w:val="24"/>
          <w:szCs w:val="24"/>
          <w:color w:val="auto"/>
        </w:rPr>
      </w:pPr>
    </w:p>
    <w:p>
      <w:pPr>
        <w:ind w:left="88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240" w:hanging="37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1240" w:hanging="37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8" w:lineRule="exact"/>
        <w:rPr>
          <w:rFonts w:ascii="MS PGothic" w:cs="MS PGothic" w:eastAsia="MS PGothic" w:hAnsi="MS PGothic"/>
          <w:sz w:val="18"/>
          <w:szCs w:val="18"/>
          <w:color w:val="auto"/>
        </w:rPr>
      </w:pPr>
    </w:p>
    <w:p>
      <w:pPr>
        <w:ind w:left="88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5" w:lineRule="exact"/>
        <w:rPr>
          <w:rFonts w:ascii="MS PGothic" w:cs="MS PGothic" w:eastAsia="MS PGothic" w:hAnsi="MS PGothic"/>
          <w:sz w:val="18"/>
          <w:szCs w:val="18"/>
          <w:color w:val="auto"/>
        </w:rPr>
      </w:pPr>
    </w:p>
    <w:p>
      <w:pPr>
        <w:ind w:left="1240" w:hanging="37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240" w:hanging="37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2754630</wp:posOffset>
            </wp:positionH>
            <wp:positionV relativeFrom="paragraph">
              <wp:posOffset>111760</wp:posOffset>
            </wp:positionV>
            <wp:extent cx="129413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13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840"/>
        <w:spacing w:after="0"/>
        <w:rPr>
          <w:sz w:val="20"/>
          <w:szCs w:val="20"/>
          <w:color w:val="auto"/>
        </w:rPr>
      </w:pPr>
      <w:r>
        <w:rPr>
          <w:rFonts w:ascii="Arial" w:cs="Arial" w:eastAsia="Arial" w:hAnsi="Arial"/>
          <w:sz w:val="32"/>
          <w:szCs w:val="32"/>
          <w:b w:val="1"/>
          <w:bCs w:val="1"/>
          <w:color w:val="auto"/>
        </w:rPr>
        <w:t>Weatherford International plc</w:t>
      </w:r>
    </w:p>
    <w:p>
      <w:pPr>
        <w:spacing w:after="0" w:line="66"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551180</wp:posOffset>
            </wp:positionH>
            <wp:positionV relativeFrom="paragraph">
              <wp:posOffset>52070</wp:posOffset>
            </wp:positionV>
            <wp:extent cx="5700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84"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17" w:lineRule="exact"/>
        <w:rPr>
          <w:sz w:val="24"/>
          <w:szCs w:val="24"/>
          <w:color w:val="auto"/>
        </w:rPr>
      </w:pPr>
    </w:p>
    <w:p>
      <w:pPr>
        <w:ind w:left="880"/>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1240" w:hanging="370"/>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240" w:hanging="370"/>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240" w:hanging="370"/>
        <w:spacing w:after="0"/>
        <w:tabs>
          <w:tab w:leader="none" w:pos="12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2626995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7" w:lineRule="exact"/>
        <w:rPr>
          <w:sz w:val="20"/>
          <w:szCs w:val="20"/>
          <w:color w:val="auto"/>
        </w:rPr>
      </w:pPr>
    </w:p>
    <w:p>
      <w:pPr>
        <w:ind w:left="880"/>
        <w:spacing w:after="0"/>
        <w:rPr>
          <w:sz w:val="20"/>
          <w:szCs w:val="20"/>
          <w:color w:val="auto"/>
        </w:rPr>
      </w:pPr>
      <w:r>
        <w:rPr>
          <w:rFonts w:ascii="Arial" w:cs="Arial" w:eastAsia="Arial" w:hAnsi="Arial"/>
          <w:sz w:val="29"/>
          <w:szCs w:val="2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2766060</wp:posOffset>
            </wp:positionV>
            <wp:extent cx="316865"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8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40"/>
        <w:spacing w:after="0"/>
        <w:rPr>
          <w:sz w:val="20"/>
          <w:szCs w:val="20"/>
          <w:color w:val="auto"/>
        </w:rPr>
      </w:pPr>
      <w:r>
        <w:rPr>
          <w:rFonts w:ascii="Arial" w:cs="Arial" w:eastAsia="Arial" w:hAnsi="Arial"/>
          <w:sz w:val="29"/>
          <w:szCs w:val="29"/>
          <w:color w:val="BA0C2F"/>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177165</wp:posOffset>
            </wp:positionV>
            <wp:extent cx="505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740"/>
        <w:spacing w:after="0"/>
        <w:rPr>
          <w:sz w:val="20"/>
          <w:szCs w:val="20"/>
          <w:color w:val="auto"/>
        </w:rPr>
      </w:pPr>
      <w:r>
        <w:rPr>
          <w:rFonts w:ascii="Arial" w:cs="Arial" w:eastAsia="Arial" w:hAnsi="Arial"/>
          <w:sz w:val="46"/>
          <w:szCs w:val="46"/>
          <w:b w:val="1"/>
          <w:bCs w:val="1"/>
          <w:color w:val="BA0C2F"/>
        </w:rPr>
        <w:t xml:space="preserve">PROXY STATEMENT </w:t>
      </w:r>
      <w:r>
        <w:rPr>
          <w:rFonts w:ascii="Arial" w:cs="Arial" w:eastAsia="Arial" w:hAnsi="Arial"/>
          <w:sz w:val="46"/>
          <w:szCs w:val="46"/>
          <w:color w:val="BA0C2F"/>
        </w:rPr>
        <w:t>2022</w:t>
      </w:r>
      <w:r>
        <w:rPr>
          <w:rFonts w:ascii="Times New Roman" w:cs="Times New Roman" w:eastAsia="Times New Roman" w:hAnsi="Times New Roman"/>
          <w:sz w:val="28"/>
          <w:szCs w:val="28"/>
          <w:color w:val="000000"/>
        </w:rPr>
        <w:t>​</w:t>
      </w:r>
    </w:p>
    <w:p>
      <w:pPr>
        <w:spacing w:after="0" w:line="302" w:lineRule="exact"/>
        <w:rPr>
          <w:sz w:val="20"/>
          <w:szCs w:val="20"/>
          <w:color w:val="auto"/>
        </w:rPr>
      </w:pPr>
    </w:p>
    <w:p>
      <w:pPr>
        <w:ind w:left="1740"/>
        <w:spacing w:after="0"/>
        <w:rPr>
          <w:sz w:val="20"/>
          <w:szCs w:val="20"/>
          <w:color w:val="auto"/>
        </w:rPr>
      </w:pPr>
      <w:r>
        <w:rPr>
          <w:rFonts w:ascii="Arial" w:cs="Arial" w:eastAsia="Arial" w:hAnsi="Arial"/>
          <w:sz w:val="29"/>
          <w:szCs w:val="29"/>
          <w:color w:val="BA0C2F"/>
        </w:rPr>
        <w:t>NOTICE OF ANNUAL GENERAL</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29"/>
          <w:szCs w:val="29"/>
          <w:color w:val="BA0C2F"/>
        </w:rPr>
        <w:t>MEETING OF SHAREHOLDERS</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29"/>
          <w:szCs w:val="29"/>
          <w:b w:val="1"/>
          <w:bCs w:val="1"/>
          <w:color w:val="BA0C2F"/>
        </w:rPr>
        <w:t>To be held on June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332740</wp:posOffset>
            </wp:positionV>
            <wp:extent cx="2331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740"/>
        <w:spacing w:after="0"/>
        <w:rPr>
          <w:sz w:val="20"/>
          <w:szCs w:val="20"/>
          <w:color w:val="auto"/>
        </w:rPr>
      </w:pPr>
      <w:r>
        <w:rPr>
          <w:rFonts w:ascii="Arial" w:cs="Arial" w:eastAsia="Arial" w:hAnsi="Arial"/>
          <w:sz w:val="47"/>
          <w:szCs w:val="47"/>
          <w:b w:val="1"/>
          <w:bCs w:val="1"/>
          <w:color w:val="BA0C2F"/>
        </w:rPr>
        <w:t xml:space="preserve">FORM 10-K </w:t>
      </w:r>
      <w:r>
        <w:rPr>
          <w:rFonts w:ascii="Arial" w:cs="Arial" w:eastAsia="Arial" w:hAnsi="Arial"/>
          <w:sz w:val="47"/>
          <w:szCs w:val="47"/>
          <w:color w:val="BA0C2F"/>
        </w:rPr>
        <w:t>2021</w:t>
      </w:r>
    </w:p>
    <w:p>
      <w:pPr>
        <w:spacing w:after="0" w:line="223" w:lineRule="exact"/>
        <w:rPr>
          <w:sz w:val="20"/>
          <w:szCs w:val="20"/>
          <w:color w:val="auto"/>
        </w:rPr>
      </w:pPr>
    </w:p>
    <w:p>
      <w:pPr>
        <w:ind w:left="1740"/>
        <w:spacing w:after="0"/>
        <w:rPr>
          <w:sz w:val="20"/>
          <w:szCs w:val="20"/>
          <w:color w:val="auto"/>
        </w:rPr>
      </w:pPr>
      <w:r>
        <w:rPr>
          <w:rFonts w:ascii="Arial" w:cs="Arial" w:eastAsia="Arial" w:hAnsi="Arial"/>
          <w:sz w:val="29"/>
          <w:szCs w:val="29"/>
          <w:color w:val="BA0C2F"/>
        </w:rPr>
        <w:t>FOR THE YEAR ENDED</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29"/>
          <w:szCs w:val="29"/>
          <w:color w:val="BA0C2F"/>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2512695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7025005" cy="903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5005" cy="90309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311" w:lineRule="exact"/>
        <w:rPr>
          <w:sz w:val="20"/>
          <w:szCs w:val="20"/>
          <w:color w:val="auto"/>
        </w:rPr>
      </w:pPr>
    </w:p>
    <w:p>
      <w:pPr>
        <w:ind w:left="440" w:right="1260"/>
        <w:spacing w:after="0" w:line="252" w:lineRule="auto"/>
        <w:rPr>
          <w:sz w:val="20"/>
          <w:szCs w:val="20"/>
          <w:color w:val="auto"/>
        </w:rPr>
      </w:pPr>
      <w:r>
        <w:rPr>
          <w:rFonts w:ascii="Arial" w:cs="Arial" w:eastAsia="Arial" w:hAnsi="Arial"/>
          <w:sz w:val="65"/>
          <w:szCs w:val="65"/>
          <w:b w:val="1"/>
          <w:bCs w:val="1"/>
          <w:color w:val="BA0C2F"/>
        </w:rPr>
        <w:t>AGENDA ITEMS FOR YOUR VOTE</w:t>
      </w:r>
    </w:p>
    <w:tbl>
      <w:tblPr>
        <w:tblLayout w:type="fixed"/>
        <w:tblInd w:w="440" w:type="dxa"/>
        <w:tblCellMar>
          <w:top w:w="0" w:type="dxa"/>
          <w:left w:w="0" w:type="dxa"/>
          <w:bottom w:w="0" w:type="dxa"/>
          <w:right w:w="0" w:type="dxa"/>
        </w:tblCellMar>
      </w:tblPr>
      <w:tr>
        <w:trPr>
          <w:trHeight w:val="172"/>
        </w:trPr>
        <w:tc>
          <w:tcPr>
            <w:tcW w:w="2680" w:type="dxa"/>
            <w:vAlign w:val="bottom"/>
            <w:gridSpan w:val="3"/>
            <w:vMerge w:val="restart"/>
          </w:tcPr>
          <w:p>
            <w:pPr>
              <w:spacing w:after="0"/>
              <w:rPr>
                <w:sz w:val="20"/>
                <w:szCs w:val="20"/>
                <w:color w:val="auto"/>
              </w:rPr>
            </w:pPr>
            <w:r>
              <w:rPr>
                <w:rFonts w:ascii="Arial" w:cs="Arial" w:eastAsia="Arial" w:hAnsi="Arial"/>
                <w:sz w:val="30"/>
                <w:szCs w:val="30"/>
                <w:b w:val="1"/>
                <w:bCs w:val="1"/>
                <w:color w:val="323232"/>
                <w:vertAlign w:val="subscript"/>
              </w:rPr>
              <w:t>​</w:t>
            </w:r>
            <w:r>
              <w:rPr>
                <w:rFonts w:ascii="Arial" w:cs="Arial" w:eastAsia="Arial" w:hAnsi="Arial"/>
                <w:sz w:val="15"/>
                <w:szCs w:val="15"/>
                <w:b w:val="1"/>
                <w:bCs w:val="1"/>
                <w:color w:val="323232"/>
              </w:rPr>
              <w:t>Items</w:t>
            </w:r>
          </w:p>
        </w:tc>
        <w:tc>
          <w:tcPr>
            <w:tcW w:w="1540" w:type="dxa"/>
            <w:vAlign w:val="bottom"/>
          </w:tcPr>
          <w:p>
            <w:pPr>
              <w:ind w:left="140"/>
              <w:spacing w:after="0"/>
              <w:rPr>
                <w:sz w:val="20"/>
                <w:szCs w:val="20"/>
                <w:color w:val="auto"/>
              </w:rPr>
            </w:pPr>
            <w:r>
              <w:rPr>
                <w:rFonts w:ascii="Arial" w:cs="Arial" w:eastAsia="Arial" w:hAnsi="Arial"/>
                <w:sz w:val="15"/>
                <w:szCs w:val="15"/>
                <w:b w:val="1"/>
                <w:bCs w:val="1"/>
                <w:color w:val="323232"/>
              </w:rPr>
              <w:t>Board</w:t>
            </w:r>
          </w:p>
        </w:tc>
        <w:tc>
          <w:tcPr>
            <w:tcW w:w="4720" w:type="dxa"/>
            <w:vAlign w:val="bottom"/>
            <w:vMerge w:val="restart"/>
          </w:tcPr>
          <w:p>
            <w:pPr>
              <w:ind w:left="120"/>
              <w:spacing w:after="0"/>
              <w:rPr>
                <w:sz w:val="20"/>
                <w:szCs w:val="20"/>
                <w:color w:val="auto"/>
              </w:rPr>
            </w:pPr>
            <w:r>
              <w:rPr>
                <w:rFonts w:ascii="Arial" w:cs="Arial" w:eastAsia="Arial" w:hAnsi="Arial"/>
                <w:sz w:val="30"/>
                <w:szCs w:val="30"/>
                <w:b w:val="1"/>
                <w:bCs w:val="1"/>
                <w:color w:val="323232"/>
                <w:vertAlign w:val="subscript"/>
              </w:rPr>
              <w:t>​​</w:t>
            </w:r>
            <w:r>
              <w:rPr>
                <w:rFonts w:ascii="Arial" w:cs="Arial" w:eastAsia="Arial" w:hAnsi="Arial"/>
                <w:sz w:val="15"/>
                <w:szCs w:val="15"/>
                <w:b w:val="1"/>
                <w:bCs w:val="1"/>
                <w:color w:val="323232"/>
              </w:rPr>
              <w:t>Reason for Recommendation</w:t>
            </w:r>
          </w:p>
        </w:tc>
        <w:tc>
          <w:tcPr>
            <w:tcW w:w="220" w:type="dxa"/>
            <w:vAlign w:val="bottom"/>
          </w:tcPr>
          <w:p>
            <w:pPr>
              <w:spacing w:after="0"/>
              <w:rPr>
                <w:sz w:val="14"/>
                <w:szCs w:val="14"/>
                <w:color w:val="auto"/>
              </w:rPr>
            </w:pPr>
          </w:p>
        </w:tc>
        <w:tc>
          <w:tcPr>
            <w:tcW w:w="640" w:type="dxa"/>
            <w:vAlign w:val="bottom"/>
          </w:tcPr>
          <w:p>
            <w:pPr>
              <w:jc w:val="right"/>
              <w:ind w:right="35"/>
              <w:spacing w:after="0"/>
              <w:rPr>
                <w:sz w:val="20"/>
                <w:szCs w:val="20"/>
                <w:color w:val="auto"/>
              </w:rPr>
            </w:pPr>
            <w:r>
              <w:rPr>
                <w:rFonts w:ascii="Arial" w:cs="Arial" w:eastAsia="Arial" w:hAnsi="Arial"/>
                <w:sz w:val="15"/>
                <w:szCs w:val="15"/>
                <w:b w:val="1"/>
                <w:bCs w:val="1"/>
                <w:color w:val="323232"/>
              </w:rPr>
              <w:t>Proxy</w:t>
            </w:r>
          </w:p>
        </w:tc>
        <w:tc>
          <w:tcPr>
            <w:tcW w:w="0" w:type="dxa"/>
            <w:vAlign w:val="bottom"/>
          </w:tcPr>
          <w:p>
            <w:pPr>
              <w:spacing w:after="0"/>
              <w:rPr>
                <w:sz w:val="1"/>
                <w:szCs w:val="1"/>
                <w:color w:val="auto"/>
              </w:rPr>
            </w:pPr>
          </w:p>
        </w:tc>
      </w:tr>
      <w:tr>
        <w:trPr>
          <w:trHeight w:val="222"/>
        </w:trPr>
        <w:tc>
          <w:tcPr>
            <w:tcW w:w="2680" w:type="dxa"/>
            <w:vAlign w:val="bottom"/>
            <w:tcBorders>
              <w:bottom w:val="single" w:sz="8" w:color="B2B2B2"/>
            </w:tcBorders>
            <w:gridSpan w:val="3"/>
            <w:vMerge w:val="continue"/>
          </w:tcPr>
          <w:p>
            <w:pPr>
              <w:spacing w:after="0"/>
              <w:rPr>
                <w:sz w:val="19"/>
                <w:szCs w:val="19"/>
                <w:color w:val="auto"/>
              </w:rPr>
            </w:pPr>
          </w:p>
        </w:tc>
        <w:tc>
          <w:tcPr>
            <w:tcW w:w="1540" w:type="dxa"/>
            <w:vAlign w:val="bottom"/>
            <w:tcBorders>
              <w:bottom w:val="single" w:sz="8" w:color="B2B2B2"/>
            </w:tcBorders>
          </w:tcPr>
          <w:p>
            <w:pPr>
              <w:ind w:left="40"/>
              <w:spacing w:after="0"/>
              <w:rPr>
                <w:sz w:val="20"/>
                <w:szCs w:val="20"/>
                <w:color w:val="auto"/>
              </w:rPr>
            </w:pPr>
            <w:r>
              <w:rPr>
                <w:rFonts w:ascii="Arial" w:cs="Arial" w:eastAsia="Arial" w:hAnsi="Arial"/>
                <w:sz w:val="15"/>
                <w:szCs w:val="15"/>
                <w:b w:val="1"/>
                <w:bCs w:val="1"/>
                <w:color w:val="323232"/>
              </w:rPr>
              <w:t>​​Recommendation</w:t>
            </w:r>
          </w:p>
        </w:tc>
        <w:tc>
          <w:tcPr>
            <w:tcW w:w="4720" w:type="dxa"/>
            <w:vAlign w:val="bottom"/>
            <w:tcBorders>
              <w:bottom w:val="single" w:sz="8" w:color="B2B2B2"/>
            </w:tcBorders>
            <w:vMerge w:val="continue"/>
          </w:tcPr>
          <w:p>
            <w:pPr>
              <w:spacing w:after="0"/>
              <w:rPr>
                <w:sz w:val="19"/>
                <w:szCs w:val="19"/>
                <w:color w:val="auto"/>
              </w:rPr>
            </w:pPr>
          </w:p>
        </w:tc>
        <w:tc>
          <w:tcPr>
            <w:tcW w:w="220" w:type="dxa"/>
            <w:vAlign w:val="bottom"/>
            <w:tcBorders>
              <w:bottom w:val="single" w:sz="8" w:color="B2B2B2"/>
            </w:tcBorders>
          </w:tcPr>
          <w:p>
            <w:pPr>
              <w:ind w:left="40"/>
              <w:spacing w:after="0"/>
              <w:rPr>
                <w:sz w:val="20"/>
                <w:szCs w:val="20"/>
                <w:color w:val="auto"/>
              </w:rPr>
            </w:pPr>
            <w:r>
              <w:rPr>
                <w:rFonts w:ascii="Arial" w:cs="Arial" w:eastAsia="Arial" w:hAnsi="Arial"/>
                <w:sz w:val="15"/>
                <w:szCs w:val="15"/>
                <w:b w:val="1"/>
                <w:bCs w:val="1"/>
                <w:color w:val="323232"/>
              </w:rPr>
              <w:t>​​</w:t>
            </w: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5"/>
                <w:szCs w:val="15"/>
                <w:b w:val="1"/>
                <w:bCs w:val="1"/>
                <w:color w:val="323232"/>
              </w:rPr>
              <w:t>Page​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vMerge w:val="restart"/>
          </w:tcPr>
          <w:p>
            <w:pPr>
              <w:ind w:left="140"/>
              <w:spacing w:after="0"/>
              <w:rPr>
                <w:sz w:val="20"/>
                <w:szCs w:val="20"/>
                <w:color w:val="auto"/>
              </w:rPr>
            </w:pPr>
            <w:r>
              <w:rPr>
                <w:rFonts w:ascii="Arial" w:cs="Arial" w:eastAsia="Arial" w:hAnsi="Arial"/>
                <w:sz w:val="18"/>
                <w:szCs w:val="18"/>
                <w:b w:val="1"/>
                <w:bCs w:val="1"/>
                <w:color w:val="BA0C2F"/>
              </w:rPr>
              <w:t>FOR</w:t>
            </w:r>
          </w:p>
        </w:tc>
        <w:tc>
          <w:tcPr>
            <w:tcW w:w="4720" w:type="dxa"/>
            <w:vAlign w:val="bottom"/>
          </w:tcPr>
          <w:p>
            <w:pPr>
              <w:ind w:left="220"/>
              <w:spacing w:after="0"/>
              <w:rPr>
                <w:sz w:val="20"/>
                <w:szCs w:val="20"/>
                <w:color w:val="auto"/>
              </w:rPr>
            </w:pPr>
            <w:r>
              <w:rPr>
                <w:rFonts w:ascii="Arial" w:cs="Arial" w:eastAsia="Arial" w:hAnsi="Arial"/>
                <w:sz w:val="18"/>
                <w:szCs w:val="18"/>
                <w:color w:val="323232"/>
              </w:rPr>
              <w:t>The Board of Directors believes its members collectively</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vMerge w:val="restart"/>
          </w:tcPr>
          <w:p>
            <w:pPr>
              <w:spacing w:after="0" w:line="181" w:lineRule="exact"/>
              <w:rPr>
                <w:sz w:val="20"/>
                <w:szCs w:val="20"/>
                <w:color w:val="auto"/>
              </w:rPr>
            </w:pPr>
            <w:r>
              <w:rPr>
                <w:rFonts w:ascii="Arial" w:cs="Arial" w:eastAsia="Arial" w:hAnsi="Arial"/>
                <w:sz w:val="18"/>
                <w:szCs w:val="18"/>
                <w:color w:val="323232"/>
              </w:rPr>
              <w:t>​</w:t>
            </w:r>
          </w:p>
        </w:tc>
        <w:tc>
          <w:tcPr>
            <w:tcW w:w="180" w:type="dxa"/>
            <w:vAlign w:val="bottom"/>
          </w:tcPr>
          <w:p>
            <w:pPr>
              <w:spacing w:after="0"/>
              <w:rPr>
                <w:sz w:val="9"/>
                <w:szCs w:val="9"/>
                <w:color w:val="auto"/>
              </w:rPr>
            </w:pPr>
          </w:p>
        </w:tc>
        <w:tc>
          <w:tcPr>
            <w:tcW w:w="2440" w:type="dxa"/>
            <w:vAlign w:val="bottom"/>
            <w:vMerge w:val="restart"/>
          </w:tcPr>
          <w:p>
            <w:pPr>
              <w:ind w:left="20"/>
              <w:spacing w:after="0" w:line="181" w:lineRule="exact"/>
              <w:rPr>
                <w:sz w:val="20"/>
                <w:szCs w:val="20"/>
                <w:color w:val="auto"/>
              </w:rPr>
            </w:pPr>
            <w:r>
              <w:rPr>
                <w:rFonts w:ascii="Arial" w:cs="Arial" w:eastAsia="Arial" w:hAnsi="Arial"/>
                <w:sz w:val="18"/>
                <w:szCs w:val="18"/>
                <w:color w:val="323232"/>
              </w:rPr>
              <w:t>​​</w:t>
            </w:r>
          </w:p>
        </w:tc>
        <w:tc>
          <w:tcPr>
            <w:tcW w:w="1540" w:type="dxa"/>
            <w:vAlign w:val="bottom"/>
            <w:vMerge w:val="continue"/>
          </w:tcPr>
          <w:p>
            <w:pPr>
              <w:spacing w:after="0"/>
              <w:rPr>
                <w:sz w:val="9"/>
                <w:szCs w:val="9"/>
                <w:color w:val="auto"/>
              </w:rPr>
            </w:pPr>
          </w:p>
        </w:tc>
        <w:tc>
          <w:tcPr>
            <w:tcW w:w="4720" w:type="dxa"/>
            <w:vAlign w:val="bottom"/>
            <w:vMerge w:val="restart"/>
          </w:tcPr>
          <w:p>
            <w:pPr>
              <w:ind w:left="120"/>
              <w:spacing w:after="0" w:line="181" w:lineRule="exact"/>
              <w:rPr>
                <w:sz w:val="20"/>
                <w:szCs w:val="20"/>
                <w:color w:val="auto"/>
              </w:rPr>
            </w:pPr>
            <w:r>
              <w:rPr>
                <w:rFonts w:ascii="Arial" w:cs="Arial" w:eastAsia="Arial" w:hAnsi="Arial"/>
                <w:sz w:val="20"/>
                <w:szCs w:val="20"/>
                <w:color w:val="323232"/>
                <w:vertAlign w:val="subscript"/>
              </w:rPr>
              <w:t>​​</w:t>
            </w:r>
            <w:r>
              <w:rPr>
                <w:rFonts w:ascii="Arial" w:cs="Arial" w:eastAsia="Arial" w:hAnsi="Arial"/>
                <w:sz w:val="12"/>
                <w:szCs w:val="12"/>
                <w:color w:val="323232"/>
              </w:rPr>
              <w:t>have the skills and expertise needed to successfully</w:t>
            </w:r>
          </w:p>
        </w:tc>
        <w:tc>
          <w:tcPr>
            <w:tcW w:w="220" w:type="dxa"/>
            <w:vAlign w:val="bottom"/>
            <w:vMerge w:val="restart"/>
          </w:tcPr>
          <w:p>
            <w:pPr>
              <w:ind w:left="40"/>
              <w:spacing w:after="0" w:line="181" w:lineRule="exact"/>
              <w:rPr>
                <w:sz w:val="20"/>
                <w:szCs w:val="20"/>
                <w:color w:val="auto"/>
              </w:rPr>
            </w:pPr>
            <w:r>
              <w:rPr>
                <w:rFonts w:ascii="Arial" w:cs="Arial" w:eastAsia="Arial" w:hAnsi="Arial"/>
                <w:sz w:val="18"/>
                <w:szCs w:val="18"/>
                <w:color w:val="323232"/>
              </w:rPr>
              <w:t>​​</w:t>
            </w:r>
          </w:p>
        </w:tc>
        <w:tc>
          <w:tcPr>
            <w:tcW w:w="640" w:type="dxa"/>
            <w:vAlign w:val="bottom"/>
            <w:vMerge w:val="restart"/>
          </w:tcPr>
          <w:p>
            <w:pPr>
              <w:jc w:val="right"/>
              <w:spacing w:after="0" w:line="181" w:lineRule="exact"/>
              <w:rPr>
                <w:sz w:val="20"/>
                <w:szCs w:val="20"/>
                <w:color w:val="auto"/>
              </w:rPr>
            </w:pPr>
            <w:r>
              <w:rPr>
                <w:rFonts w:ascii="Arial" w:cs="Arial" w:eastAsia="Arial" w:hAnsi="Arial"/>
                <w:sz w:val="18"/>
                <w:szCs w:val="18"/>
                <w:b w:val="1"/>
                <w:bCs w:val="1"/>
                <w:color w:val="323232"/>
              </w:rPr>
              <w:t>5</w:t>
            </w:r>
            <w:r>
              <w:rPr>
                <w:rFonts w:ascii="Arial" w:cs="Arial" w:eastAsia="Arial" w:hAnsi="Arial"/>
                <w:sz w:val="18"/>
                <w:szCs w:val="18"/>
                <w:color w:val="323232"/>
              </w:rPr>
              <w:t>​</w:t>
            </w:r>
          </w:p>
        </w:tc>
        <w:tc>
          <w:tcPr>
            <w:tcW w:w="0" w:type="dxa"/>
            <w:vAlign w:val="bottom"/>
          </w:tcPr>
          <w:p>
            <w:pPr>
              <w:spacing w:after="0"/>
              <w:rPr>
                <w:sz w:val="1"/>
                <w:szCs w:val="1"/>
                <w:color w:val="auto"/>
              </w:rPr>
            </w:pPr>
          </w:p>
        </w:tc>
      </w:tr>
      <w:tr>
        <w:trPr>
          <w:trHeight w:val="73"/>
        </w:trPr>
        <w:tc>
          <w:tcPr>
            <w:tcW w:w="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440" w:type="dxa"/>
            <w:vAlign w:val="bottom"/>
            <w:vMerge w:val="continue"/>
          </w:tcPr>
          <w:p>
            <w:pPr>
              <w:spacing w:after="0"/>
              <w:rPr>
                <w:sz w:val="6"/>
                <w:szCs w:val="6"/>
                <w:color w:val="auto"/>
              </w:rPr>
            </w:pPr>
          </w:p>
        </w:tc>
        <w:tc>
          <w:tcPr>
            <w:tcW w:w="1540" w:type="dxa"/>
            <w:vAlign w:val="bottom"/>
          </w:tcPr>
          <w:p>
            <w:pPr>
              <w:ind w:left="40"/>
              <w:spacing w:after="0" w:line="73" w:lineRule="exact"/>
              <w:rPr>
                <w:sz w:val="20"/>
                <w:szCs w:val="20"/>
                <w:color w:val="auto"/>
              </w:rPr>
            </w:pPr>
            <w:r>
              <w:rPr>
                <w:rFonts w:ascii="Arial" w:cs="Arial" w:eastAsia="Arial" w:hAnsi="Arial"/>
                <w:sz w:val="8"/>
                <w:szCs w:val="8"/>
                <w:color w:val="323232"/>
              </w:rPr>
              <w:t>​​each</w:t>
            </w:r>
          </w:p>
        </w:tc>
        <w:tc>
          <w:tcPr>
            <w:tcW w:w="47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C83D59"/>
                <w:w w:val="79"/>
              </w:rPr>
              <w:t>1.</w:t>
            </w:r>
          </w:p>
        </w:tc>
        <w:tc>
          <w:tcPr>
            <w:tcW w:w="2440" w:type="dxa"/>
            <w:vAlign w:val="bottom"/>
          </w:tcPr>
          <w:p>
            <w:pPr>
              <w:ind w:left="80"/>
              <w:spacing w:after="0"/>
              <w:rPr>
                <w:sz w:val="20"/>
                <w:szCs w:val="20"/>
                <w:color w:val="auto"/>
              </w:rPr>
            </w:pPr>
            <w:r>
              <w:rPr>
                <w:rFonts w:ascii="Arial" w:cs="Arial" w:eastAsia="Arial" w:hAnsi="Arial"/>
                <w:sz w:val="18"/>
                <w:szCs w:val="18"/>
                <w:color w:val="323232"/>
              </w:rPr>
              <w:t>Election of Directors</w:t>
            </w:r>
          </w:p>
        </w:tc>
        <w:tc>
          <w:tcPr>
            <w:tcW w:w="1540" w:type="dxa"/>
            <w:vAlign w:val="bottom"/>
            <w:vMerge w:val="restart"/>
          </w:tcPr>
          <w:p>
            <w:pPr>
              <w:ind w:left="140"/>
              <w:spacing w:after="0"/>
              <w:rPr>
                <w:sz w:val="20"/>
                <w:szCs w:val="20"/>
                <w:color w:val="auto"/>
              </w:rPr>
            </w:pPr>
            <w:r>
              <w:rPr>
                <w:rFonts w:ascii="Arial" w:cs="Arial" w:eastAsia="Arial" w:hAnsi="Arial"/>
                <w:sz w:val="18"/>
                <w:szCs w:val="18"/>
                <w:color w:val="323232"/>
              </w:rPr>
              <w:t>nominee</w:t>
            </w:r>
          </w:p>
        </w:tc>
        <w:tc>
          <w:tcPr>
            <w:tcW w:w="4720" w:type="dxa"/>
            <w:vAlign w:val="bottom"/>
          </w:tcPr>
          <w:p>
            <w:pPr>
              <w:ind w:left="220"/>
              <w:spacing w:after="0"/>
              <w:rPr>
                <w:sz w:val="20"/>
                <w:szCs w:val="20"/>
                <w:color w:val="auto"/>
              </w:rPr>
            </w:pPr>
            <w:r>
              <w:rPr>
                <w:rFonts w:ascii="Arial" w:cs="Arial" w:eastAsia="Arial" w:hAnsi="Arial"/>
                <w:sz w:val="18"/>
                <w:szCs w:val="18"/>
                <w:color w:val="323232"/>
                <w:w w:val="99"/>
              </w:rPr>
              <w:t>continue to oversee the implementation of Weatherford’s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4720" w:type="dxa"/>
            <w:vAlign w:val="bottom"/>
            <w:vMerge w:val="restart"/>
          </w:tcPr>
          <w:p>
            <w:pPr>
              <w:ind w:left="220"/>
              <w:spacing w:after="0"/>
              <w:rPr>
                <w:sz w:val="20"/>
                <w:szCs w:val="20"/>
                <w:color w:val="auto"/>
              </w:rPr>
            </w:pPr>
            <w:r>
              <w:rPr>
                <w:rFonts w:ascii="Arial" w:cs="Arial" w:eastAsia="Arial" w:hAnsi="Arial"/>
                <w:sz w:val="18"/>
                <w:szCs w:val="18"/>
                <w:color w:val="323232"/>
              </w:rPr>
              <w:t>strategic plan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6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2440" w:type="dxa"/>
            <w:vAlign w:val="bottom"/>
            <w:tcBorders>
              <w:bottom w:val="single" w:sz="8" w:color="B2B2B2"/>
            </w:tcBorders>
          </w:tcPr>
          <w:p>
            <w:pPr>
              <w:spacing w:after="0"/>
              <w:rPr>
                <w:sz w:val="4"/>
                <w:szCs w:val="4"/>
                <w:color w:val="auto"/>
              </w:rPr>
            </w:pPr>
          </w:p>
        </w:tc>
        <w:tc>
          <w:tcPr>
            <w:tcW w:w="1540" w:type="dxa"/>
            <w:vAlign w:val="bottom"/>
            <w:tcBorders>
              <w:bottom w:val="single" w:sz="8" w:color="B2B2B2"/>
            </w:tcBorders>
          </w:tcPr>
          <w:p>
            <w:pPr>
              <w:spacing w:after="0"/>
              <w:rPr>
                <w:sz w:val="4"/>
                <w:szCs w:val="4"/>
                <w:color w:val="auto"/>
              </w:rPr>
            </w:pPr>
          </w:p>
        </w:tc>
        <w:tc>
          <w:tcPr>
            <w:tcW w:w="472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b w:val="1"/>
                <w:bCs w:val="1"/>
                <w:color w:val="C83D59"/>
                <w:w w:val="79"/>
              </w:rPr>
              <w:t>2.</w:t>
            </w:r>
          </w:p>
        </w:tc>
        <w:tc>
          <w:tcPr>
            <w:tcW w:w="2440" w:type="dxa"/>
            <w:vAlign w:val="bottom"/>
          </w:tcPr>
          <w:p>
            <w:pPr>
              <w:ind w:left="80"/>
              <w:spacing w:after="0" w:line="182" w:lineRule="exact"/>
              <w:rPr>
                <w:sz w:val="20"/>
                <w:szCs w:val="20"/>
                <w:color w:val="auto"/>
              </w:rPr>
            </w:pPr>
            <w:r>
              <w:rPr>
                <w:rFonts w:ascii="Arial" w:cs="Arial" w:eastAsia="Arial" w:hAnsi="Arial"/>
                <w:sz w:val="18"/>
                <w:szCs w:val="18"/>
                <w:color w:val="323232"/>
              </w:rPr>
              <w:t>Ratify Appointment of</w:t>
            </w:r>
          </w:p>
        </w:tc>
        <w:tc>
          <w:tcPr>
            <w:tcW w:w="15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0" w:type="dxa"/>
            <w:vAlign w:val="bottom"/>
            <w:tcBorders>
              <w:bottom w:val="single" w:sz="8" w:color="B2B2B2"/>
            </w:tcBorders>
          </w:tcPr>
          <w:p>
            <w:pPr>
              <w:spacing w:after="0"/>
              <w:rPr>
                <w:sz w:val="20"/>
                <w:szCs w:val="20"/>
                <w:color w:val="auto"/>
              </w:rPr>
            </w:pPr>
            <w:r>
              <w:rPr>
                <w:rFonts w:ascii="Arial" w:cs="Arial" w:eastAsia="Arial" w:hAnsi="Arial"/>
                <w:sz w:val="18"/>
                <w:szCs w:val="18"/>
                <w:color w:val="323232"/>
              </w:rPr>
              <w:t>​</w:t>
            </w:r>
          </w:p>
        </w:tc>
        <w:tc>
          <w:tcPr>
            <w:tcW w:w="180" w:type="dxa"/>
            <w:vAlign w:val="bottom"/>
            <w:tcBorders>
              <w:bottom w:val="single" w:sz="8" w:color="B2B2B2"/>
            </w:tcBorders>
          </w:tcPr>
          <w:p>
            <w:pPr>
              <w:spacing w:after="0"/>
              <w:rPr>
                <w:sz w:val="24"/>
                <w:szCs w:val="24"/>
                <w:color w:val="auto"/>
              </w:rPr>
            </w:pPr>
          </w:p>
        </w:tc>
        <w:tc>
          <w:tcPr>
            <w:tcW w:w="2440" w:type="dxa"/>
            <w:vAlign w:val="bottom"/>
            <w:tcBorders>
              <w:bottom w:val="single" w:sz="8" w:color="B2B2B2"/>
            </w:tcBorders>
          </w:tcPr>
          <w:p>
            <w:pPr>
              <w:ind w:left="20"/>
              <w:spacing w:after="0" w:line="324" w:lineRule="exact"/>
              <w:rPr>
                <w:sz w:val="20"/>
                <w:szCs w:val="20"/>
                <w:color w:val="auto"/>
              </w:rPr>
            </w:pPr>
            <w:r>
              <w:rPr>
                <w:rFonts w:ascii="Arial" w:cs="Arial" w:eastAsia="Arial" w:hAnsi="Arial"/>
                <w:sz w:val="35"/>
                <w:szCs w:val="35"/>
                <w:color w:val="323232"/>
                <w:vertAlign w:val="superscript"/>
              </w:rPr>
              <w:t>​​</w:t>
            </w:r>
            <w:r>
              <w:rPr>
                <w:rFonts w:ascii="Arial" w:cs="Arial" w:eastAsia="Arial" w:hAnsi="Arial"/>
                <w:sz w:val="18"/>
                <w:szCs w:val="18"/>
                <w:color w:val="323232"/>
              </w:rPr>
              <w:t>Independent Auditors</w:t>
            </w:r>
          </w:p>
        </w:tc>
        <w:tc>
          <w:tcPr>
            <w:tcW w:w="1540" w:type="dxa"/>
            <w:vAlign w:val="bottom"/>
            <w:tcBorders>
              <w:bottom w:val="single" w:sz="8" w:color="B2B2B2"/>
            </w:tcBorders>
          </w:tcPr>
          <w:p>
            <w:pPr>
              <w:ind w:left="40"/>
              <w:spacing w:after="0"/>
              <w:rPr>
                <w:sz w:val="20"/>
                <w:szCs w:val="20"/>
                <w:color w:val="auto"/>
              </w:rPr>
            </w:pPr>
            <w:r>
              <w:rPr>
                <w:rFonts w:ascii="Arial" w:cs="Arial" w:eastAsia="Arial" w:hAnsi="Arial"/>
                <w:sz w:val="18"/>
                <w:szCs w:val="18"/>
                <w:color w:val="323232"/>
              </w:rPr>
              <w:t>​​</w:t>
            </w:r>
            <w:r>
              <w:rPr>
                <w:rFonts w:ascii="Arial" w:cs="Arial" w:eastAsia="Arial" w:hAnsi="Arial"/>
                <w:sz w:val="18"/>
                <w:szCs w:val="18"/>
                <w:b w:val="1"/>
                <w:bCs w:val="1"/>
                <w:color w:val="BA0C2F"/>
              </w:rPr>
              <w:t>FOR</w:t>
            </w:r>
          </w:p>
        </w:tc>
        <w:tc>
          <w:tcPr>
            <w:tcW w:w="4720" w:type="dxa"/>
            <w:vAlign w:val="bottom"/>
            <w:tcBorders>
              <w:bottom w:val="single" w:sz="8" w:color="B2B2B2"/>
            </w:tcBorders>
          </w:tcPr>
          <w:p>
            <w:pPr>
              <w:ind w:left="120"/>
              <w:spacing w:after="0"/>
              <w:rPr>
                <w:sz w:val="20"/>
                <w:szCs w:val="20"/>
                <w:color w:val="auto"/>
              </w:rPr>
            </w:pPr>
            <w:r>
              <w:rPr>
                <w:rFonts w:ascii="Arial" w:cs="Arial" w:eastAsia="Arial" w:hAnsi="Arial"/>
                <w:sz w:val="18"/>
                <w:szCs w:val="18"/>
                <w:color w:val="323232"/>
              </w:rPr>
              <w:t>​​Based on the recommendation of the Audit Committee</w:t>
            </w:r>
          </w:p>
        </w:tc>
        <w:tc>
          <w:tcPr>
            <w:tcW w:w="220" w:type="dxa"/>
            <w:vAlign w:val="bottom"/>
            <w:tcBorders>
              <w:bottom w:val="single" w:sz="8" w:color="B2B2B2"/>
            </w:tcBorders>
          </w:tcPr>
          <w:p>
            <w:pPr>
              <w:ind w:left="40"/>
              <w:spacing w:after="0"/>
              <w:rPr>
                <w:sz w:val="20"/>
                <w:szCs w:val="20"/>
                <w:color w:val="auto"/>
              </w:rPr>
            </w:pPr>
            <w:r>
              <w:rPr>
                <w:rFonts w:ascii="Arial" w:cs="Arial" w:eastAsia="Arial" w:hAnsi="Arial"/>
                <w:sz w:val="18"/>
                <w:szCs w:val="18"/>
                <w:color w:val="323232"/>
              </w:rPr>
              <w:t>​​</w:t>
            </w: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8"/>
                <w:szCs w:val="18"/>
                <w:b w:val="1"/>
                <w:bCs w:val="1"/>
                <w:color w:val="323232"/>
              </w:rPr>
              <w:t>18</w:t>
            </w:r>
            <w:r>
              <w:rPr>
                <w:rFonts w:ascii="Arial" w:cs="Arial" w:eastAsia="Arial" w:hAnsi="Arial"/>
                <w:sz w:val="18"/>
                <w:szCs w:val="18"/>
                <w:color w:val="323232"/>
              </w:rPr>
              <w:t>​</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C83D59"/>
                <w:w w:val="79"/>
              </w:rPr>
              <w:t>3.</w:t>
            </w:r>
          </w:p>
        </w:tc>
        <w:tc>
          <w:tcPr>
            <w:tcW w:w="2440" w:type="dxa"/>
            <w:vAlign w:val="bottom"/>
          </w:tcPr>
          <w:p>
            <w:pPr>
              <w:ind w:left="80"/>
              <w:spacing w:after="0"/>
              <w:rPr>
                <w:sz w:val="20"/>
                <w:szCs w:val="20"/>
                <w:color w:val="auto"/>
              </w:rPr>
            </w:pPr>
            <w:r>
              <w:rPr>
                <w:rFonts w:ascii="Arial" w:cs="Arial" w:eastAsia="Arial" w:hAnsi="Arial"/>
                <w:sz w:val="18"/>
                <w:szCs w:val="18"/>
                <w:color w:val="323232"/>
              </w:rPr>
              <w:t>Approve, in an advisory vote,</w:t>
            </w:r>
          </w:p>
        </w:tc>
        <w:tc>
          <w:tcPr>
            <w:tcW w:w="154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323232"/>
                <w:w w:val="99"/>
              </w:rPr>
              <w:t>The Board of Directors believes Weatherford’s executive</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Arial" w:cs="Arial" w:eastAsia="Arial" w:hAnsi="Arial"/>
                <w:sz w:val="18"/>
                <w:szCs w:val="18"/>
                <w:color w:val="323232"/>
              </w:rPr>
              <w:t>​</w:t>
            </w:r>
          </w:p>
        </w:tc>
        <w:tc>
          <w:tcPr>
            <w:tcW w:w="1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323232"/>
              </w:rPr>
              <w:t>​​our Executive Compensation</w:t>
            </w:r>
          </w:p>
        </w:tc>
        <w:tc>
          <w:tcPr>
            <w:tcW w:w="1540" w:type="dxa"/>
            <w:vAlign w:val="bottom"/>
          </w:tcPr>
          <w:p>
            <w:pPr>
              <w:ind w:left="40"/>
              <w:spacing w:after="0"/>
              <w:rPr>
                <w:sz w:val="20"/>
                <w:szCs w:val="20"/>
                <w:color w:val="auto"/>
              </w:rPr>
            </w:pPr>
            <w:r>
              <w:rPr>
                <w:rFonts w:ascii="Arial" w:cs="Arial" w:eastAsia="Arial" w:hAnsi="Arial"/>
                <w:sz w:val="18"/>
                <w:szCs w:val="18"/>
                <w:color w:val="323232"/>
              </w:rPr>
              <w:t>​​</w:t>
            </w:r>
            <w:r>
              <w:rPr>
                <w:rFonts w:ascii="Arial" w:cs="Arial" w:eastAsia="Arial" w:hAnsi="Arial"/>
                <w:sz w:val="18"/>
                <w:szCs w:val="18"/>
                <w:b w:val="1"/>
                <w:bCs w:val="1"/>
                <w:color w:val="BA0C2F"/>
              </w:rPr>
              <w:t>FOR</w:t>
            </w:r>
          </w:p>
        </w:tc>
        <w:tc>
          <w:tcPr>
            <w:tcW w:w="4720" w:type="dxa"/>
            <w:vAlign w:val="bottom"/>
          </w:tcPr>
          <w:p>
            <w:pPr>
              <w:ind w:left="120"/>
              <w:spacing w:after="0"/>
              <w:rPr>
                <w:sz w:val="20"/>
                <w:szCs w:val="20"/>
                <w:color w:val="auto"/>
              </w:rPr>
            </w:pPr>
            <w:r>
              <w:rPr>
                <w:rFonts w:ascii="Arial" w:cs="Arial" w:eastAsia="Arial" w:hAnsi="Arial"/>
                <w:sz w:val="18"/>
                <w:szCs w:val="18"/>
                <w:color w:val="323232"/>
              </w:rPr>
              <w:t>​​compensation program effectively aligns executive</w:t>
            </w:r>
          </w:p>
        </w:tc>
        <w:tc>
          <w:tcPr>
            <w:tcW w:w="220" w:type="dxa"/>
            <w:vAlign w:val="bottom"/>
          </w:tcPr>
          <w:p>
            <w:pPr>
              <w:ind w:left="40"/>
              <w:spacing w:after="0"/>
              <w:rPr>
                <w:sz w:val="20"/>
                <w:szCs w:val="20"/>
                <w:color w:val="auto"/>
              </w:rPr>
            </w:pPr>
            <w:r>
              <w:rPr>
                <w:rFonts w:ascii="Arial" w:cs="Arial" w:eastAsia="Arial" w:hAnsi="Arial"/>
                <w:sz w:val="18"/>
                <w:szCs w:val="18"/>
                <w:color w:val="323232"/>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23232"/>
              </w:rPr>
              <w:t>20</w:t>
            </w:r>
            <w:r>
              <w:rPr>
                <w:rFonts w:ascii="Arial" w:cs="Arial" w:eastAsia="Arial" w:hAnsi="Arial"/>
                <w:sz w:val="18"/>
                <w:szCs w:val="18"/>
                <w:color w:val="323232"/>
              </w:rPr>
              <w:t>​</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323232"/>
              </w:rPr>
              <w:t>compensation with performance</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60" w:type="dxa"/>
            <w:vAlign w:val="bottom"/>
            <w:tcBorders>
              <w:bottom w:val="single" w:sz="8" w:color="B2B2B2"/>
            </w:tcBorders>
          </w:tcPr>
          <w:p>
            <w:pPr>
              <w:spacing w:after="0"/>
              <w:rPr>
                <w:sz w:val="3"/>
                <w:szCs w:val="3"/>
                <w:color w:val="auto"/>
              </w:rPr>
            </w:pPr>
          </w:p>
        </w:tc>
        <w:tc>
          <w:tcPr>
            <w:tcW w:w="180" w:type="dxa"/>
            <w:vAlign w:val="bottom"/>
            <w:tcBorders>
              <w:bottom w:val="single" w:sz="8" w:color="B2B2B2"/>
            </w:tcBorders>
          </w:tcPr>
          <w:p>
            <w:pPr>
              <w:spacing w:after="0"/>
              <w:rPr>
                <w:sz w:val="3"/>
                <w:szCs w:val="3"/>
                <w:color w:val="auto"/>
              </w:rPr>
            </w:pPr>
          </w:p>
        </w:tc>
        <w:tc>
          <w:tcPr>
            <w:tcW w:w="2440" w:type="dxa"/>
            <w:vAlign w:val="bottom"/>
            <w:tcBorders>
              <w:bottom w:val="single" w:sz="8" w:color="B2B2B2"/>
            </w:tcBorders>
          </w:tcPr>
          <w:p>
            <w:pPr>
              <w:spacing w:after="0"/>
              <w:rPr>
                <w:sz w:val="3"/>
                <w:szCs w:val="3"/>
                <w:color w:val="auto"/>
              </w:rPr>
            </w:pPr>
          </w:p>
        </w:tc>
        <w:tc>
          <w:tcPr>
            <w:tcW w:w="1540" w:type="dxa"/>
            <w:vAlign w:val="bottom"/>
            <w:tcBorders>
              <w:bottom w:val="single" w:sz="8" w:color="B2B2B2"/>
            </w:tcBorders>
          </w:tcPr>
          <w:p>
            <w:pPr>
              <w:spacing w:after="0"/>
              <w:rPr>
                <w:sz w:val="3"/>
                <w:szCs w:val="3"/>
                <w:color w:val="auto"/>
              </w:rPr>
            </w:pPr>
          </w:p>
        </w:tc>
        <w:tc>
          <w:tcPr>
            <w:tcW w:w="4720" w:type="dxa"/>
            <w:vAlign w:val="bottom"/>
            <w:tcBorders>
              <w:bottom w:val="single" w:sz="8" w:color="B2B2B2"/>
            </w:tcBorders>
          </w:tcPr>
          <w:p>
            <w:pPr>
              <w:spacing w:after="0"/>
              <w:rPr>
                <w:sz w:val="3"/>
                <w:szCs w:val="3"/>
                <w:color w:val="auto"/>
              </w:rPr>
            </w:pPr>
          </w:p>
        </w:tc>
        <w:tc>
          <w:tcPr>
            <w:tcW w:w="220" w:type="dxa"/>
            <w:vAlign w:val="bottom"/>
            <w:tcBorders>
              <w:bottom w:val="single" w:sz="8" w:color="B2B2B2"/>
            </w:tcBorders>
          </w:tcPr>
          <w:p>
            <w:pPr>
              <w:spacing w:after="0"/>
              <w:rPr>
                <w:sz w:val="3"/>
                <w:szCs w:val="3"/>
                <w:color w:val="auto"/>
              </w:rPr>
            </w:pPr>
          </w:p>
        </w:tc>
        <w:tc>
          <w:tcPr>
            <w:tcW w:w="6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C83D59"/>
                <w:w w:val="79"/>
              </w:rPr>
              <w:t>4.</w:t>
            </w:r>
          </w:p>
        </w:tc>
        <w:tc>
          <w:tcPr>
            <w:tcW w:w="2440" w:type="dxa"/>
            <w:vAlign w:val="bottom"/>
          </w:tcPr>
          <w:p>
            <w:pPr>
              <w:ind w:left="80"/>
              <w:spacing w:after="0"/>
              <w:rPr>
                <w:sz w:val="20"/>
                <w:szCs w:val="20"/>
                <w:color w:val="auto"/>
              </w:rPr>
            </w:pPr>
            <w:r>
              <w:rPr>
                <w:rFonts w:ascii="Arial" w:cs="Arial" w:eastAsia="Arial" w:hAnsi="Arial"/>
                <w:sz w:val="18"/>
                <w:szCs w:val="18"/>
                <w:color w:val="323232"/>
              </w:rPr>
              <w:t>Approve, in an advisory vote,</w:t>
            </w:r>
          </w:p>
        </w:tc>
        <w:tc>
          <w:tcPr>
            <w:tcW w:w="154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323232"/>
              </w:rPr>
              <w:t>The Board of Directors believes a one-year frequency</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Pr>
          <w:p>
            <w:pPr>
              <w:ind w:left="80"/>
              <w:spacing w:after="0" w:line="195" w:lineRule="exact"/>
              <w:rPr>
                <w:sz w:val="20"/>
                <w:szCs w:val="20"/>
                <w:color w:val="auto"/>
              </w:rPr>
            </w:pPr>
            <w:r>
              <w:rPr>
                <w:rFonts w:ascii="Arial" w:cs="Arial" w:eastAsia="Arial" w:hAnsi="Arial"/>
                <w:sz w:val="18"/>
                <w:szCs w:val="18"/>
                <w:color w:val="323232"/>
              </w:rPr>
              <w:t>the Frequency of Executive</w:t>
            </w:r>
          </w:p>
        </w:tc>
        <w:tc>
          <w:tcPr>
            <w:tcW w:w="1540" w:type="dxa"/>
            <w:vAlign w:val="bottom"/>
          </w:tcPr>
          <w:p>
            <w:pPr>
              <w:spacing w:after="0"/>
              <w:rPr>
                <w:sz w:val="16"/>
                <w:szCs w:val="16"/>
                <w:color w:val="auto"/>
              </w:rPr>
            </w:pPr>
          </w:p>
        </w:tc>
        <w:tc>
          <w:tcPr>
            <w:tcW w:w="4720" w:type="dxa"/>
            <w:vAlign w:val="bottom"/>
          </w:tcPr>
          <w:p>
            <w:pPr>
              <w:ind w:left="220"/>
              <w:spacing w:after="0" w:line="195" w:lineRule="exact"/>
              <w:rPr>
                <w:sz w:val="20"/>
                <w:szCs w:val="20"/>
                <w:color w:val="auto"/>
              </w:rPr>
            </w:pPr>
            <w:r>
              <w:rPr>
                <w:rFonts w:ascii="Arial" w:cs="Arial" w:eastAsia="Arial" w:hAnsi="Arial"/>
                <w:sz w:val="18"/>
                <w:szCs w:val="18"/>
                <w:color w:val="323232"/>
                <w:w w:val="99"/>
              </w:rPr>
              <w:t>provides more frequent and rigorous oversight of named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0"/>
                <w:szCs w:val="20"/>
                <w:color w:val="auto"/>
              </w:rPr>
            </w:pPr>
            <w:r>
              <w:rPr>
                <w:rFonts w:ascii="Arial" w:cs="Arial" w:eastAsia="Arial" w:hAnsi="Arial"/>
                <w:sz w:val="18"/>
                <w:szCs w:val="18"/>
                <w:color w:val="323232"/>
              </w:rPr>
              <w:t>​</w:t>
            </w:r>
          </w:p>
        </w:tc>
        <w:tc>
          <w:tcPr>
            <w:tcW w:w="180" w:type="dxa"/>
            <w:vAlign w:val="bottom"/>
          </w:tcPr>
          <w:p>
            <w:pPr>
              <w:spacing w:after="0"/>
              <w:rPr>
                <w:sz w:val="22"/>
                <w:szCs w:val="22"/>
                <w:color w:val="auto"/>
              </w:rPr>
            </w:pPr>
          </w:p>
        </w:tc>
        <w:tc>
          <w:tcPr>
            <w:tcW w:w="2440" w:type="dxa"/>
            <w:vAlign w:val="bottom"/>
          </w:tcPr>
          <w:p>
            <w:pPr>
              <w:ind w:left="20"/>
              <w:spacing w:after="0" w:line="255"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6"/>
                <w:szCs w:val="16"/>
                <w:color w:val="323232"/>
              </w:rPr>
              <w:t>Compensation Vote</w:t>
            </w:r>
          </w:p>
        </w:tc>
        <w:tc>
          <w:tcPr>
            <w:tcW w:w="1540" w:type="dxa"/>
            <w:vAlign w:val="bottom"/>
          </w:tcPr>
          <w:p>
            <w:pPr>
              <w:ind w:left="40"/>
              <w:spacing w:after="0"/>
              <w:rPr>
                <w:sz w:val="20"/>
                <w:szCs w:val="20"/>
                <w:color w:val="auto"/>
              </w:rPr>
            </w:pPr>
            <w:r>
              <w:rPr>
                <w:rFonts w:ascii="Arial" w:cs="Arial" w:eastAsia="Arial" w:hAnsi="Arial"/>
                <w:sz w:val="18"/>
                <w:szCs w:val="18"/>
                <w:color w:val="323232"/>
              </w:rPr>
              <w:t>​​</w:t>
            </w:r>
            <w:r>
              <w:rPr>
                <w:rFonts w:ascii="Arial" w:cs="Arial" w:eastAsia="Arial" w:hAnsi="Arial"/>
                <w:sz w:val="18"/>
                <w:szCs w:val="18"/>
                <w:b w:val="1"/>
                <w:bCs w:val="1"/>
                <w:color w:val="BA0C2F"/>
              </w:rPr>
              <w:t>FOR</w:t>
            </w:r>
          </w:p>
        </w:tc>
        <w:tc>
          <w:tcPr>
            <w:tcW w:w="4720" w:type="dxa"/>
            <w:vAlign w:val="bottom"/>
          </w:tcPr>
          <w:p>
            <w:pPr>
              <w:ind w:left="120"/>
              <w:spacing w:after="0" w:line="255"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6"/>
                <w:szCs w:val="16"/>
                <w:color w:val="323232"/>
              </w:rPr>
              <w:t>executive officer compensation packages to effectively</w:t>
            </w:r>
          </w:p>
        </w:tc>
        <w:tc>
          <w:tcPr>
            <w:tcW w:w="220" w:type="dxa"/>
            <w:vAlign w:val="bottom"/>
          </w:tcPr>
          <w:p>
            <w:pPr>
              <w:ind w:left="40"/>
              <w:spacing w:after="0"/>
              <w:rPr>
                <w:sz w:val="20"/>
                <w:szCs w:val="20"/>
                <w:color w:val="auto"/>
              </w:rPr>
            </w:pPr>
            <w:r>
              <w:rPr>
                <w:rFonts w:ascii="Arial" w:cs="Arial" w:eastAsia="Arial" w:hAnsi="Arial"/>
                <w:sz w:val="18"/>
                <w:szCs w:val="18"/>
                <w:color w:val="323232"/>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23232"/>
              </w:rPr>
              <w:t>21</w:t>
            </w:r>
            <w:r>
              <w:rPr>
                <w:rFonts w:ascii="Arial" w:cs="Arial" w:eastAsia="Arial" w:hAnsi="Arial"/>
                <w:sz w:val="18"/>
                <w:szCs w:val="18"/>
                <w:color w:val="323232"/>
              </w:rPr>
              <w:t>​</w:t>
            </w:r>
          </w:p>
        </w:tc>
        <w:tc>
          <w:tcPr>
            <w:tcW w:w="0" w:type="dxa"/>
            <w:vAlign w:val="bottom"/>
          </w:tcPr>
          <w:p>
            <w:pPr>
              <w:spacing w:after="0"/>
              <w:rPr>
                <w:sz w:val="1"/>
                <w:szCs w:val="1"/>
                <w:color w:val="auto"/>
              </w:rPr>
            </w:pPr>
          </w:p>
        </w:tc>
      </w:tr>
    </w:tbl>
    <w:p>
      <w:pPr>
        <w:ind w:left="4880"/>
        <w:spacing w:after="0"/>
        <w:rPr>
          <w:sz w:val="20"/>
          <w:szCs w:val="20"/>
          <w:color w:val="auto"/>
        </w:rPr>
      </w:pPr>
      <w:r>
        <w:rPr>
          <w:rFonts w:ascii="Arial" w:cs="Arial" w:eastAsia="Arial" w:hAnsi="Arial"/>
          <w:sz w:val="18"/>
          <w:szCs w:val="18"/>
          <w:color w:val="323232"/>
        </w:rPr>
        <w:t>align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6223635" cy="2931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63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36"/>
          <w:szCs w:val="36"/>
          <w:b w:val="1"/>
          <w:bCs w:val="1"/>
          <w:color w:val="7F7F7F"/>
        </w:rPr>
        <w:t>Shareholder Feedback</w:t>
      </w:r>
    </w:p>
    <w:p>
      <w:pPr>
        <w:spacing w:after="0" w:line="131" w:lineRule="exact"/>
        <w:rPr>
          <w:sz w:val="20"/>
          <w:szCs w:val="20"/>
          <w:color w:val="auto"/>
        </w:rPr>
      </w:pPr>
    </w:p>
    <w:p>
      <w:pPr>
        <w:ind w:left="440" w:right="40"/>
        <w:spacing w:after="0" w:line="273" w:lineRule="auto"/>
        <w:rPr>
          <w:sz w:val="20"/>
          <w:szCs w:val="20"/>
          <w:color w:val="auto"/>
        </w:rPr>
      </w:pPr>
      <w:r>
        <w:rPr>
          <w:rFonts w:ascii="Arial" w:cs="Arial" w:eastAsia="Arial" w:hAnsi="Arial"/>
          <w:sz w:val="18"/>
          <w:szCs w:val="18"/>
          <w:color w:val="4C4C4C"/>
        </w:rPr>
        <w:t xml:space="preserve">Feedback from our shareholders is important to us and considered carefully. Your Board will be available at the AGM to respond to any questions shareholders may raise regarding our activities. Once again, we invite interested parties to submit feedback through our AGM website, </w:t>
      </w:r>
      <w:r>
        <w:rPr>
          <w:rFonts w:ascii="Arial" w:cs="Arial" w:eastAsia="Arial" w:hAnsi="Arial"/>
          <w:sz w:val="18"/>
          <w:szCs w:val="18"/>
          <w:b w:val="1"/>
          <w:bCs w:val="1"/>
          <w:color w:val="4C4C4C"/>
        </w:rPr>
        <w:t>www.weatherfordannualmeeting.com</w:t>
      </w:r>
      <w:r>
        <w:rPr>
          <w:rFonts w:ascii="Arial" w:cs="Arial" w:eastAsia="Arial" w:hAnsi="Arial"/>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772160</wp:posOffset>
            </wp:positionV>
            <wp:extent cx="6231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right="4460"/>
        <w:spacing w:after="0" w:line="255" w:lineRule="auto"/>
        <w:rPr>
          <w:sz w:val="20"/>
          <w:szCs w:val="20"/>
          <w:color w:val="auto"/>
        </w:rPr>
      </w:pPr>
      <w:r>
        <w:rPr>
          <w:rFonts w:ascii="Arial" w:cs="Arial" w:eastAsia="Arial" w:hAnsi="Arial"/>
          <w:sz w:val="64"/>
          <w:szCs w:val="64"/>
          <w:color w:val="191919"/>
        </w:rPr>
        <w:t>LETTER TO SHAREHOLDERS</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38"/>
          <w:szCs w:val="38"/>
          <w:b w:val="1"/>
          <w:bCs w:val="1"/>
          <w:color w:val="BA0C2F"/>
        </w:rPr>
        <w:t>Dear Fellow Shareholders,</w:t>
      </w:r>
    </w:p>
    <w:p>
      <w:pPr>
        <w:spacing w:after="0" w:line="113" w:lineRule="exact"/>
        <w:rPr>
          <w:sz w:val="20"/>
          <w:szCs w:val="20"/>
          <w:color w:val="auto"/>
        </w:rPr>
      </w:pPr>
    </w:p>
    <w:p>
      <w:pPr>
        <w:ind w:left="440"/>
        <w:spacing w:after="0" w:line="252" w:lineRule="auto"/>
        <w:rPr>
          <w:sz w:val="20"/>
          <w:szCs w:val="20"/>
          <w:color w:val="auto"/>
        </w:rPr>
      </w:pPr>
      <w:r>
        <w:rPr>
          <w:rFonts w:ascii="Arial" w:cs="Arial" w:eastAsia="Arial" w:hAnsi="Arial"/>
          <w:sz w:val="18"/>
          <w:szCs w:val="18"/>
          <w:color w:val="323232"/>
        </w:rPr>
        <w:t>The word ‘unprecedented’ to describe the world and business environment we live and operate in has been used so often in the past few years that it has become a key skill … responding to the unprecedented. Today, the world is witnessing a tragedy in Ukraine, where we have over 100 employees, as a result of the violent conflict in the region and our hearts go out to all those affected. Our fervent hope is that peace is restored soon through diplomatic means.</w:t>
      </w:r>
    </w:p>
    <w:p>
      <w:pPr>
        <w:spacing w:after="0" w:line="76" w:lineRule="exact"/>
        <w:rPr>
          <w:sz w:val="20"/>
          <w:szCs w:val="20"/>
          <w:color w:val="auto"/>
        </w:rPr>
      </w:pPr>
    </w:p>
    <w:p>
      <w:pPr>
        <w:ind w:left="440" w:right="380"/>
        <w:spacing w:after="0" w:line="253" w:lineRule="auto"/>
        <w:rPr>
          <w:sz w:val="20"/>
          <w:szCs w:val="20"/>
          <w:color w:val="auto"/>
        </w:rPr>
      </w:pPr>
      <w:r>
        <w:rPr>
          <w:rFonts w:ascii="Arial" w:cs="Arial" w:eastAsia="Arial" w:hAnsi="Arial"/>
          <w:sz w:val="18"/>
          <w:szCs w:val="18"/>
          <w:color w:val="323232"/>
        </w:rPr>
        <w:t>It is my privilege and pleasure to lead Weatherford and its extraordinary people, and I am pleased to share with you the many successes we had throughout 2021 as we consistently improved our performance and turned our Company’s aspirations into achievements ahead of our originally intended timeline.</w:t>
      </w:r>
    </w:p>
    <w:p>
      <w:pPr>
        <w:spacing w:after="0" w:line="74" w:lineRule="exact"/>
        <w:rPr>
          <w:sz w:val="20"/>
          <w:szCs w:val="20"/>
          <w:color w:val="auto"/>
        </w:rPr>
      </w:pPr>
    </w:p>
    <w:p>
      <w:pPr>
        <w:ind w:left="440" w:right="60"/>
        <w:spacing w:after="0" w:line="244" w:lineRule="auto"/>
        <w:rPr>
          <w:sz w:val="20"/>
          <w:szCs w:val="20"/>
          <w:color w:val="auto"/>
        </w:rPr>
      </w:pPr>
      <w:r>
        <w:rPr>
          <w:rFonts w:ascii="Arial" w:cs="Arial" w:eastAsia="Arial" w:hAnsi="Arial"/>
          <w:sz w:val="18"/>
          <w:szCs w:val="18"/>
          <w:color w:val="323232"/>
        </w:rPr>
        <w:t>Throughout last year we faced significant challenges, including supply chain delays, inflationary pressure, and disruptions caused by the COVID-19 pandemic. In spite of these obstacles, our global team remained united and focused on delivering impressive results for our customers and shareholders. Our office-based team members continued to effectively perform in a remote work paradigm and ensured that we didn’t miss on our deliverables. Our frontline team members deserve kudos for their selfless work throughout the year, and proudly carried out our operations in the field, factories, and repair and maintenance shops. The hard work and dedication of our 17,000+ strong team are truly appreciated. As we begin to see signs of recovery from the pandemic in many locations around the world thanks to the availability of vaccines, we will continue to harness the momentum and spirit of the One Weatherford team.</w:t>
      </w:r>
    </w:p>
    <w:p>
      <w:pPr>
        <w:spacing w:after="0" w:line="72" w:lineRule="exact"/>
        <w:rPr>
          <w:sz w:val="20"/>
          <w:szCs w:val="20"/>
          <w:color w:val="auto"/>
        </w:rPr>
      </w:pPr>
    </w:p>
    <w:p>
      <w:pPr>
        <w:jc w:val="both"/>
        <w:ind w:left="440" w:right="20"/>
        <w:spacing w:after="0" w:line="261" w:lineRule="auto"/>
        <w:rPr>
          <w:sz w:val="20"/>
          <w:szCs w:val="20"/>
          <w:color w:val="auto"/>
        </w:rPr>
      </w:pPr>
      <w:r>
        <w:rPr>
          <w:rFonts w:ascii="Arial" w:cs="Arial" w:eastAsia="Arial" w:hAnsi="Arial"/>
          <w:sz w:val="18"/>
          <w:szCs w:val="18"/>
          <w:color w:val="323232"/>
        </w:rPr>
        <w:t>When I reflect on 2021, there are many moments that I am grateful, humbled, and proud to have been a part of. The energy and tenacity of our teams to take Weatherford from a turnaround story to a company with a directed growth trajectory in one year speaks volumes about our spirit and what lies ahead.</w:t>
      </w:r>
    </w:p>
    <w:p>
      <w:pPr>
        <w:spacing w:after="0" w:line="54" w:lineRule="exact"/>
        <w:rPr>
          <w:sz w:val="20"/>
          <w:szCs w:val="20"/>
          <w:color w:val="auto"/>
        </w:rPr>
      </w:pPr>
    </w:p>
    <w:p>
      <w:pPr>
        <w:ind w:left="440" w:right="60"/>
        <w:spacing w:after="0" w:line="248" w:lineRule="auto"/>
        <w:rPr>
          <w:sz w:val="20"/>
          <w:szCs w:val="20"/>
          <w:color w:val="auto"/>
        </w:rPr>
      </w:pPr>
      <w:r>
        <w:rPr>
          <w:rFonts w:ascii="Arial" w:cs="Arial" w:eastAsia="Arial" w:hAnsi="Arial"/>
          <w:sz w:val="18"/>
          <w:szCs w:val="18"/>
          <w:color w:val="323232"/>
        </w:rPr>
        <w:t>We exceeded expectations in generating free cash flow and improving operating results, enabling our return to the public markets by listing on the Nasdaq Global Select Market under the new ticker WFRD. We paid down $200 million of debt and refinanced $2.1 billion, moving debt maturities out several years, and materially reducing our annual interest expense. We also increased our performance by leveraging our unique and market-leading portfolio to expand into new markets and enable significant wins for our customers, our Company, and shareholders. All of this was a direct result of the focus, effort, and spirit of our One Weatherford team.</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38"/>
          <w:szCs w:val="38"/>
          <w:color w:val="191919"/>
        </w:rPr>
        <w:t>Enabling Success</w:t>
      </w:r>
    </w:p>
    <w:p>
      <w:pPr>
        <w:spacing w:after="0" w:line="113" w:lineRule="exact"/>
        <w:rPr>
          <w:sz w:val="20"/>
          <w:szCs w:val="20"/>
          <w:color w:val="auto"/>
        </w:rPr>
      </w:pPr>
    </w:p>
    <w:p>
      <w:pPr>
        <w:ind w:left="440" w:right="20"/>
        <w:spacing w:after="0" w:line="248" w:lineRule="auto"/>
        <w:rPr>
          <w:sz w:val="20"/>
          <w:szCs w:val="20"/>
          <w:color w:val="auto"/>
        </w:rPr>
      </w:pPr>
      <w:r>
        <w:rPr>
          <w:rFonts w:ascii="Arial" w:cs="Arial" w:eastAsia="Arial" w:hAnsi="Arial"/>
          <w:sz w:val="18"/>
          <w:szCs w:val="18"/>
          <w:color w:val="323232"/>
        </w:rPr>
        <w:t>Our journey starts with a simple goal of “sustainable profitability and free cash flow generation.” We recognize that we are in a cyclical industry and that margins will expand and contract through them. However, we have laid out a roadmap to keep those deltas to predictable and manageable levels, and importantly, generate cash through those cycles. At the start of 2021, we began executing our strategic priorities of refinancing debt, listing on a national stock exchange, realizing 15% adjusted EBITDA margins, realigning our reporting structure, and achieving a second consecutive year of positive free cash flow. We identified four key focus areas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148590</wp:posOffset>
            </wp:positionV>
            <wp:extent cx="5477510" cy="1071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7751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40" w:right="160"/>
        <w:spacing w:after="0" w:line="253" w:lineRule="auto"/>
        <w:rPr>
          <w:sz w:val="20"/>
          <w:szCs w:val="20"/>
          <w:color w:val="auto"/>
        </w:rPr>
      </w:pPr>
      <w:r>
        <w:rPr>
          <w:rFonts w:ascii="Arial" w:cs="Arial" w:eastAsia="Arial" w:hAnsi="Arial"/>
          <w:sz w:val="18"/>
          <w:szCs w:val="18"/>
          <w:color w:val="323232"/>
        </w:rPr>
        <w:t>We were careful and deliberate in our actions within these focus areas, driving outperformance. The ideas, execution, and results realized have been inspiring, from reducing the layers in our organization to earning business with new customers.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153670</wp:posOffset>
            </wp:positionV>
            <wp:extent cx="6231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53" w:lineRule="exact"/>
        <w:rPr>
          <w:sz w:val="20"/>
          <w:szCs w:val="20"/>
          <w:color w:val="auto"/>
        </w:rPr>
      </w:pPr>
    </w:p>
    <w:p>
      <w:pPr>
        <w:ind w:left="640" w:hanging="202"/>
        <w:spacing w:after="0"/>
        <w:tabs>
          <w:tab w:leader="none" w:pos="640" w:val="left"/>
        </w:tabs>
        <w:numPr>
          <w:ilvl w:val="0"/>
          <w:numId w:val="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right="500"/>
        <w:spacing w:after="0" w:line="287" w:lineRule="auto"/>
        <w:rPr>
          <w:sz w:val="20"/>
          <w:szCs w:val="20"/>
          <w:color w:val="auto"/>
        </w:rPr>
      </w:pPr>
      <w:r>
        <w:rPr>
          <w:rFonts w:ascii="Arial" w:cs="Arial" w:eastAsia="Arial" w:hAnsi="Arial"/>
          <w:sz w:val="18"/>
          <w:szCs w:val="18"/>
          <w:color w:val="323232"/>
        </w:rPr>
        <w:t>delivered on our promises and continue to gain momentum. To put it in perspective, 2021 marked the first time in over 30 years that Weatherford has generated free cash flow for two consecutive years.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38"/>
          <w:szCs w:val="38"/>
          <w:color w:val="191919"/>
        </w:rPr>
        <w:t>Strategic Vectors</w:t>
      </w:r>
    </w:p>
    <w:p>
      <w:pPr>
        <w:spacing w:after="0" w:line="127"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323232"/>
        </w:rPr>
        <w:t>Beyond our operational imperatives, we recognize the importance of building long-term value for customers. To do so, we introduced our long-term Strategic Vectors to shape our roadmap: 1) Product and Service Portfolio, 2) Digital Transformation, and 3) ESG and the Energy Transition. These are central themes to the future of our sector, and Weatherford has the differentiation, footprint, and track record of delivering significant value for customers, shareholders, and the industry.</w:t>
      </w:r>
    </w:p>
    <w:p>
      <w:pPr>
        <w:spacing w:after="0" w:line="71" w:lineRule="exact"/>
        <w:rPr>
          <w:sz w:val="20"/>
          <w:szCs w:val="20"/>
          <w:color w:val="auto"/>
        </w:rPr>
      </w:pPr>
    </w:p>
    <w:p>
      <w:pPr>
        <w:ind w:left="440" w:right="300"/>
        <w:spacing w:after="0" w:line="268" w:lineRule="auto"/>
        <w:rPr>
          <w:sz w:val="20"/>
          <w:szCs w:val="20"/>
          <w:color w:val="auto"/>
        </w:rPr>
      </w:pPr>
      <w:r>
        <w:rPr>
          <w:rFonts w:ascii="Arial" w:cs="Arial" w:eastAsia="Arial" w:hAnsi="Arial"/>
          <w:sz w:val="18"/>
          <w:szCs w:val="18"/>
          <w:color w:val="323232"/>
        </w:rPr>
        <w:t>We made substantial progress in each of our Strategic Vectors throughout the year and we continue to raise the bar. We gained significant momentum in the market, driven by our strong customer relationships, differentiated technology, and operational excellence.</w:t>
      </w:r>
    </w:p>
    <w:p>
      <w:pPr>
        <w:spacing w:after="0" w:line="103" w:lineRule="exact"/>
        <w:rPr>
          <w:sz w:val="20"/>
          <w:szCs w:val="20"/>
          <w:color w:val="auto"/>
        </w:rPr>
      </w:pPr>
    </w:p>
    <w:tbl>
      <w:tblPr>
        <w:tblLayout w:type="fixed"/>
        <w:tblInd w:w="500" w:type="dxa"/>
        <w:tblCellMar>
          <w:top w:w="0" w:type="dxa"/>
          <w:left w:w="0" w:type="dxa"/>
          <w:bottom w:w="0" w:type="dxa"/>
          <w:right w:w="0" w:type="dxa"/>
        </w:tblCellMar>
      </w:tblPr>
      <w:tr>
        <w:trPr>
          <w:trHeight w:val="473"/>
        </w:trPr>
        <w:tc>
          <w:tcPr>
            <w:tcW w:w="660" w:type="dxa"/>
            <w:vAlign w:val="bottom"/>
          </w:tcPr>
          <w:p>
            <w:pPr>
              <w:spacing w:after="0"/>
              <w:rPr>
                <w:sz w:val="20"/>
                <w:szCs w:val="20"/>
                <w:color w:val="auto"/>
              </w:rPr>
            </w:pPr>
            <w:r>
              <w:rPr>
                <w:rFonts w:ascii="Arial" w:cs="Arial" w:eastAsia="Arial" w:hAnsi="Arial"/>
                <w:sz w:val="18"/>
                <w:szCs w:val="18"/>
                <w:color w:val="323232"/>
              </w:rPr>
              <w:t>​</w:t>
            </w:r>
          </w:p>
        </w:tc>
        <w:tc>
          <w:tcPr>
            <w:tcW w:w="9000" w:type="dxa"/>
            <w:vAlign w:val="bottom"/>
          </w:tcPr>
          <w:p>
            <w:pPr>
              <w:ind w:left="620"/>
              <w:spacing w:after="0"/>
              <w:rPr>
                <w:sz w:val="20"/>
                <w:szCs w:val="20"/>
                <w:color w:val="auto"/>
              </w:rPr>
            </w:pP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Product &amp; Service Portfolio</w:t>
            </w:r>
            <w:r>
              <w:rPr>
                <w:rFonts w:ascii="Arial" w:cs="Arial" w:eastAsia="Arial" w:hAnsi="Arial"/>
                <w:sz w:val="17"/>
                <w:szCs w:val="17"/>
                <w:color w:val="323232"/>
              </w:rPr>
              <w:t>​</w:t>
            </w:r>
          </w:p>
        </w:tc>
        <w:tc>
          <w:tcPr>
            <w:tcW w:w="80" w:type="dxa"/>
            <w:vAlign w:val="bottom"/>
          </w:tcPr>
          <w:p>
            <w:pPr>
              <w:ind w:left="20"/>
              <w:spacing w:after="0"/>
              <w:rPr>
                <w:sz w:val="20"/>
                <w:szCs w:val="20"/>
                <w:color w:val="auto"/>
              </w:rPr>
            </w:pPr>
            <w:r>
              <w:rPr>
                <w:rFonts w:ascii="Arial" w:cs="Arial" w:eastAsia="Arial" w:hAnsi="Arial"/>
                <w:sz w:val="18"/>
                <w:szCs w:val="18"/>
                <w:color w:val="323232"/>
              </w:rPr>
              <w:t>​</w:t>
            </w: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We highlighted our market-leading offerings, including Managed Pressure Drilling, Tubular Running</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Services, Cementation Products, and Fishing &amp; Re-Entry Solutions, to serve as the foundation to drive</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growth and pull-through across our portfolio. These offerings reflect the strength and differentiation of</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our technology and innovation. Additionally, the seamless integration of our digital offerings and the</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ability to provide integrated solutions across our segments enable continued growth in our core</w:t>
            </w:r>
          </w:p>
        </w:tc>
        <w:tc>
          <w:tcPr>
            <w:tcW w:w="80" w:type="dxa"/>
            <w:vAlign w:val="bottom"/>
          </w:tcPr>
          <w:p>
            <w:pPr>
              <w:spacing w:after="0"/>
              <w:rPr>
                <w:sz w:val="18"/>
                <w:szCs w:val="18"/>
                <w:color w:val="auto"/>
              </w:rPr>
            </w:pPr>
          </w:p>
        </w:tc>
      </w:tr>
      <w:tr>
        <w:trPr>
          <w:trHeight w:val="239"/>
        </w:trPr>
        <w:tc>
          <w:tcPr>
            <w:tcW w:w="660" w:type="dxa"/>
            <w:vAlign w:val="bottom"/>
          </w:tcPr>
          <w:p>
            <w:pPr>
              <w:spacing w:after="0"/>
              <w:rPr>
                <w:sz w:val="20"/>
                <w:szCs w:val="20"/>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operations and the Energy Transition.</w:t>
            </w:r>
          </w:p>
        </w:tc>
        <w:tc>
          <w:tcPr>
            <w:tcW w:w="80" w:type="dxa"/>
            <w:vAlign w:val="bottom"/>
          </w:tcPr>
          <w:p>
            <w:pPr>
              <w:spacing w:after="0"/>
              <w:rPr>
                <w:sz w:val="20"/>
                <w:szCs w:val="20"/>
                <w:color w:val="auto"/>
              </w:rPr>
            </w:pPr>
          </w:p>
        </w:tc>
      </w:tr>
      <w:tr>
        <w:trPr>
          <w:trHeight w:val="612"/>
        </w:trPr>
        <w:tc>
          <w:tcPr>
            <w:tcW w:w="660" w:type="dxa"/>
            <w:vAlign w:val="bottom"/>
          </w:tcPr>
          <w:p>
            <w:pPr>
              <w:spacing w:after="0"/>
              <w:rPr>
                <w:sz w:val="20"/>
                <w:szCs w:val="20"/>
                <w:color w:val="auto"/>
              </w:rPr>
            </w:pPr>
            <w:r>
              <w:rPr>
                <w:rFonts w:ascii="Arial" w:cs="Arial" w:eastAsia="Arial" w:hAnsi="Arial"/>
                <w:sz w:val="18"/>
                <w:szCs w:val="18"/>
                <w:color w:val="323232"/>
              </w:rPr>
              <w:t>​</w:t>
            </w:r>
          </w:p>
        </w:tc>
        <w:tc>
          <w:tcPr>
            <w:tcW w:w="9000" w:type="dxa"/>
            <w:vAlign w:val="bottom"/>
          </w:tcPr>
          <w:p>
            <w:pPr>
              <w:ind w:left="620"/>
              <w:spacing w:after="0"/>
              <w:rPr>
                <w:sz w:val="20"/>
                <w:szCs w:val="20"/>
                <w:color w:val="auto"/>
              </w:rPr>
            </w:pP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Digital Transformation</w:t>
            </w:r>
            <w:r>
              <w:rPr>
                <w:rFonts w:ascii="Arial" w:cs="Arial" w:eastAsia="Arial" w:hAnsi="Arial"/>
                <w:sz w:val="17"/>
                <w:szCs w:val="17"/>
                <w:color w:val="323232"/>
              </w:rPr>
              <w:t>​</w:t>
            </w:r>
          </w:p>
        </w:tc>
        <w:tc>
          <w:tcPr>
            <w:tcW w:w="80" w:type="dxa"/>
            <w:vAlign w:val="bottom"/>
          </w:tcPr>
          <w:p>
            <w:pPr>
              <w:ind w:left="20"/>
              <w:spacing w:after="0"/>
              <w:rPr>
                <w:sz w:val="20"/>
                <w:szCs w:val="20"/>
                <w:color w:val="auto"/>
              </w:rPr>
            </w:pPr>
            <w:r>
              <w:rPr>
                <w:rFonts w:ascii="Arial" w:cs="Arial" w:eastAsia="Arial" w:hAnsi="Arial"/>
                <w:sz w:val="18"/>
                <w:szCs w:val="18"/>
                <w:color w:val="323232"/>
              </w:rPr>
              <w:t>​</w:t>
            </w: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w w:val="99"/>
              </w:rPr>
              <w:t>Our customers are focused on their digital transformations, and our ability to enable them in this area is</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a powerful growth opportunity for us. Our customers have realized significant value from our digital</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w w:val="99"/>
              </w:rPr>
              <w:t>offerings, which feature remote operating ties, visualization, edge automation, and artificial intelligence.</w:t>
            </w:r>
          </w:p>
        </w:tc>
        <w:tc>
          <w:tcPr>
            <w:tcW w:w="80" w:type="dxa"/>
            <w:vAlign w:val="bottom"/>
          </w:tcPr>
          <w:p>
            <w:pPr>
              <w:spacing w:after="0"/>
              <w:rPr>
                <w:sz w:val="18"/>
                <w:szCs w:val="18"/>
                <w:color w:val="auto"/>
              </w:rPr>
            </w:pPr>
          </w:p>
        </w:tc>
      </w:tr>
      <w:tr>
        <w:trPr>
          <w:trHeight w:val="239"/>
        </w:trPr>
        <w:tc>
          <w:tcPr>
            <w:tcW w:w="660" w:type="dxa"/>
            <w:vAlign w:val="bottom"/>
          </w:tcPr>
          <w:p>
            <w:pPr>
              <w:spacing w:after="0"/>
              <w:rPr>
                <w:sz w:val="20"/>
                <w:szCs w:val="20"/>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In 2021, we expanded our digital platforms into new geographies.</w:t>
            </w:r>
          </w:p>
        </w:tc>
        <w:tc>
          <w:tcPr>
            <w:tcW w:w="80" w:type="dxa"/>
            <w:vAlign w:val="bottom"/>
          </w:tcPr>
          <w:p>
            <w:pPr>
              <w:spacing w:after="0"/>
              <w:rPr>
                <w:sz w:val="20"/>
                <w:szCs w:val="20"/>
                <w:color w:val="auto"/>
              </w:rPr>
            </w:pPr>
          </w:p>
        </w:tc>
      </w:tr>
      <w:tr>
        <w:trPr>
          <w:trHeight w:val="612"/>
        </w:trPr>
        <w:tc>
          <w:tcPr>
            <w:tcW w:w="660" w:type="dxa"/>
            <w:vAlign w:val="bottom"/>
          </w:tcPr>
          <w:p>
            <w:pPr>
              <w:spacing w:after="0"/>
              <w:rPr>
                <w:sz w:val="20"/>
                <w:szCs w:val="20"/>
                <w:color w:val="auto"/>
              </w:rPr>
            </w:pPr>
            <w:r>
              <w:rPr>
                <w:rFonts w:ascii="Arial" w:cs="Arial" w:eastAsia="Arial" w:hAnsi="Arial"/>
                <w:sz w:val="18"/>
                <w:szCs w:val="18"/>
                <w:color w:val="323232"/>
              </w:rPr>
              <w:t>​</w:t>
            </w:r>
          </w:p>
        </w:tc>
        <w:tc>
          <w:tcPr>
            <w:tcW w:w="9000" w:type="dxa"/>
            <w:vAlign w:val="bottom"/>
          </w:tcPr>
          <w:p>
            <w:pPr>
              <w:ind w:left="620"/>
              <w:spacing w:after="0"/>
              <w:rPr>
                <w:sz w:val="20"/>
                <w:szCs w:val="20"/>
                <w:color w:val="auto"/>
              </w:rPr>
            </w:pP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ESG and the Energy Transition</w:t>
            </w:r>
            <w:r>
              <w:rPr>
                <w:rFonts w:ascii="Arial" w:cs="Arial" w:eastAsia="Arial" w:hAnsi="Arial"/>
                <w:sz w:val="17"/>
                <w:szCs w:val="17"/>
                <w:color w:val="323232"/>
              </w:rPr>
              <w:t>​</w:t>
            </w:r>
          </w:p>
        </w:tc>
        <w:tc>
          <w:tcPr>
            <w:tcW w:w="80" w:type="dxa"/>
            <w:vAlign w:val="bottom"/>
          </w:tcPr>
          <w:p>
            <w:pPr>
              <w:ind w:left="20"/>
              <w:spacing w:after="0"/>
              <w:rPr>
                <w:sz w:val="20"/>
                <w:szCs w:val="20"/>
                <w:color w:val="auto"/>
              </w:rPr>
            </w:pPr>
            <w:r>
              <w:rPr>
                <w:rFonts w:ascii="Arial" w:cs="Arial" w:eastAsia="Arial" w:hAnsi="Arial"/>
                <w:sz w:val="18"/>
                <w:szCs w:val="18"/>
                <w:color w:val="323232"/>
              </w:rPr>
              <w:t>​</w:t>
            </w: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w w:val="99"/>
              </w:rPr>
              <w:t>This Strategic Vector defines the future decades from now and has generated tremendous traction from</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w w:val="99"/>
              </w:rPr>
              <w:t>our customers. We have affirmed our commitment to being net-zero by 2050 and have signed on to the</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United Nations Global Compact. Our offerings in Geothermal, Plug and Abandonment, and Carbon</w:t>
            </w:r>
          </w:p>
        </w:tc>
        <w:tc>
          <w:tcPr>
            <w:tcW w:w="80" w:type="dxa"/>
            <w:vAlign w:val="bottom"/>
          </w:tcPr>
          <w:p>
            <w:pPr>
              <w:spacing w:after="0"/>
              <w:rPr>
                <w:sz w:val="18"/>
                <w:szCs w:val="18"/>
                <w:color w:val="auto"/>
              </w:rPr>
            </w:pPr>
          </w:p>
        </w:tc>
      </w:tr>
      <w:tr>
        <w:trPr>
          <w:trHeight w:val="239"/>
        </w:trPr>
        <w:tc>
          <w:tcPr>
            <w:tcW w:w="660" w:type="dxa"/>
            <w:vAlign w:val="bottom"/>
          </w:tcPr>
          <w:p>
            <w:pPr>
              <w:spacing w:after="0"/>
              <w:rPr>
                <w:sz w:val="20"/>
                <w:szCs w:val="20"/>
                <w:color w:val="auto"/>
              </w:rPr>
            </w:pPr>
          </w:p>
        </w:tc>
        <w:tc>
          <w:tcPr>
            <w:tcW w:w="9000" w:type="dxa"/>
            <w:vAlign w:val="bottom"/>
          </w:tcPr>
          <w:p>
            <w:pPr>
              <w:ind w:left="800"/>
              <w:spacing w:after="0"/>
              <w:rPr>
                <w:sz w:val="20"/>
                <w:szCs w:val="20"/>
                <w:color w:val="auto"/>
              </w:rPr>
            </w:pPr>
            <w:r>
              <w:rPr>
                <w:rFonts w:ascii="Arial" w:cs="Arial" w:eastAsia="Arial" w:hAnsi="Arial"/>
                <w:sz w:val="18"/>
                <w:szCs w:val="18"/>
                <w:color w:val="323232"/>
              </w:rPr>
              <w:t>Capture, Utilization, and Storage (CCUS) are securing wins across multiple geographies.</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-2959735</wp:posOffset>
            </wp:positionV>
            <wp:extent cx="754380"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4380" cy="75438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-1733550</wp:posOffset>
            </wp:positionV>
            <wp:extent cx="43688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6880" cy="58293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-782320</wp:posOffset>
            </wp:positionV>
            <wp:extent cx="522605"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605" cy="539750"/>
                    </a:xfrm>
                    <a:prstGeom prst="rect">
                      <a:avLst/>
                    </a:prstGeom>
                    <a:noFill/>
                  </pic:spPr>
                </pic:pic>
              </a:graphicData>
            </a:graphic>
          </wp:anchor>
        </w:drawing>
      </w:r>
    </w:p>
    <w:p>
      <w:pPr>
        <w:spacing w:after="0" w:line="65" w:lineRule="exact"/>
        <w:rPr>
          <w:sz w:val="20"/>
          <w:szCs w:val="20"/>
          <w:color w:val="auto"/>
        </w:rPr>
      </w:pPr>
    </w:p>
    <w:p>
      <w:pPr>
        <w:ind w:left="440" w:right="500"/>
        <w:spacing w:after="0" w:line="268" w:lineRule="auto"/>
        <w:rPr>
          <w:sz w:val="20"/>
          <w:szCs w:val="20"/>
          <w:color w:val="auto"/>
        </w:rPr>
      </w:pPr>
      <w:r>
        <w:rPr>
          <w:rFonts w:ascii="Arial" w:cs="Arial" w:eastAsia="Arial" w:hAnsi="Arial"/>
          <w:sz w:val="18"/>
          <w:szCs w:val="18"/>
          <w:color w:val="323232"/>
        </w:rPr>
        <w:t>I am incredibly proud of our One Weatherford team’s achievements, commitment, and focus on driving progress and obtaining remarkable achievements in each of our Strategic Vectors. Their collective spirit and accomplishments have propelled us to success and laid a solid foundation to continue our journey in 2022 and beyond.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38"/>
          <w:szCs w:val="38"/>
          <w:color w:val="191919"/>
        </w:rPr>
        <w:t>The New Weatherford</w:t>
      </w:r>
    </w:p>
    <w:p>
      <w:pPr>
        <w:spacing w:after="0" w:line="127" w:lineRule="exact"/>
        <w:rPr>
          <w:sz w:val="20"/>
          <w:szCs w:val="20"/>
          <w:color w:val="auto"/>
        </w:rPr>
      </w:pPr>
    </w:p>
    <w:p>
      <w:pPr>
        <w:ind w:left="440" w:right="40"/>
        <w:spacing w:after="0" w:line="278" w:lineRule="auto"/>
        <w:rPr>
          <w:sz w:val="20"/>
          <w:szCs w:val="20"/>
          <w:color w:val="auto"/>
        </w:rPr>
      </w:pPr>
      <w:r>
        <w:rPr>
          <w:rFonts w:ascii="Arial" w:cs="Arial" w:eastAsia="Arial" w:hAnsi="Arial"/>
          <w:sz w:val="17"/>
          <w:szCs w:val="17"/>
          <w:color w:val="323232"/>
        </w:rPr>
        <w:t>The new Weatherford is starting to take shape, and this is a critical time for our Company. It will require us to manage multiple priorities simultaneously: delivering for shareholders and customers; driving innovation while maintaining rigorous cost controls; and reinventing fulfillment while scaling up for activity growth. We must ensure that we stay true to our values, starting with safety, compliance, and quality, while we forge our unique identity in the market. Innovation and differentiation in technology will be instrumental, as will customer focus and a collaborative spirit that fosters creativity and accountability.</w:t>
      </w:r>
    </w:p>
    <w:p>
      <w:pPr>
        <w:spacing w:after="0" w:line="56" w:lineRule="exact"/>
        <w:rPr>
          <w:sz w:val="20"/>
          <w:szCs w:val="20"/>
          <w:color w:val="auto"/>
        </w:rPr>
      </w:pPr>
    </w:p>
    <w:p>
      <w:pPr>
        <w:ind w:left="440" w:right="80"/>
        <w:spacing w:after="0" w:line="287" w:lineRule="auto"/>
        <w:rPr>
          <w:sz w:val="20"/>
          <w:szCs w:val="20"/>
          <w:color w:val="auto"/>
        </w:rPr>
      </w:pPr>
      <w:r>
        <w:rPr>
          <w:rFonts w:ascii="Arial" w:cs="Arial" w:eastAsia="Arial" w:hAnsi="Arial"/>
          <w:sz w:val="18"/>
          <w:szCs w:val="18"/>
          <w:color w:val="323232"/>
        </w:rPr>
        <w:t>I am confident that our One Weatherford team will carry us forward and deliver on our objectives. I look forward to updating you on our progress and appreciate the support from all of you on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57785</wp:posOffset>
            </wp:positionV>
            <wp:extent cx="1371600" cy="334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323232"/>
        </w:rPr>
        <w:t>GIRISHCHANDRA K. SALIGRAM</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323232"/>
        </w:rPr>
        <w:t>President and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323232"/>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177800</wp:posOffset>
            </wp:positionV>
            <wp:extent cx="6231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91" w:lineRule="exact"/>
        <w:rPr>
          <w:sz w:val="20"/>
          <w:szCs w:val="20"/>
          <w:color w:val="auto"/>
        </w:rPr>
      </w:pPr>
    </w:p>
    <w:p>
      <w:pPr>
        <w:ind w:left="658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65"/>
          <w:szCs w:val="65"/>
          <w:color w:val="BA0C2F"/>
        </w:rPr>
        <w:t>A YEAR OF ACHIEVEMENT</w:t>
      </w:r>
    </w:p>
    <w:p>
      <w:pPr>
        <w:spacing w:after="0" w:line="114"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323232"/>
        </w:rPr>
        <w:t>Weatherford exited 2020 with forward momentum by leveraging our portfolio, expanding margins, and enhancing liquidity, which continued to build through the year resulting in strong operational performance. With a firm strategy and foundation in place, 2021 was a year of significant achievement as we executed our strategic priorities,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77470</wp:posOffset>
            </wp:positionV>
            <wp:extent cx="6231890" cy="4732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189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323232"/>
        </w:rPr>
        <w:t>With our customers at the center of our focus, we harnessed growth opportunities through commercial traction of new technologies, expanding our unique and market-leading portfolio into targeted geographies, and driving synergies from cross-product line solutions. Our contract awards in 2021 demonstrate our ability to win in the marketplace and represent a pivot from the profile of a shrinking company over the past several years to one with a directed growth trajectory that continues to deliver margin expansion.</w:t>
      </w:r>
    </w:p>
    <w:p>
      <w:pPr>
        <w:spacing w:after="0" w:line="71"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323232"/>
        </w:rPr>
        <w:t>With the strong finish in 2021, we are very excited about our strategic direction as the Company is poised to perform competitively in the unfolding upcycle for the energy industry. We entered 2022 with a growth and execution mindset, focused on further improving the Company’s fulfillment strategy, achieving profitable growth in the marketplace led by the strength of our portfolio, and building upon the tremendous cost-reductions and cash generation successes of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657225</wp:posOffset>
            </wp:positionV>
            <wp:extent cx="6231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 xml:space="preserve">IV  </w:t>
      </w: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65"/>
          <w:szCs w:val="65"/>
          <w:color w:val="BA0C2F"/>
        </w:rPr>
        <w:t>ENERGY TRANSITION</w:t>
      </w:r>
    </w:p>
    <w:p>
      <w:pPr>
        <w:spacing w:after="0" w:line="114" w:lineRule="exact"/>
        <w:rPr>
          <w:sz w:val="20"/>
          <w:szCs w:val="20"/>
          <w:color w:val="auto"/>
        </w:rPr>
      </w:pPr>
    </w:p>
    <w:p>
      <w:pPr>
        <w:ind w:left="440" w:right="160"/>
        <w:spacing w:after="0" w:line="262" w:lineRule="auto"/>
        <w:rPr>
          <w:sz w:val="20"/>
          <w:szCs w:val="20"/>
          <w:color w:val="auto"/>
        </w:rPr>
      </w:pPr>
      <w:r>
        <w:rPr>
          <w:rFonts w:ascii="Arial" w:cs="Arial" w:eastAsia="Arial" w:hAnsi="Arial"/>
          <w:sz w:val="18"/>
          <w:szCs w:val="18"/>
          <w:color w:val="323232"/>
        </w:rPr>
        <w:t>ESG and the Energy Transition are extremely important to Weatherford, our customers, and our shareholders. As a Company, we are making progress to reduce our carbon footprint. We have affirmed our commitment to being net-zero by 2050 and have signed on to the United Nations Global Compact (UNGC). To support our journey, we are focused on three ESG pillars:</w:t>
      </w:r>
    </w:p>
    <w:p>
      <w:pPr>
        <w:spacing w:after="0" w:line="109" w:lineRule="exact"/>
        <w:rPr>
          <w:sz w:val="20"/>
          <w:szCs w:val="20"/>
          <w:color w:val="auto"/>
        </w:rPr>
      </w:pPr>
    </w:p>
    <w:p>
      <w:pPr>
        <w:ind w:left="500"/>
        <w:spacing w:after="0"/>
        <w:tabs>
          <w:tab w:leader="none" w:pos="1760" w:val="left"/>
          <w:tab w:leader="none" w:pos="10160" w:val="left"/>
        </w:tabs>
        <w:rPr>
          <w:sz w:val="20"/>
          <w:szCs w:val="20"/>
          <w:color w:val="auto"/>
        </w:rPr>
      </w:pPr>
      <w:r>
        <w:rPr>
          <w:rFonts w:ascii="Arial" w:cs="Arial" w:eastAsia="Arial" w:hAnsi="Arial"/>
          <w:sz w:val="36"/>
          <w:szCs w:val="36"/>
          <w:color w:val="323232"/>
          <w:vertAlign w:val="superscript"/>
        </w:rPr>
        <w:t>​</w:t>
      </w:r>
      <w:r>
        <w:rPr>
          <w:sz w:val="20"/>
          <w:szCs w:val="20"/>
          <w:color w:val="auto"/>
        </w:rPr>
        <w:tab/>
      </w: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ESG Reporting</w:t>
      </w:r>
      <w:r>
        <w:rPr>
          <w:rFonts w:ascii="Arial" w:cs="Arial" w:eastAsia="Arial" w:hAnsi="Arial"/>
          <w:sz w:val="17"/>
          <w:szCs w:val="17"/>
          <w:color w:val="323232"/>
        </w:rPr>
        <w:t>​</w:t>
      </w:r>
      <w:r>
        <w:rPr>
          <w:sz w:val="20"/>
          <w:szCs w:val="20"/>
          <w:color w:val="auto"/>
        </w:rPr>
        <w:tab/>
      </w:r>
      <w:r>
        <w:rPr>
          <w:rFonts w:ascii="Arial" w:cs="Arial" w:eastAsia="Arial" w:hAnsi="Arial"/>
          <w:sz w:val="36"/>
          <w:szCs w:val="36"/>
          <w:color w:val="323232"/>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-181610</wp:posOffset>
            </wp:positionV>
            <wp:extent cx="411480"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 cy="557530"/>
                    </a:xfrm>
                    <a:prstGeom prst="rect">
                      <a:avLst/>
                    </a:prstGeom>
                    <a:noFill/>
                  </pic:spPr>
                </pic:pic>
              </a:graphicData>
            </a:graphic>
          </wp:anchor>
        </w:drawing>
      </w:r>
    </w:p>
    <w:p>
      <w:pPr>
        <w:spacing w:after="0" w:line="49" w:lineRule="exact"/>
        <w:rPr>
          <w:sz w:val="20"/>
          <w:szCs w:val="20"/>
          <w:color w:val="auto"/>
        </w:rPr>
      </w:pPr>
    </w:p>
    <w:p>
      <w:pPr>
        <w:ind w:left="1960" w:right="160"/>
        <w:spacing w:after="0" w:line="275" w:lineRule="auto"/>
        <w:rPr>
          <w:sz w:val="20"/>
          <w:szCs w:val="20"/>
          <w:color w:val="auto"/>
        </w:rPr>
      </w:pPr>
      <w:r>
        <w:rPr>
          <w:rFonts w:ascii="Arial" w:cs="Arial" w:eastAsia="Arial" w:hAnsi="Arial"/>
          <w:sz w:val="17"/>
          <w:szCs w:val="17"/>
          <w:color w:val="323232"/>
        </w:rPr>
        <w:t>We are enhancing our ESG, and financial disclosures, including the upcoming launch of our Company’s first Sustainability Report — which has been guided by the Global Reporting Initiative (GRI) standards and based on an internal assessment of material issues. We remain committed to being transparent in our journey to build a more sustainable Company. In addition, we have identified KPIs across ESG aspects of our business and will closely track these to ensure we make material progress.</w:t>
      </w:r>
    </w:p>
    <w:p>
      <w:pPr>
        <w:spacing w:after="0" w:line="111" w:lineRule="exact"/>
        <w:rPr>
          <w:sz w:val="20"/>
          <w:szCs w:val="20"/>
          <w:color w:val="auto"/>
        </w:rPr>
      </w:pPr>
    </w:p>
    <w:p>
      <w:pPr>
        <w:ind w:left="500"/>
        <w:spacing w:after="0"/>
        <w:tabs>
          <w:tab w:leader="none" w:pos="1760" w:val="left"/>
          <w:tab w:leader="none" w:pos="10160" w:val="left"/>
        </w:tabs>
        <w:rPr>
          <w:sz w:val="20"/>
          <w:szCs w:val="20"/>
          <w:color w:val="auto"/>
        </w:rPr>
      </w:pPr>
      <w:r>
        <w:rPr>
          <w:rFonts w:ascii="Arial" w:cs="Arial" w:eastAsia="Arial" w:hAnsi="Arial"/>
          <w:sz w:val="36"/>
          <w:szCs w:val="36"/>
          <w:color w:val="323232"/>
          <w:vertAlign w:val="superscript"/>
        </w:rPr>
        <w:t>​</w:t>
      </w:r>
      <w:r>
        <w:rPr>
          <w:sz w:val="20"/>
          <w:szCs w:val="20"/>
          <w:color w:val="auto"/>
        </w:rPr>
        <w:tab/>
      </w: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Weatherford Decarbonization</w:t>
      </w:r>
      <w:r>
        <w:rPr>
          <w:rFonts w:ascii="Arial" w:cs="Arial" w:eastAsia="Arial" w:hAnsi="Arial"/>
          <w:sz w:val="17"/>
          <w:szCs w:val="17"/>
          <w:color w:val="323232"/>
        </w:rPr>
        <w:t>​</w:t>
      </w:r>
      <w:r>
        <w:rPr>
          <w:sz w:val="20"/>
          <w:szCs w:val="20"/>
          <w:color w:val="auto"/>
        </w:rPr>
        <w:tab/>
      </w:r>
      <w:r>
        <w:rPr>
          <w:rFonts w:ascii="Arial" w:cs="Arial" w:eastAsia="Arial" w:hAnsi="Arial"/>
          <w:sz w:val="36"/>
          <w:szCs w:val="36"/>
          <w:color w:val="323232"/>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-181610</wp:posOffset>
            </wp:positionV>
            <wp:extent cx="556895" cy="420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6895" cy="420370"/>
                    </a:xfrm>
                    <a:prstGeom prst="rect">
                      <a:avLst/>
                    </a:prstGeom>
                    <a:noFill/>
                  </pic:spPr>
                </pic:pic>
              </a:graphicData>
            </a:graphic>
          </wp:anchor>
        </w:drawing>
      </w:r>
    </w:p>
    <w:p>
      <w:pPr>
        <w:spacing w:after="0" w:line="49" w:lineRule="exact"/>
        <w:rPr>
          <w:sz w:val="20"/>
          <w:szCs w:val="20"/>
          <w:color w:val="auto"/>
        </w:rPr>
      </w:pPr>
    </w:p>
    <w:p>
      <w:pPr>
        <w:ind w:left="1960" w:right="260"/>
        <w:spacing w:after="0" w:line="271" w:lineRule="auto"/>
        <w:rPr>
          <w:sz w:val="20"/>
          <w:szCs w:val="20"/>
          <w:color w:val="auto"/>
        </w:rPr>
      </w:pPr>
      <w:r>
        <w:rPr>
          <w:rFonts w:ascii="Arial" w:cs="Arial" w:eastAsia="Arial" w:hAnsi="Arial"/>
          <w:sz w:val="17"/>
          <w:szCs w:val="17"/>
          <w:color w:val="323232"/>
        </w:rPr>
        <w:t>We are committed to decarbonizing our operations and supporting our customers’ efforts to do the same. As we move forward, we will build a roadmap to ensure our approach is thoughtful, pragmatic, and achievable, including setting science-based targets and milestones, with the ability to pivot with changing industry needs. As part of this commitment, we have launched Carbon Committees to engage cross-sectional teams to develop and accelerate decarbonization strategies across the globe. In addition, our participation with leading organizations such as the UNGC ensures we uphold our responsibilities in the areas of the environment as well as human rights, labor, and anti-corruption.</w:t>
      </w:r>
    </w:p>
    <w:p>
      <w:pPr>
        <w:spacing w:after="0" w:line="118" w:lineRule="exact"/>
        <w:rPr>
          <w:sz w:val="20"/>
          <w:szCs w:val="20"/>
          <w:color w:val="auto"/>
        </w:rPr>
      </w:pPr>
    </w:p>
    <w:p>
      <w:pPr>
        <w:ind w:left="500"/>
        <w:spacing w:after="0"/>
        <w:tabs>
          <w:tab w:leader="none" w:pos="1760" w:val="left"/>
          <w:tab w:leader="none" w:pos="10160" w:val="left"/>
        </w:tabs>
        <w:rPr>
          <w:sz w:val="20"/>
          <w:szCs w:val="20"/>
          <w:color w:val="auto"/>
        </w:rPr>
      </w:pPr>
      <w:r>
        <w:rPr>
          <w:rFonts w:ascii="Arial" w:cs="Arial" w:eastAsia="Arial" w:hAnsi="Arial"/>
          <w:sz w:val="36"/>
          <w:szCs w:val="36"/>
          <w:color w:val="323232"/>
          <w:vertAlign w:val="superscript"/>
        </w:rPr>
        <w:t>​</w:t>
      </w:r>
      <w:r>
        <w:rPr>
          <w:sz w:val="20"/>
          <w:szCs w:val="20"/>
          <w:color w:val="auto"/>
        </w:rPr>
        <w:tab/>
      </w:r>
      <w:r>
        <w:rPr>
          <w:rFonts w:ascii="Arial" w:cs="Arial" w:eastAsia="Arial" w:hAnsi="Arial"/>
          <w:sz w:val="35"/>
          <w:szCs w:val="35"/>
          <w:color w:val="323232"/>
          <w:vertAlign w:val="superscript"/>
        </w:rPr>
        <w:t>​ ​</w:t>
      </w:r>
      <w:r>
        <w:rPr>
          <w:rFonts w:ascii="Arial" w:cs="Arial" w:eastAsia="Arial" w:hAnsi="Arial"/>
          <w:sz w:val="25"/>
          <w:szCs w:val="25"/>
          <w:b w:val="1"/>
          <w:bCs w:val="1"/>
          <w:color w:val="C83D59"/>
        </w:rPr>
        <w:t>Energy Transition Offerings</w:t>
      </w:r>
      <w:r>
        <w:rPr>
          <w:rFonts w:ascii="Arial" w:cs="Arial" w:eastAsia="Arial" w:hAnsi="Arial"/>
          <w:sz w:val="17"/>
          <w:szCs w:val="17"/>
          <w:color w:val="323232"/>
        </w:rPr>
        <w:t>​</w:t>
      </w:r>
      <w:r>
        <w:rPr>
          <w:sz w:val="20"/>
          <w:szCs w:val="20"/>
          <w:color w:val="auto"/>
        </w:rPr>
        <w:tab/>
      </w:r>
      <w:r>
        <w:rPr>
          <w:rFonts w:ascii="Arial" w:cs="Arial" w:eastAsia="Arial" w:hAnsi="Arial"/>
          <w:sz w:val="36"/>
          <w:szCs w:val="36"/>
          <w:color w:val="323232"/>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-181610</wp:posOffset>
            </wp:positionV>
            <wp:extent cx="445770" cy="436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5770" cy="436880"/>
                    </a:xfrm>
                    <a:prstGeom prst="rect">
                      <a:avLst/>
                    </a:prstGeom>
                    <a:noFill/>
                  </pic:spPr>
                </pic:pic>
              </a:graphicData>
            </a:graphic>
          </wp:anchor>
        </w:drawing>
      </w:r>
    </w:p>
    <w:p>
      <w:pPr>
        <w:spacing w:after="0" w:line="49" w:lineRule="exact"/>
        <w:rPr>
          <w:sz w:val="20"/>
          <w:szCs w:val="20"/>
          <w:color w:val="auto"/>
        </w:rPr>
      </w:pPr>
    </w:p>
    <w:p>
      <w:pPr>
        <w:ind w:left="1960" w:right="120"/>
        <w:spacing w:after="0" w:line="254" w:lineRule="auto"/>
        <w:rPr>
          <w:sz w:val="20"/>
          <w:szCs w:val="20"/>
          <w:color w:val="auto"/>
        </w:rPr>
      </w:pPr>
      <w:r>
        <w:rPr>
          <w:rFonts w:ascii="Arial" w:cs="Arial" w:eastAsia="Arial" w:hAnsi="Arial"/>
          <w:sz w:val="18"/>
          <w:szCs w:val="18"/>
          <w:color w:val="323232"/>
        </w:rPr>
        <w:t>We are actively engaging with our customers in three targeted platforms: Geothermal Solutions, Carbon Capture, Utilization and Storage (CCUS), and Plug and Abandonment (P&amp;A). These platforms are not new for us but have a refreshed focus and afford the ability to leverage our unique capabilities to support our customers’ evolution. We have technology capabilities to help customers produce oil and natural gas with fewer emissions and solutions in new energy ventures, such as CCUS and Geothermal projects. As the world evolves its energy mix, P&amp;A projects on mature fields takes on significant importance and we are actively working those in multiple geographies.</w:t>
      </w:r>
    </w:p>
    <w:p>
      <w:pPr>
        <w:spacing w:after="0" w:line="76" w:lineRule="exact"/>
        <w:rPr>
          <w:sz w:val="20"/>
          <w:szCs w:val="20"/>
          <w:color w:val="auto"/>
        </w:rPr>
      </w:pPr>
    </w:p>
    <w:p>
      <w:pPr>
        <w:ind w:left="440" w:right="840"/>
        <w:spacing w:after="0" w:line="287" w:lineRule="auto"/>
        <w:rPr>
          <w:sz w:val="20"/>
          <w:szCs w:val="20"/>
          <w:color w:val="auto"/>
        </w:rPr>
      </w:pPr>
      <w:r>
        <w:rPr>
          <w:rFonts w:ascii="Arial" w:cs="Arial" w:eastAsia="Arial" w:hAnsi="Arial"/>
          <w:sz w:val="18"/>
          <w:szCs w:val="18"/>
          <w:color w:val="323232"/>
        </w:rPr>
        <w:t>Energy matters more than ever, and we are committed to building a more sustainable future with greater focus on transparency and the responsible management of ESG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2372360</wp:posOffset>
            </wp:positionV>
            <wp:extent cx="6231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126365</wp:posOffset>
            </wp:positionV>
            <wp:extent cx="6231890" cy="1431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189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65"/>
          <w:szCs w:val="65"/>
          <w:color w:val="BA0C2F"/>
        </w:rPr>
        <w:t>OUR DIRECTOR NOMINEES</w:t>
      </w:r>
    </w:p>
    <w:p>
      <w:pPr>
        <w:spacing w:after="0" w:line="114"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Our Board is committed to ensuring the Company’s business affairs are managed in an effective and accountable manner. To achieve this, the composition of our Board is carefully considered and evaluated to bring the appropriate range of skills and experience in relevant areas including finance, exploration and production, environment, international business and leadership, and oilfield services that will enable our Board to help guide the Company’s strategic objectives and maintain high standards of corporate governance practices.</w:t>
      </w:r>
    </w:p>
    <w:p>
      <w:pPr>
        <w:spacing w:after="0" w:line="200" w:lineRule="exact"/>
        <w:rPr>
          <w:sz w:val="20"/>
          <w:szCs w:val="20"/>
          <w:color w:val="auto"/>
        </w:rPr>
      </w:pP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68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3840" w:type="dxa"/>
            <w:vAlign w:val="bottom"/>
          </w:tcPr>
          <w:p>
            <w:pPr>
              <w:ind w:left="1900"/>
              <w:spacing w:after="0"/>
              <w:rPr>
                <w:sz w:val="20"/>
                <w:szCs w:val="20"/>
                <w:color w:val="auto"/>
              </w:rPr>
            </w:pPr>
            <w:r>
              <w:rPr>
                <w:rFonts w:ascii="Arial" w:cs="Arial" w:eastAsia="Arial" w:hAnsi="Arial"/>
                <w:sz w:val="15"/>
                <w:szCs w:val="15"/>
                <w:b w:val="1"/>
                <w:bCs w:val="1"/>
                <w:color w:val="auto"/>
              </w:rPr>
              <w:t>Name</w:t>
            </w:r>
          </w:p>
        </w:tc>
        <w:tc>
          <w:tcPr>
            <w:tcW w:w="1260" w:type="dxa"/>
            <w:vAlign w:val="bottom"/>
            <w:vMerge w:val="restart"/>
          </w:tcPr>
          <w:p>
            <w:pPr>
              <w:ind w:left="1100"/>
              <w:spacing w:after="0"/>
              <w:rPr>
                <w:sz w:val="20"/>
                <w:szCs w:val="20"/>
                <w:color w:val="auto"/>
              </w:rPr>
            </w:pPr>
            <w:r>
              <w:rPr>
                <w:rFonts w:ascii="Arial" w:cs="Arial" w:eastAsia="Arial" w:hAnsi="Arial"/>
                <w:sz w:val="15"/>
                <w:szCs w:val="15"/>
                <w:b w:val="1"/>
                <w:bCs w:val="1"/>
                <w:color w:val="auto"/>
              </w:rPr>
              <w:t>​ ​</w:t>
            </w:r>
          </w:p>
        </w:tc>
        <w:tc>
          <w:tcPr>
            <w:tcW w:w="4020" w:type="dxa"/>
            <w:vAlign w:val="bottom"/>
          </w:tcPr>
          <w:p>
            <w:pPr>
              <w:ind w:left="1580"/>
              <w:spacing w:after="0"/>
              <w:rPr>
                <w:sz w:val="20"/>
                <w:szCs w:val="20"/>
                <w:color w:val="auto"/>
              </w:rPr>
            </w:pPr>
            <w:r>
              <w:rPr>
                <w:rFonts w:ascii="Arial" w:cs="Arial" w:eastAsia="Arial" w:hAnsi="Arial"/>
                <w:sz w:val="15"/>
                <w:szCs w:val="15"/>
                <w:b w:val="1"/>
                <w:bCs w:val="1"/>
                <w:color w:val="auto"/>
              </w:rPr>
              <w:t>Committees</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
        </w:trPr>
        <w:tc>
          <w:tcPr>
            <w:tcW w:w="680" w:type="dxa"/>
            <w:vAlign w:val="bottom"/>
            <w:tcBorders>
              <w:bottom w:val="single" w:sz="8" w:color="auto"/>
            </w:tcBorders>
            <w:vMerge w:val="continue"/>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vMerge w:val="continue"/>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99"/>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Compensation and Human Resources (Chair)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80" w:type="dxa"/>
            <w:vAlign w:val="bottom"/>
          </w:tcPr>
          <w:p>
            <w:pPr>
              <w:spacing w:after="0"/>
              <w:rPr>
                <w:sz w:val="20"/>
                <w:szCs w:val="20"/>
                <w:color w:val="auto"/>
              </w:rPr>
            </w:pPr>
            <w:r>
              <w:rPr>
                <w:rFonts w:ascii="Arial" w:cs="Arial" w:eastAsia="Arial" w:hAnsi="Arial"/>
                <w:sz w:val="16"/>
                <w:szCs w:val="16"/>
                <w:color w:val="auto"/>
              </w:rPr>
              <w:t>​</w:t>
            </w:r>
          </w:p>
        </w:tc>
        <w:tc>
          <w:tcPr>
            <w:tcW w:w="3840" w:type="dxa"/>
            <w:vAlign w:val="bottom"/>
          </w:tcPr>
          <w:p>
            <w:pPr>
              <w:ind w:left="620"/>
              <w:spacing w:after="0" w:line="326"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BENJAMIN C. DUSTER IV</w:t>
            </w:r>
          </w:p>
        </w:tc>
        <w:tc>
          <w:tcPr>
            <w:tcW w:w="5280" w:type="dxa"/>
            <w:vAlign w:val="bottom"/>
            <w:gridSpan w:val="2"/>
          </w:tcPr>
          <w:p>
            <w:pPr>
              <w:ind w:left="10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A0C2F"/>
              </w:rPr>
              <w:t>■</w:t>
            </w:r>
            <w:r>
              <w:rPr>
                <w:rFonts w:ascii="Arial" w:cs="Arial" w:eastAsia="Arial" w:hAnsi="Arial"/>
                <w:sz w:val="16"/>
                <w:szCs w:val="16"/>
                <w:color w:val="auto"/>
              </w:rPr>
              <w:t xml:space="preserve"> Audit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Nominating and Governance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250190</wp:posOffset>
            </wp:positionV>
            <wp:extent cx="6223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-589280</wp:posOffset>
            </wp:positionV>
            <wp:extent cx="754380" cy="754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4380" cy="75438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361315</wp:posOffset>
            </wp:positionV>
            <wp:extent cx="754380" cy="754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543560</wp:posOffset>
            </wp:positionV>
            <wp:extent cx="75438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 NEAL P. GOLDMAN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Nominating and Governance (Chair)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A0C2F"/>
        </w:rPr>
        <w:t>■</w:t>
      </w:r>
      <w:r>
        <w:rPr>
          <w:rFonts w:ascii="Arial" w:cs="Arial" w:eastAsia="Arial" w:hAnsi="Arial"/>
          <w:sz w:val="16"/>
          <w:szCs w:val="16"/>
          <w:color w:val="auto"/>
        </w:rPr>
        <w:t xml:space="preserve"> Audit (Vice Chair)</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Compensation and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260985</wp:posOffset>
            </wp:positionV>
            <wp:extent cx="6223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70" w:lineRule="exact"/>
        <w:rPr>
          <w:sz w:val="20"/>
          <w:szCs w:val="20"/>
          <w:color w:val="auto"/>
        </w:rPr>
      </w:pPr>
    </w:p>
    <w:p>
      <w:pPr>
        <w:sectPr>
          <w:pgSz w:w="11900" w:h="16838" w:orient="portrait"/>
          <w:cols w:equalWidth="0" w:num="4">
            <w:col w:w="1020" w:space="720"/>
            <w:col w:w="3540" w:space="720"/>
            <w:col w:w="3520" w:space="720"/>
            <w:col w:w="40"/>
          </w:cols>
          <w:pgMar w:left="580" w:top="9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760" w:type="dxa"/>
            <w:vAlign w:val="bottom"/>
          </w:tcPr>
          <w:p>
            <w:pPr>
              <w:ind w:left="74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Safety, Environment and Sustainability (Chair)</w:t>
            </w:r>
          </w:p>
        </w:tc>
        <w:tc>
          <w:tcPr>
            <w:tcW w:w="40" w:type="dxa"/>
            <w:vAlign w:val="bottom"/>
          </w:tcPr>
          <w:p>
            <w:pPr>
              <w:spacing w:after="0"/>
              <w:rPr>
                <w:sz w:val="18"/>
                <w:szCs w:val="18"/>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6"/>
                <w:szCs w:val="16"/>
                <w:color w:val="auto"/>
              </w:rPr>
              <w:t>​</w:t>
            </w:r>
          </w:p>
        </w:tc>
        <w:tc>
          <w:tcPr>
            <w:tcW w:w="4360" w:type="dxa"/>
            <w:vAlign w:val="bottom"/>
          </w:tcPr>
          <w:p>
            <w:pPr>
              <w:ind w:left="620"/>
              <w:spacing w:after="0"/>
              <w:rPr>
                <w:sz w:val="20"/>
                <w:szCs w:val="20"/>
                <w:color w:val="auto"/>
              </w:rPr>
            </w:pPr>
            <w:r>
              <w:rPr>
                <w:rFonts w:ascii="Arial" w:cs="Arial" w:eastAsia="Arial" w:hAnsi="Arial"/>
                <w:sz w:val="16"/>
                <w:szCs w:val="16"/>
                <w:color w:val="auto"/>
              </w:rPr>
              <w:t>​ ​ JACQUELINE C. (JACKIE) MUTSCHLER</w:t>
            </w:r>
          </w:p>
        </w:tc>
        <w:tc>
          <w:tcPr>
            <w:tcW w:w="4760" w:type="dxa"/>
            <w:vAlign w:val="bottom"/>
          </w:tcPr>
          <w:p>
            <w:pPr>
              <w:ind w:left="5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A0C2F"/>
              </w:rPr>
              <w:t>■</w:t>
            </w:r>
            <w:r>
              <w:rPr>
                <w:rFonts w:ascii="Arial" w:cs="Arial" w:eastAsia="Arial" w:hAnsi="Arial"/>
                <w:sz w:val="16"/>
                <w:szCs w:val="16"/>
                <w:color w:val="auto"/>
              </w:rPr>
              <w:t xml:space="preserve"> Compensation and Human Resources</w:t>
            </w: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4760" w:type="dxa"/>
            <w:vAlign w:val="bottom"/>
          </w:tcPr>
          <w:p>
            <w:pPr>
              <w:ind w:left="74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Nominating and Governance</w:t>
            </w:r>
          </w:p>
        </w:tc>
        <w:tc>
          <w:tcPr>
            <w:tcW w:w="40" w:type="dxa"/>
            <w:vAlign w:val="bottom"/>
          </w:tcPr>
          <w:p>
            <w:pPr>
              <w:spacing w:after="0"/>
              <w:rPr>
                <w:sz w:val="23"/>
                <w:szCs w:val="23"/>
                <w:color w:val="auto"/>
              </w:rPr>
            </w:pPr>
          </w:p>
        </w:tc>
      </w:tr>
      <w:tr>
        <w:trPr>
          <w:trHeight w:val="380"/>
        </w:trPr>
        <w:tc>
          <w:tcPr>
            <w:tcW w:w="680" w:type="dxa"/>
            <w:vAlign w:val="bottom"/>
            <w:tcBorders>
              <w:bottom w:val="single" w:sz="8" w:color="B2B2B2"/>
            </w:tcBorders>
          </w:tcPr>
          <w:p>
            <w:pPr>
              <w:spacing w:after="0"/>
              <w:rPr>
                <w:sz w:val="24"/>
                <w:szCs w:val="24"/>
                <w:color w:val="auto"/>
              </w:rPr>
            </w:pPr>
          </w:p>
        </w:tc>
        <w:tc>
          <w:tcPr>
            <w:tcW w:w="4360" w:type="dxa"/>
            <w:vAlign w:val="bottom"/>
            <w:tcBorders>
              <w:bottom w:val="single" w:sz="8" w:color="B2B2B2"/>
            </w:tcBorders>
          </w:tcPr>
          <w:p>
            <w:pPr>
              <w:spacing w:after="0"/>
              <w:rPr>
                <w:sz w:val="24"/>
                <w:szCs w:val="24"/>
                <w:color w:val="auto"/>
              </w:rPr>
            </w:pPr>
          </w:p>
        </w:tc>
        <w:tc>
          <w:tcPr>
            <w:tcW w:w="4760" w:type="dxa"/>
            <w:vAlign w:val="bottom"/>
            <w:tcBorders>
              <w:bottom w:val="single" w:sz="8" w:color="B2B2B2"/>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102870</wp:posOffset>
            </wp:positionV>
            <wp:extent cx="728345" cy="72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345" cy="72898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40"/>
        <w:spacing w:after="0"/>
        <w:tabs>
          <w:tab w:leader="none" w:pos="1720" w:val="left"/>
          <w:tab w:leader="none" w:pos="5980" w:val="left"/>
          <w:tab w:leader="none" w:pos="10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 GIRISH K. SALIGRAM</w:t>
      </w:r>
      <w:r>
        <w:rPr>
          <w:sz w:val="20"/>
          <w:szCs w:val="20"/>
          <w:color w:val="auto"/>
        </w:rPr>
        <w:tab/>
      </w:r>
      <w:r>
        <w:rPr>
          <w:rFonts w:ascii="Arial" w:cs="Arial" w:eastAsia="Arial" w:hAnsi="Arial"/>
          <w:sz w:val="16"/>
          <w:szCs w:val="16"/>
          <w:color w:val="auto"/>
        </w:rPr>
        <w:t xml:space="preserve">​ ​ </w:t>
      </w:r>
      <w:r>
        <w:rPr>
          <w:rFonts w:ascii="Arial" w:cs="Arial" w:eastAsia="Arial" w:hAnsi="Arial"/>
          <w:sz w:val="16"/>
          <w:szCs w:val="16"/>
          <w:color w:val="BA0C2F"/>
        </w:rPr>
        <w:t>■</w:t>
      </w:r>
      <w:r>
        <w:rPr>
          <w:rFonts w:ascii="Arial" w:cs="Arial" w:eastAsia="Arial" w:hAnsi="Arial"/>
          <w:sz w:val="16"/>
          <w:szCs w:val="16"/>
          <w:color w:val="auto"/>
        </w:rPr>
        <w:t xml:space="preserve"> Safety, Environment and Sustainability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423545</wp:posOffset>
            </wp:positionV>
            <wp:extent cx="6223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518160</wp:posOffset>
            </wp:positionV>
            <wp:extent cx="75438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40" w:type="dxa"/>
        <w:tblCellMar>
          <w:top w:w="0" w:type="dxa"/>
          <w:left w:w="0" w:type="dxa"/>
          <w:bottom w:w="0" w:type="dxa"/>
          <w:right w:w="0" w:type="dxa"/>
        </w:tblCellMar>
      </w:tblPr>
      <w:tr>
        <w:trPr>
          <w:trHeight w:val="298"/>
        </w:trPr>
        <w:tc>
          <w:tcPr>
            <w:tcW w:w="680" w:type="dxa"/>
            <w:vAlign w:val="bottom"/>
          </w:tcPr>
          <w:p>
            <w:pPr>
              <w:spacing w:after="0"/>
              <w:rPr>
                <w:sz w:val="20"/>
                <w:szCs w:val="20"/>
                <w:color w:val="auto"/>
              </w:rPr>
            </w:pPr>
            <w:r>
              <w:rPr>
                <w:rFonts w:ascii="Arial" w:cs="Arial" w:eastAsia="Arial" w:hAnsi="Arial"/>
                <w:sz w:val="16"/>
                <w:szCs w:val="16"/>
                <w:color w:val="auto"/>
              </w:rPr>
              <w:t>​</w:t>
            </w:r>
          </w:p>
        </w:tc>
        <w:tc>
          <w:tcPr>
            <w:tcW w:w="4080" w:type="dxa"/>
            <w:vAlign w:val="bottom"/>
          </w:tcPr>
          <w:p>
            <w:pPr>
              <w:ind w:left="620"/>
              <w:spacing w:after="0"/>
              <w:rPr>
                <w:sz w:val="20"/>
                <w:szCs w:val="20"/>
                <w:color w:val="auto"/>
              </w:rPr>
            </w:pPr>
            <w:r>
              <w:rPr>
                <w:rFonts w:ascii="Arial" w:cs="Arial" w:eastAsia="Arial" w:hAnsi="Arial"/>
                <w:sz w:val="16"/>
                <w:szCs w:val="16"/>
                <w:color w:val="auto"/>
              </w:rPr>
              <w:t>​ ​ CHARLES M. (CHUCK) SLEDGE</w:t>
            </w:r>
          </w:p>
        </w:tc>
        <w:tc>
          <w:tcPr>
            <w:tcW w:w="1000" w:type="dxa"/>
            <w:vAlign w:val="bottom"/>
          </w:tcPr>
          <w:p>
            <w:pPr>
              <w:ind w:left="800"/>
              <w:spacing w:after="0"/>
              <w:rPr>
                <w:sz w:val="20"/>
                <w:szCs w:val="20"/>
                <w:color w:val="auto"/>
              </w:rPr>
            </w:pPr>
            <w:r>
              <w:rPr>
                <w:rFonts w:ascii="Arial" w:cs="Arial" w:eastAsia="Arial" w:hAnsi="Arial"/>
                <w:sz w:val="16"/>
                <w:szCs w:val="16"/>
                <w:color w:val="auto"/>
              </w:rPr>
              <w:t>​ ​</w:t>
            </w:r>
          </w:p>
        </w:tc>
        <w:tc>
          <w:tcPr>
            <w:tcW w:w="4040" w:type="dxa"/>
            <w:vAlign w:val="bottom"/>
          </w:tcPr>
          <w:p>
            <w:pPr>
              <w:ind w:left="2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Audit (Chair)</w:t>
            </w: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215"/>
        </w:trPr>
        <w:tc>
          <w:tcPr>
            <w:tcW w:w="6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6"/>
                <w:szCs w:val="16"/>
                <w:color w:val="BA0C2F"/>
              </w:rPr>
              <w:t xml:space="preserve">■ </w:t>
            </w:r>
            <w:r>
              <w:rPr>
                <w:rFonts w:ascii="Arial" w:cs="Arial" w:eastAsia="Arial" w:hAnsi="Arial"/>
                <w:sz w:val="16"/>
                <w:szCs w:val="16"/>
                <w:color w:val="000000"/>
              </w:rPr>
              <w:t>Safety, Environment and Sustainability</w:t>
            </w:r>
          </w:p>
        </w:tc>
        <w:tc>
          <w:tcPr>
            <w:tcW w:w="40" w:type="dxa"/>
            <w:vAlign w:val="bottom"/>
          </w:tcPr>
          <w:p>
            <w:pPr>
              <w:spacing w:after="0"/>
              <w:rPr>
                <w:sz w:val="18"/>
                <w:szCs w:val="18"/>
                <w:color w:val="auto"/>
              </w:rPr>
            </w:pPr>
          </w:p>
        </w:tc>
      </w:tr>
      <w:tr>
        <w:trPr>
          <w:trHeight w:val="460"/>
        </w:trPr>
        <w:tc>
          <w:tcPr>
            <w:tcW w:w="680" w:type="dxa"/>
            <w:vAlign w:val="bottom"/>
            <w:tcBorders>
              <w:bottom w:val="single" w:sz="8" w:color="B2B2B2"/>
            </w:tcBorders>
          </w:tcPr>
          <w:p>
            <w:pPr>
              <w:spacing w:after="0"/>
              <w:rPr>
                <w:sz w:val="24"/>
                <w:szCs w:val="24"/>
                <w:color w:val="auto"/>
              </w:rPr>
            </w:pPr>
          </w:p>
        </w:tc>
        <w:tc>
          <w:tcPr>
            <w:tcW w:w="4080" w:type="dxa"/>
            <w:vAlign w:val="bottom"/>
            <w:tcBorders>
              <w:bottom w:val="single" w:sz="8" w:color="B2B2B2"/>
            </w:tcBorders>
          </w:tcPr>
          <w:p>
            <w:pPr>
              <w:spacing w:after="0"/>
              <w:rPr>
                <w:sz w:val="24"/>
                <w:szCs w:val="24"/>
                <w:color w:val="auto"/>
              </w:rPr>
            </w:pPr>
          </w:p>
        </w:tc>
        <w:tc>
          <w:tcPr>
            <w:tcW w:w="1000" w:type="dxa"/>
            <w:vAlign w:val="bottom"/>
            <w:tcBorders>
              <w:bottom w:val="single" w:sz="8" w:color="B2B2B2"/>
            </w:tcBorders>
          </w:tcPr>
          <w:p>
            <w:pPr>
              <w:spacing w:after="0"/>
              <w:rPr>
                <w:sz w:val="24"/>
                <w:szCs w:val="24"/>
                <w:color w:val="auto"/>
              </w:rPr>
            </w:pPr>
          </w:p>
        </w:tc>
        <w:tc>
          <w:tcPr>
            <w:tcW w:w="4040" w:type="dxa"/>
            <w:vAlign w:val="bottom"/>
            <w:tcBorders>
              <w:bottom w:val="single" w:sz="8" w:color="B2B2B2"/>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1251585</wp:posOffset>
            </wp:positionV>
            <wp:extent cx="6231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 xml:space="preserve">VI  </w:t>
      </w: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11" w:lineRule="exact"/>
        <w:rPr>
          <w:sz w:val="20"/>
          <w:szCs w:val="20"/>
          <w:color w:val="auto"/>
        </w:rPr>
      </w:pPr>
    </w:p>
    <w:p>
      <w:pPr>
        <w:ind w:left="440" w:right="1760"/>
        <w:spacing w:after="0" w:line="246" w:lineRule="auto"/>
        <w:rPr>
          <w:sz w:val="20"/>
          <w:szCs w:val="20"/>
          <w:color w:val="auto"/>
        </w:rPr>
      </w:pPr>
      <w:r>
        <w:rPr>
          <w:rFonts w:ascii="Arial" w:cs="Arial" w:eastAsia="Arial" w:hAnsi="Arial"/>
          <w:sz w:val="64"/>
          <w:szCs w:val="64"/>
          <w:b w:val="1"/>
          <w:bCs w:val="1"/>
          <w:color w:val="BA0C2F"/>
        </w:rPr>
        <w:t>NOTICE OF 2022 ANNUAL GENERAL MEETING OF SHAREHOLDERS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BA0C2F"/>
        </w:rPr>
        <w:t>June 2, 2022</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10:00 a.m. (Central Time)</w:t>
      </w:r>
    </w:p>
    <w:p>
      <w:pPr>
        <w:ind w:left="440"/>
        <w:spacing w:after="0"/>
        <w:rPr>
          <w:sz w:val="20"/>
          <w:szCs w:val="20"/>
          <w:color w:val="auto"/>
        </w:rPr>
      </w:pPr>
      <w:r>
        <w:rPr>
          <w:rFonts w:ascii="Arial" w:cs="Arial" w:eastAsia="Arial" w:hAnsi="Arial"/>
          <w:sz w:val="18"/>
          <w:szCs w:val="18"/>
          <w:b w:val="1"/>
          <w:bCs w:val="1"/>
          <w:i w:val="1"/>
          <w:iCs w:val="1"/>
          <w:color w:val="auto"/>
        </w:rPr>
        <w:t>2000 St. James Place, Marcellus Room, Houston, Texas 77056</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AGENDA</w:t>
      </w:r>
    </w:p>
    <w:p>
      <w:pPr>
        <w:spacing w:after="0" w:line="114" w:lineRule="exact"/>
        <w:rPr>
          <w:sz w:val="20"/>
          <w:szCs w:val="20"/>
          <w:color w:val="auto"/>
        </w:rPr>
      </w:pPr>
    </w:p>
    <w:p>
      <w:pPr>
        <w:ind w:left="800" w:right="80" w:hanging="362"/>
        <w:spacing w:after="0" w:line="259" w:lineRule="auto"/>
        <w:tabs>
          <w:tab w:leader="none" w:pos="800" w:val="left"/>
        </w:tabs>
        <w:numPr>
          <w:ilvl w:val="0"/>
          <w:numId w:val="5"/>
        </w:numPr>
        <w:rPr>
          <w:rFonts w:ascii="Arial" w:cs="Arial" w:eastAsia="Arial" w:hAnsi="Arial"/>
          <w:sz w:val="18"/>
          <w:szCs w:val="18"/>
          <w:color w:val="BA0C2F"/>
        </w:rPr>
      </w:pPr>
      <w:r>
        <w:rPr>
          <w:rFonts w:ascii="Arial" w:cs="Arial" w:eastAsia="Arial" w:hAnsi="Arial"/>
          <w:sz w:val="18"/>
          <w:szCs w:val="18"/>
          <w:color w:val="auto"/>
        </w:rPr>
        <w:t>By separate resolutions, to elect the five individuals named in this Proxy Statement as directors of Weatherford International plc (the “Company”), in each case (unless his or her office is earlier vacated in accordance with the Articles of Association of the Company (the “Articles”)), to serve for a one year term concluding at the later of (x) the next annual general meeting of the Company (the “2023 AGM”) and (y) subject to article 155 of the Articles, until his or her successor is elected and qualified.</w:t>
      </w:r>
    </w:p>
    <w:p>
      <w:pPr>
        <w:spacing w:after="0" w:line="71" w:lineRule="exact"/>
        <w:rPr>
          <w:rFonts w:ascii="Arial" w:cs="Arial" w:eastAsia="Arial" w:hAnsi="Arial"/>
          <w:sz w:val="18"/>
          <w:szCs w:val="18"/>
          <w:color w:val="BA0C2F"/>
        </w:rPr>
      </w:pPr>
    </w:p>
    <w:p>
      <w:pPr>
        <w:ind w:left="800" w:hanging="362"/>
        <w:spacing w:after="0" w:line="262" w:lineRule="auto"/>
        <w:tabs>
          <w:tab w:leader="none" w:pos="800" w:val="left"/>
        </w:tabs>
        <w:numPr>
          <w:ilvl w:val="0"/>
          <w:numId w:val="5"/>
        </w:numPr>
        <w:rPr>
          <w:rFonts w:ascii="Arial" w:cs="Arial" w:eastAsia="Arial" w:hAnsi="Arial"/>
          <w:sz w:val="18"/>
          <w:szCs w:val="18"/>
          <w:color w:val="BA0C2F"/>
        </w:rPr>
      </w:pPr>
      <w:r>
        <w:rPr>
          <w:rFonts w:ascii="Arial" w:cs="Arial" w:eastAsia="Arial" w:hAnsi="Arial"/>
          <w:sz w:val="18"/>
          <w:szCs w:val="18"/>
          <w:color w:val="auto"/>
        </w:rPr>
        <w:t>To ratify the appointment of KPMG LLP as the Company’s independent registered public accounting firm and auditor for the financial year ending December 31, 2022 and KPMG Chartered Accountants, Dublin, as the Company’s statutory auditor under Irish law to hold office until the close of the 2023 AGM, and to authorize the Board of Directors of the Company (the “Board”), acting through the Audit Committee, to determine the auditors’ remuneration.</w:t>
      </w:r>
    </w:p>
    <w:p>
      <w:pPr>
        <w:spacing w:after="0" w:line="68" w:lineRule="exact"/>
        <w:rPr>
          <w:rFonts w:ascii="Arial" w:cs="Arial" w:eastAsia="Arial" w:hAnsi="Arial"/>
          <w:sz w:val="18"/>
          <w:szCs w:val="18"/>
          <w:color w:val="BA0C2F"/>
        </w:rPr>
      </w:pPr>
    </w:p>
    <w:p>
      <w:pPr>
        <w:ind w:left="800" w:hanging="362"/>
        <w:spacing w:after="0"/>
        <w:tabs>
          <w:tab w:leader="none" w:pos="800" w:val="left"/>
        </w:tabs>
        <w:numPr>
          <w:ilvl w:val="0"/>
          <w:numId w:val="5"/>
        </w:numPr>
        <w:rPr>
          <w:rFonts w:ascii="Arial" w:cs="Arial" w:eastAsia="Arial" w:hAnsi="Arial"/>
          <w:sz w:val="18"/>
          <w:szCs w:val="18"/>
          <w:color w:val="BA0C2F"/>
        </w:rPr>
      </w:pPr>
      <w:r>
        <w:rPr>
          <w:rFonts w:ascii="Arial" w:cs="Arial" w:eastAsia="Arial" w:hAnsi="Arial"/>
          <w:sz w:val="18"/>
          <w:szCs w:val="18"/>
          <w:color w:val="auto"/>
        </w:rPr>
        <w:t>To approve, in an advisory vote, the compensation of our named executive officers.</w:t>
      </w:r>
    </w:p>
    <w:p>
      <w:pPr>
        <w:spacing w:after="0" w:line="117" w:lineRule="exact"/>
        <w:rPr>
          <w:rFonts w:ascii="Arial" w:cs="Arial" w:eastAsia="Arial" w:hAnsi="Arial"/>
          <w:sz w:val="18"/>
          <w:szCs w:val="18"/>
          <w:color w:val="BA0C2F"/>
        </w:rPr>
      </w:pPr>
    </w:p>
    <w:p>
      <w:pPr>
        <w:ind w:left="800" w:right="120" w:hanging="362"/>
        <w:spacing w:after="0" w:line="287" w:lineRule="auto"/>
        <w:tabs>
          <w:tab w:leader="none" w:pos="800" w:val="left"/>
        </w:tabs>
        <w:numPr>
          <w:ilvl w:val="0"/>
          <w:numId w:val="5"/>
        </w:numPr>
        <w:rPr>
          <w:rFonts w:ascii="Arial" w:cs="Arial" w:eastAsia="Arial" w:hAnsi="Arial"/>
          <w:sz w:val="18"/>
          <w:szCs w:val="18"/>
          <w:color w:val="BA0C2F"/>
        </w:rPr>
      </w:pPr>
      <w:r>
        <w:rPr>
          <w:rFonts w:ascii="Arial" w:cs="Arial" w:eastAsia="Arial" w:hAnsi="Arial"/>
          <w:sz w:val="18"/>
          <w:szCs w:val="18"/>
          <w:color w:val="auto"/>
        </w:rPr>
        <w:t>To recommend, in an advisory vote, whether a shareholder vote to approve the compensation of our named executive officers should occur every one, two or three years.</w:t>
      </w:r>
    </w:p>
    <w:p>
      <w:pPr>
        <w:spacing w:after="0" w:line="45" w:lineRule="exact"/>
        <w:rPr>
          <w:sz w:val="20"/>
          <w:szCs w:val="20"/>
          <w:color w:val="auto"/>
        </w:rPr>
      </w:pPr>
    </w:p>
    <w:p>
      <w:pPr>
        <w:ind w:left="440" w:right="940"/>
        <w:spacing w:after="0" w:line="287" w:lineRule="auto"/>
        <w:rPr>
          <w:sz w:val="20"/>
          <w:szCs w:val="20"/>
          <w:color w:val="auto"/>
        </w:rPr>
      </w:pPr>
      <w:r>
        <w:rPr>
          <w:rFonts w:ascii="Arial" w:cs="Arial" w:eastAsia="Arial" w:hAnsi="Arial"/>
          <w:sz w:val="18"/>
          <w:szCs w:val="18"/>
          <w:color w:val="auto"/>
        </w:rPr>
        <w:t>The foregoing items, including the votes required in respect of each, are set forth and more fully described in the accompanying Proxy Statement.</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RECORD DATE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12, 2022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VOTING</w:t>
      </w:r>
    </w:p>
    <w:p>
      <w:pPr>
        <w:spacing w:after="0" w:line="114"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Only registered shareholders as of the close of business on the record date will be entitled to attend, vote or grant proxies to vote at the Annual General Meeting (the “AGM”). Any such registered shareholder may appoint one or more proxies, by any of the means outlined in the Proxy Statement, to attend, speak and vote in his or her place at the AGM. A proxy holder need not be a registered shareholder. Proxies must be received in the manner prescribed and by the Voting Deadline as more fully set forth in the Proxy Statement.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DISTRIBUTION OF PROXY MATERIALS</w:t>
      </w:r>
    </w:p>
    <w:p>
      <w:pPr>
        <w:spacing w:after="0" w:line="114"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The notice, the Proxy Statement (of which the notice forms a part), our Annual Report on Form 10-K, and our Irish Statutory Accounts are available electronically on our website at www.weatherfordannualmeeting.com. These materials were first mailed or made available on or about April 22, 2022 to each registered shareholder in our share register as of the record date. Any shareholder may also obtain a copy of these documents by contacting our U.S. Investor Relations Department at 2000 St. James Place, Houston, Texas 77056 or by telephone at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751840</wp:posOffset>
            </wp:positionV>
            <wp:extent cx="6231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700"/>
        <w:spacing w:after="0"/>
        <w:rPr>
          <w:sz w:val="20"/>
          <w:szCs w:val="20"/>
          <w:color w:val="auto"/>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ANNUAL REPORT AND FINANCIAL STATEMENTS</w:t>
      </w:r>
    </w:p>
    <w:p>
      <w:pPr>
        <w:spacing w:after="0" w:line="114" w:lineRule="exact"/>
        <w:rPr>
          <w:sz w:val="20"/>
          <w:szCs w:val="20"/>
          <w:color w:val="auto"/>
        </w:rPr>
      </w:pPr>
    </w:p>
    <w:p>
      <w:pPr>
        <w:ind w:left="440" w:right="340"/>
        <w:spacing w:after="0" w:line="268" w:lineRule="auto"/>
        <w:rPr>
          <w:sz w:val="20"/>
          <w:szCs w:val="20"/>
          <w:color w:val="auto"/>
        </w:rPr>
      </w:pPr>
      <w:r>
        <w:rPr>
          <w:rFonts w:ascii="Arial" w:cs="Arial" w:eastAsia="Arial" w:hAnsi="Arial"/>
          <w:sz w:val="18"/>
          <w:szCs w:val="18"/>
          <w:color w:val="auto"/>
        </w:rPr>
        <w:t>During the AGM, the Company’s Irish Statutory Accounts for the fiscal year ended December 31, 2021 will be laid before the meeting, along with related directors’ and auditor’s reports thereon, and the Company’s management will present a review of the Company’s affairs.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April 22, 2022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77470</wp:posOffset>
            </wp:positionV>
            <wp:extent cx="2108835" cy="334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883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Christine M. Morrison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Vice President, Deputy General Counsel and Corporate Secretary</w:t>
      </w:r>
      <w:r>
        <w:rPr>
          <w:rFonts w:ascii="Arial" w:cs="Arial" w:eastAsia="Arial" w:hAnsi="Arial"/>
          <w:sz w:val="18"/>
          <w:szCs w:val="18"/>
          <w:b w:val="1"/>
          <w:bCs w:val="1"/>
          <w:color w:val="auto"/>
        </w:rPr>
        <w:t>​</w:t>
      </w:r>
    </w:p>
    <w:p>
      <w:pPr>
        <w:spacing w:after="0" w:line="207" w:lineRule="exact"/>
        <w:rPr>
          <w:sz w:val="20"/>
          <w:szCs w:val="20"/>
          <w:color w:val="auto"/>
        </w:rPr>
      </w:pPr>
    </w:p>
    <w:p>
      <w:pPr>
        <w:ind w:left="440" w:right="300"/>
        <w:spacing w:after="0" w:line="26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AGM to be Held on June 2, 2022: </w:t>
      </w:r>
      <w:r>
        <w:rPr>
          <w:rFonts w:ascii="Arial" w:cs="Arial" w:eastAsia="Arial" w:hAnsi="Arial"/>
          <w:sz w:val="18"/>
          <w:szCs w:val="18"/>
          <w:color w:val="auto"/>
        </w:rPr>
        <w:t>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Weatherford International plc, our 2021 Annual Report on Form 10-K and Irish Statutory Accounts are available at: at www.proxyvote.com and also at www.weatherfordannualmeeting.com.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5306695</wp:posOffset>
            </wp:positionV>
            <wp:extent cx="6231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0"/>
        <w:spacing w:after="0"/>
        <w:rPr>
          <w:sz w:val="20"/>
          <w:szCs w:val="20"/>
          <w:color w:val="auto"/>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260985</wp:posOffset>
            </wp:positionV>
            <wp:extent cx="4423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81"/>
        </w:trPr>
        <w:tc>
          <w:tcPr>
            <w:tcW w:w="800" w:type="dxa"/>
            <w:vAlign w:val="bottom"/>
            <w:shd w:val="clear" w:color="auto" w:fill="000000"/>
          </w:tcPr>
          <w:p>
            <w:pPr>
              <w:spacing w:after="0"/>
              <w:rPr>
                <w:sz w:val="7"/>
                <w:szCs w:val="7"/>
                <w:color w:val="auto"/>
              </w:rPr>
            </w:pPr>
          </w:p>
        </w:tc>
        <w:tc>
          <w:tcPr>
            <w:tcW w:w="19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vMerge w:val="restart"/>
          </w:tcPr>
          <w:p>
            <w:pPr>
              <w:spacing w:after="0"/>
              <w:rPr>
                <w:sz w:val="20"/>
                <w:szCs w:val="20"/>
                <w:color w:val="auto"/>
              </w:rPr>
            </w:pPr>
            <w:r>
              <w:rPr>
                <w:rFonts w:ascii="Arial" w:cs="Arial" w:eastAsia="Arial" w:hAnsi="Arial"/>
                <w:sz w:val="40"/>
                <w:szCs w:val="40"/>
                <w:b w:val="1"/>
                <w:bCs w:val="1"/>
                <w:color w:val="0000EE"/>
                <w:w w:val="89"/>
              </w:rPr>
              <w:t>1</w:t>
            </w:r>
          </w:p>
        </w:tc>
        <w:tc>
          <w:tcPr>
            <w:tcW w:w="120" w:type="dxa"/>
            <w:vAlign w:val="bottom"/>
            <w:vMerge w:val="restart"/>
          </w:tcPr>
          <w:p>
            <w:pPr>
              <w:jc w:val="right"/>
              <w:spacing w:after="0"/>
              <w:rPr>
                <w:sz w:val="20"/>
                <w:szCs w:val="20"/>
                <w:color w:val="auto"/>
              </w:rPr>
            </w:pPr>
            <w:r>
              <w:rPr>
                <w:rFonts w:ascii="Arial" w:cs="Arial" w:eastAsia="Arial" w:hAnsi="Arial"/>
                <w:sz w:val="40"/>
                <w:szCs w:val="40"/>
                <w:b w:val="1"/>
                <w:bCs w:val="1"/>
                <w:color w:val="auto"/>
                <w:w w:val="74"/>
              </w:rPr>
              <w:t>-</w:t>
            </w:r>
          </w:p>
        </w:tc>
        <w:tc>
          <w:tcPr>
            <w:tcW w:w="220" w:type="dxa"/>
            <w:vAlign w:val="bottom"/>
            <w:gridSpan w:val="2"/>
            <w:vMerge w:val="restart"/>
          </w:tcPr>
          <w:p>
            <w:pPr>
              <w:spacing w:after="0"/>
              <w:rPr>
                <w:sz w:val="20"/>
                <w:szCs w:val="20"/>
                <w:color w:val="auto"/>
              </w:rPr>
            </w:pPr>
            <w:r>
              <w:rPr>
                <w:rFonts w:ascii="Arial" w:cs="Arial" w:eastAsia="Arial" w:hAnsi="Arial"/>
                <w:sz w:val="40"/>
                <w:szCs w:val="40"/>
                <w:b w:val="1"/>
                <w:bCs w:val="1"/>
                <w:color w:val="0000EE"/>
                <w:w w:val="89"/>
              </w:rPr>
              <w:t>4</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740" w:type="dxa"/>
            <w:vAlign w:val="bottom"/>
            <w:gridSpan w:val="3"/>
          </w:tcPr>
          <w:p>
            <w:pPr>
              <w:spacing w:after="0" w:line="286" w:lineRule="exact"/>
              <w:rPr>
                <w:sz w:val="20"/>
                <w:szCs w:val="20"/>
                <w:color w:val="auto"/>
              </w:rPr>
            </w:pPr>
            <w:r>
              <w:rPr>
                <w:rFonts w:ascii="Arial" w:cs="Arial" w:eastAsia="Arial" w:hAnsi="Arial"/>
                <w:sz w:val="25"/>
                <w:szCs w:val="25"/>
                <w:b w:val="1"/>
                <w:bCs w:val="1"/>
                <w:color w:val="BA0C2F"/>
              </w:rPr>
              <w:t>TABLE OF CONTENTS</w:t>
            </w:r>
            <w:r>
              <w:rPr>
                <w:rFonts w:ascii="Arial" w:cs="Arial" w:eastAsia="Arial" w:hAnsi="Arial"/>
                <w:sz w:val="17"/>
                <w:szCs w:val="17"/>
                <w:b w:val="1"/>
                <w:bCs w:val="1"/>
                <w:color w:val="000000"/>
              </w:rPr>
              <w:t>​</w:t>
            </w:r>
          </w:p>
        </w:tc>
        <w:tc>
          <w:tcPr>
            <w:tcW w:w="22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80" w:type="dxa"/>
            <w:vAlign w:val="bottom"/>
            <w:gridSpan w:val="4"/>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PROXY STATEMENT</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Borders>
              <w:bottom w:val="single" w:sz="8" w:color="0000EE"/>
            </w:tcBorders>
            <w:gridSpan w:val="2"/>
            <w:vMerge w:val="continue"/>
          </w:tcPr>
          <w:p>
            <w:pPr>
              <w:spacing w:after="0"/>
              <w:rPr>
                <w:sz w:val="10"/>
                <w:szCs w:val="10"/>
                <w:color w:val="auto"/>
              </w:rPr>
            </w:pPr>
          </w:p>
        </w:tc>
        <w:tc>
          <w:tcPr>
            <w:tcW w:w="580" w:type="dxa"/>
            <w:vAlign w:val="bottom"/>
            <w:gridSpan w:val="4"/>
            <w:vMerge w:val="continue"/>
          </w:tcPr>
          <w:p>
            <w:pPr>
              <w:spacing w:after="0"/>
              <w:rPr>
                <w:sz w:val="10"/>
                <w:szCs w:val="10"/>
                <w:color w:val="auto"/>
              </w:rPr>
            </w:pP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5600" w:type="dxa"/>
            <w:vAlign w:val="bottom"/>
            <w:gridSpan w:val="2"/>
            <w:vMerge w:val="restart"/>
          </w:tcPr>
          <w:p>
            <w:pPr>
              <w:ind w:left="20"/>
              <w:spacing w:after="0" w:line="195" w:lineRule="exact"/>
              <w:rPr>
                <w:sz w:val="20"/>
                <w:szCs w:val="20"/>
                <w:color w:val="auto"/>
              </w:rPr>
            </w:pPr>
            <w:r>
              <w:rPr>
                <w:rFonts w:ascii="Arial" w:cs="Arial" w:eastAsia="Arial" w:hAnsi="Arial"/>
                <w:sz w:val="18"/>
                <w:szCs w:val="18"/>
                <w:color w:val="0000EE"/>
              </w:rPr>
              <w:t xml:space="preserve">1 </w:t>
            </w:r>
            <w:r>
              <w:rPr>
                <w:rFonts w:ascii="Arial" w:cs="Arial" w:eastAsia="Arial" w:hAnsi="Arial"/>
                <w:sz w:val="18"/>
                <w:szCs w:val="18"/>
                <w:color w:val="000000"/>
              </w:rPr>
              <w:t>Meeting and Voting Information</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4"/>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vMerge w:val="restart"/>
          </w:tcPr>
          <w:p>
            <w:pPr>
              <w:spacing w:after="0" w:line="384" w:lineRule="exact"/>
              <w:rPr>
                <w:sz w:val="20"/>
                <w:szCs w:val="20"/>
                <w:color w:val="auto"/>
              </w:rPr>
            </w:pPr>
            <w:r>
              <w:rPr>
                <w:rFonts w:ascii="Arial" w:cs="Arial" w:eastAsia="Arial" w:hAnsi="Arial"/>
                <w:sz w:val="40"/>
                <w:szCs w:val="40"/>
                <w:b w:val="1"/>
                <w:bCs w:val="1"/>
                <w:color w:val="0000EE"/>
                <w:w w:val="89"/>
              </w:rPr>
              <w:t>5</w:t>
            </w:r>
          </w:p>
        </w:tc>
        <w:tc>
          <w:tcPr>
            <w:tcW w:w="120" w:type="dxa"/>
            <w:vAlign w:val="bottom"/>
            <w:vMerge w:val="restart"/>
          </w:tcPr>
          <w:p>
            <w:pPr>
              <w:jc w:val="right"/>
              <w:spacing w:after="0"/>
              <w:rPr>
                <w:sz w:val="20"/>
                <w:szCs w:val="20"/>
                <w:color w:val="auto"/>
              </w:rPr>
            </w:pPr>
            <w:r>
              <w:rPr>
                <w:rFonts w:ascii="Arial" w:cs="Arial" w:eastAsia="Arial" w:hAnsi="Arial"/>
                <w:sz w:val="40"/>
                <w:szCs w:val="40"/>
                <w:b w:val="1"/>
                <w:bCs w:val="1"/>
                <w:color w:val="auto"/>
                <w:w w:val="74"/>
              </w:rPr>
              <w:t>-</w:t>
            </w:r>
          </w:p>
        </w:tc>
        <w:tc>
          <w:tcPr>
            <w:tcW w:w="440" w:type="dxa"/>
            <w:vAlign w:val="bottom"/>
            <w:gridSpan w:val="4"/>
            <w:vMerge w:val="restart"/>
          </w:tcPr>
          <w:p>
            <w:pPr>
              <w:spacing w:after="0" w:line="384" w:lineRule="exact"/>
              <w:rPr>
                <w:sz w:val="20"/>
                <w:szCs w:val="20"/>
                <w:color w:val="auto"/>
              </w:rPr>
            </w:pPr>
            <w:r>
              <w:rPr>
                <w:rFonts w:ascii="Arial" w:cs="Arial" w:eastAsia="Arial" w:hAnsi="Arial"/>
                <w:sz w:val="40"/>
                <w:szCs w:val="40"/>
                <w:b w:val="1"/>
                <w:bCs w:val="1"/>
                <w:color w:val="0000EE"/>
                <w:w w:val="94"/>
              </w:rPr>
              <w:t>17</w:t>
            </w:r>
          </w:p>
        </w:tc>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AGENDA ITEM 1 – ELECTION OF DIRECTORS</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0000EE"/>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40" w:type="dxa"/>
            <w:vAlign w:val="bottom"/>
            <w:tcBorders>
              <w:bottom w:val="single" w:sz="8" w:color="0000EE"/>
            </w:tcBorders>
            <w:gridSpan w:val="4"/>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EE"/>
                <w:w w:val="79"/>
              </w:rPr>
              <w:t>5</w:t>
            </w:r>
          </w:p>
        </w:tc>
        <w:tc>
          <w:tcPr>
            <w:tcW w:w="5500" w:type="dxa"/>
            <w:vAlign w:val="bottom"/>
            <w:vMerge w:val="restart"/>
          </w:tcPr>
          <w:p>
            <w:pPr>
              <w:ind w:left="60"/>
              <w:spacing w:after="0"/>
              <w:rPr>
                <w:sz w:val="20"/>
                <w:szCs w:val="20"/>
                <w:color w:val="auto"/>
              </w:rPr>
            </w:pPr>
            <w:r>
              <w:rPr>
                <w:rFonts w:ascii="Arial" w:cs="Arial" w:eastAsia="Arial" w:hAnsi="Arial"/>
                <w:sz w:val="18"/>
                <w:szCs w:val="18"/>
                <w:color w:val="auto"/>
              </w:rPr>
              <w:t>Nasdaq Board Diversity Matrix</w:t>
            </w:r>
          </w:p>
        </w:tc>
        <w:tc>
          <w:tcPr>
            <w:tcW w:w="0" w:type="dxa"/>
            <w:vAlign w:val="bottom"/>
          </w:tcPr>
          <w:p>
            <w:pPr>
              <w:spacing w:after="0"/>
              <w:rPr>
                <w:sz w:val="1"/>
                <w:szCs w:val="1"/>
                <w:color w:val="auto"/>
              </w:rPr>
            </w:pPr>
          </w:p>
        </w:tc>
      </w:tr>
      <w:tr>
        <w:trPr>
          <w:trHeight w:val="59"/>
        </w:trPr>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100" w:type="dxa"/>
            <w:vAlign w:val="bottom"/>
            <w:tcBorders>
              <w:bottom w:val="single" w:sz="8" w:color="0000EE"/>
            </w:tcBorders>
            <w:vMerge w:val="continue"/>
          </w:tcPr>
          <w:p>
            <w:pPr>
              <w:spacing w:after="0"/>
              <w:rPr>
                <w:sz w:val="4"/>
                <w:szCs w:val="4"/>
                <w:color w:val="auto"/>
              </w:rPr>
            </w:pPr>
          </w:p>
        </w:tc>
        <w:tc>
          <w:tcPr>
            <w:tcW w:w="5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7</w:t>
            </w:r>
          </w:p>
        </w:tc>
        <w:tc>
          <w:tcPr>
            <w:tcW w:w="5500" w:type="dxa"/>
            <w:vAlign w:val="bottom"/>
          </w:tcPr>
          <w:p>
            <w:pPr>
              <w:ind w:left="60"/>
              <w:spacing w:after="0"/>
              <w:rPr>
                <w:sz w:val="20"/>
                <w:szCs w:val="20"/>
                <w:color w:val="auto"/>
              </w:rPr>
            </w:pPr>
            <w:r>
              <w:rPr>
                <w:rFonts w:ascii="Arial" w:cs="Arial" w:eastAsia="Arial" w:hAnsi="Arial"/>
                <w:sz w:val="18"/>
                <w:szCs w:val="18"/>
                <w:color w:val="auto"/>
              </w:rPr>
              <w:t>Director Nominee Biographies</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10</w:t>
            </w:r>
          </w:p>
        </w:tc>
        <w:tc>
          <w:tcPr>
            <w:tcW w:w="5500" w:type="dxa"/>
            <w:vAlign w:val="bottom"/>
          </w:tcPr>
          <w:p>
            <w:pPr>
              <w:ind w:left="60"/>
              <w:spacing w:after="0"/>
              <w:rPr>
                <w:sz w:val="20"/>
                <w:szCs w:val="20"/>
                <w:color w:val="auto"/>
              </w:rPr>
            </w:pPr>
            <w:r>
              <w:rPr>
                <w:rFonts w:ascii="Arial" w:cs="Arial" w:eastAsia="Arial" w:hAnsi="Arial"/>
                <w:sz w:val="18"/>
                <w:szCs w:val="18"/>
                <w:color w:val="auto"/>
              </w:rPr>
              <w:t>Our Board and Our Board Committees</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12</w:t>
            </w:r>
          </w:p>
        </w:tc>
        <w:tc>
          <w:tcPr>
            <w:tcW w:w="5500" w:type="dxa"/>
            <w:vAlign w:val="bottom"/>
          </w:tcPr>
          <w:p>
            <w:pPr>
              <w:ind w:left="60"/>
              <w:spacing w:after="0"/>
              <w:rPr>
                <w:sz w:val="20"/>
                <w:szCs w:val="20"/>
                <w:color w:val="auto"/>
              </w:rPr>
            </w:pPr>
            <w:r>
              <w:rPr>
                <w:rFonts w:ascii="Arial" w:cs="Arial" w:eastAsia="Arial" w:hAnsi="Arial"/>
                <w:sz w:val="18"/>
                <w:szCs w:val="18"/>
                <w:color w:val="auto"/>
              </w:rPr>
              <w:t>Corporate Governance Matters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0000EE"/>
              </w:rPr>
              <w:t>16</w:t>
            </w:r>
          </w:p>
        </w:tc>
        <w:tc>
          <w:tcPr>
            <w:tcW w:w="5500" w:type="dxa"/>
            <w:vAlign w:val="bottom"/>
          </w:tcPr>
          <w:p>
            <w:pPr>
              <w:ind w:left="60"/>
              <w:spacing w:after="0"/>
              <w:rPr>
                <w:sz w:val="20"/>
                <w:szCs w:val="20"/>
                <w:color w:val="auto"/>
              </w:rPr>
            </w:pPr>
            <w:r>
              <w:rPr>
                <w:rFonts w:ascii="Arial" w:cs="Arial" w:eastAsia="Arial" w:hAnsi="Arial"/>
                <w:sz w:val="18"/>
                <w:szCs w:val="18"/>
                <w:color w:val="auto"/>
              </w:rPr>
              <w:t>Director Compensation</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18</w:t>
            </w:r>
          </w:p>
        </w:tc>
        <w:tc>
          <w:tcPr>
            <w:tcW w:w="140" w:type="dxa"/>
            <w:vAlign w:val="bottom"/>
            <w:gridSpan w:val="2"/>
            <w:vMerge w:val="restart"/>
          </w:tcPr>
          <w:p>
            <w:pPr>
              <w:spacing w:after="0"/>
              <w:rPr>
                <w:sz w:val="20"/>
                <w:szCs w:val="20"/>
                <w:color w:val="auto"/>
              </w:rPr>
            </w:pPr>
            <w:r>
              <w:rPr>
                <w:rFonts w:ascii="Arial" w:cs="Arial" w:eastAsia="Arial" w:hAnsi="Arial"/>
                <w:sz w:val="40"/>
                <w:szCs w:val="40"/>
                <w:b w:val="1"/>
                <w:bCs w:val="1"/>
                <w:color w:val="auto"/>
                <w:w w:val="89"/>
              </w:rPr>
              <w:t>-</w:t>
            </w:r>
          </w:p>
        </w:tc>
        <w:tc>
          <w:tcPr>
            <w:tcW w:w="420" w:type="dxa"/>
            <w:vAlign w:val="bottom"/>
            <w:gridSpan w:val="2"/>
            <w:vMerge w:val="restart"/>
          </w:tcPr>
          <w:p>
            <w:pPr>
              <w:spacing w:after="0" w:line="384" w:lineRule="exact"/>
              <w:rPr>
                <w:sz w:val="20"/>
                <w:szCs w:val="20"/>
                <w:color w:val="auto"/>
              </w:rPr>
            </w:pPr>
            <w:r>
              <w:rPr>
                <w:rFonts w:ascii="Arial" w:cs="Arial" w:eastAsia="Arial" w:hAnsi="Arial"/>
                <w:sz w:val="40"/>
                <w:szCs w:val="40"/>
                <w:b w:val="1"/>
                <w:bCs w:val="1"/>
                <w:color w:val="0000EE"/>
                <w:w w:val="89"/>
              </w:rPr>
              <w:t>19</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AGENDA ITEM 2 – RATIFY APPOINTMENT OF INDEPENDENT</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420" w:type="dxa"/>
            <w:vAlign w:val="bottom"/>
            <w:tcBorders>
              <w:bottom w:val="single" w:sz="8" w:color="0000EE"/>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920" w:type="dxa"/>
            <w:vAlign w:val="bottom"/>
            <w:gridSpan w:val="4"/>
            <w:vMerge w:val="restart"/>
          </w:tcPr>
          <w:p>
            <w:pPr>
              <w:ind w:left="80"/>
              <w:spacing w:after="0"/>
              <w:rPr>
                <w:sz w:val="20"/>
                <w:szCs w:val="20"/>
                <w:color w:val="auto"/>
              </w:rPr>
            </w:pPr>
            <w:r>
              <w:rPr>
                <w:rFonts w:ascii="Arial" w:cs="Arial" w:eastAsia="Arial" w:hAnsi="Arial"/>
                <w:sz w:val="20"/>
                <w:szCs w:val="20"/>
                <w:color w:val="BA0C2F"/>
              </w:rPr>
              <w:t>AUDITORS AND AUTHORIZE AUDITORS’ REMUNERATION</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3"/>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2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59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0000EE"/>
            </w:tcBorders>
            <w:gridSpan w:val="2"/>
          </w:tcPr>
          <w:p>
            <w:pPr>
              <w:jc w:val="right"/>
              <w:spacing w:after="0" w:line="195" w:lineRule="exact"/>
              <w:rPr>
                <w:sz w:val="20"/>
                <w:szCs w:val="20"/>
                <w:color w:val="auto"/>
              </w:rPr>
            </w:pPr>
            <w:r>
              <w:rPr>
                <w:rFonts w:ascii="Arial" w:cs="Arial" w:eastAsia="Arial" w:hAnsi="Arial"/>
                <w:sz w:val="18"/>
                <w:szCs w:val="18"/>
                <w:color w:val="0000EE"/>
                <w:w w:val="89"/>
              </w:rPr>
              <w:t>19</w:t>
            </w:r>
          </w:p>
        </w:tc>
        <w:tc>
          <w:tcPr>
            <w:tcW w:w="5500" w:type="dxa"/>
            <w:vAlign w:val="bottom"/>
          </w:tcPr>
          <w:p>
            <w:pPr>
              <w:ind w:left="60"/>
              <w:spacing w:after="0" w:line="195" w:lineRule="exact"/>
              <w:rPr>
                <w:sz w:val="20"/>
                <w:szCs w:val="20"/>
                <w:color w:val="auto"/>
              </w:rPr>
            </w:pPr>
            <w:r>
              <w:rPr>
                <w:rFonts w:ascii="Arial" w:cs="Arial" w:eastAsia="Arial" w:hAnsi="Arial"/>
                <w:sz w:val="18"/>
                <w:szCs w:val="18"/>
                <w:color w:val="auto"/>
              </w:rPr>
              <w:t>Audit Committee Pre-Approval Policy</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0000EE"/>
              </w:rPr>
              <w:t>19</w:t>
            </w:r>
          </w:p>
        </w:tc>
        <w:tc>
          <w:tcPr>
            <w:tcW w:w="5500" w:type="dxa"/>
            <w:vAlign w:val="bottom"/>
          </w:tcPr>
          <w:p>
            <w:pPr>
              <w:ind w:left="60"/>
              <w:spacing w:after="0"/>
              <w:rPr>
                <w:sz w:val="20"/>
                <w:szCs w:val="20"/>
                <w:color w:val="auto"/>
              </w:rPr>
            </w:pPr>
            <w:r>
              <w:rPr>
                <w:rFonts w:ascii="Arial" w:cs="Arial" w:eastAsia="Arial" w:hAnsi="Arial"/>
                <w:sz w:val="18"/>
                <w:szCs w:val="18"/>
                <w:color w:val="auto"/>
              </w:rPr>
              <w:t>Audit Committee Report</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20</w:t>
            </w:r>
          </w:p>
        </w:tc>
        <w:tc>
          <w:tcPr>
            <w:tcW w:w="700" w:type="dxa"/>
            <w:vAlign w:val="bottom"/>
            <w:gridSpan w:val="5"/>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AGENDA ITEM 3 – ADVISORY APPROVAL OF EXECUTIVE</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700" w:type="dxa"/>
            <w:vAlign w:val="bottom"/>
            <w:gridSpan w:val="5"/>
            <w:vMerge w:val="continue"/>
          </w:tcPr>
          <w:p>
            <w:pPr>
              <w:spacing w:after="0"/>
              <w:rPr>
                <w:sz w:val="13"/>
                <w:szCs w:val="13"/>
                <w:color w:val="auto"/>
              </w:rPr>
            </w:pPr>
          </w:p>
        </w:tc>
        <w:tc>
          <w:tcPr>
            <w:tcW w:w="5920" w:type="dxa"/>
            <w:vAlign w:val="bottom"/>
            <w:gridSpan w:val="4"/>
            <w:vMerge w:val="restart"/>
          </w:tcPr>
          <w:p>
            <w:pPr>
              <w:ind w:left="80"/>
              <w:spacing w:after="0"/>
              <w:rPr>
                <w:sz w:val="20"/>
                <w:szCs w:val="20"/>
                <w:color w:val="auto"/>
              </w:rPr>
            </w:pPr>
            <w:r>
              <w:rPr>
                <w:rFonts w:ascii="Arial" w:cs="Arial" w:eastAsia="Arial" w:hAnsi="Arial"/>
                <w:sz w:val="20"/>
                <w:szCs w:val="20"/>
                <w:color w:val="BA0C2F"/>
              </w:rPr>
              <w:t>COMPENSATION</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700" w:type="dxa"/>
            <w:vAlign w:val="bottom"/>
            <w:tcBorders>
              <w:bottom w:val="single" w:sz="8" w:color="auto"/>
            </w:tcBorders>
            <w:gridSpan w:val="5"/>
            <w:vMerge w:val="continue"/>
          </w:tcPr>
          <w:p>
            <w:pPr>
              <w:spacing w:after="0"/>
              <w:rPr>
                <w:sz w:val="6"/>
                <w:szCs w:val="6"/>
                <w:color w:val="auto"/>
              </w:rPr>
            </w:pPr>
          </w:p>
        </w:tc>
        <w:tc>
          <w:tcPr>
            <w:tcW w:w="5920" w:type="dxa"/>
            <w:vAlign w:val="bottom"/>
            <w:tcBorders>
              <w:bottom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21</w:t>
            </w:r>
          </w:p>
        </w:tc>
        <w:tc>
          <w:tcPr>
            <w:tcW w:w="700" w:type="dxa"/>
            <w:vAlign w:val="bottom"/>
            <w:gridSpan w:val="5"/>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AGENDA ITEM 4 – ADVISORY VOTE ON THE FREQUENCY</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700" w:type="dxa"/>
            <w:vAlign w:val="bottom"/>
            <w:gridSpan w:val="5"/>
            <w:vMerge w:val="continue"/>
          </w:tcPr>
          <w:p>
            <w:pPr>
              <w:spacing w:after="0"/>
              <w:rPr>
                <w:sz w:val="13"/>
                <w:szCs w:val="13"/>
                <w:color w:val="auto"/>
              </w:rPr>
            </w:pPr>
          </w:p>
        </w:tc>
        <w:tc>
          <w:tcPr>
            <w:tcW w:w="5920" w:type="dxa"/>
            <w:vAlign w:val="bottom"/>
            <w:gridSpan w:val="4"/>
            <w:vMerge w:val="restart"/>
          </w:tcPr>
          <w:p>
            <w:pPr>
              <w:ind w:left="80"/>
              <w:spacing w:after="0"/>
              <w:rPr>
                <w:sz w:val="20"/>
                <w:szCs w:val="20"/>
                <w:color w:val="auto"/>
              </w:rPr>
            </w:pPr>
            <w:r>
              <w:rPr>
                <w:rFonts w:ascii="Arial" w:cs="Arial" w:eastAsia="Arial" w:hAnsi="Arial"/>
                <w:sz w:val="20"/>
                <w:szCs w:val="20"/>
                <w:color w:val="BA0C2F"/>
              </w:rPr>
              <w:t>OF THE VOTE ON EXECUTIVE COMPENSATION</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700" w:type="dxa"/>
            <w:vAlign w:val="bottom"/>
            <w:tcBorders>
              <w:bottom w:val="single" w:sz="8" w:color="auto"/>
            </w:tcBorders>
            <w:gridSpan w:val="5"/>
            <w:vMerge w:val="continue"/>
          </w:tcPr>
          <w:p>
            <w:pPr>
              <w:spacing w:after="0"/>
              <w:rPr>
                <w:sz w:val="6"/>
                <w:szCs w:val="6"/>
                <w:color w:val="auto"/>
              </w:rPr>
            </w:pPr>
          </w:p>
        </w:tc>
        <w:tc>
          <w:tcPr>
            <w:tcW w:w="5920" w:type="dxa"/>
            <w:vAlign w:val="bottom"/>
            <w:tcBorders>
              <w:bottom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22</w:t>
            </w:r>
          </w:p>
        </w:tc>
        <w:tc>
          <w:tcPr>
            <w:tcW w:w="140" w:type="dxa"/>
            <w:vAlign w:val="bottom"/>
            <w:gridSpan w:val="2"/>
            <w:vMerge w:val="restart"/>
          </w:tcPr>
          <w:p>
            <w:pPr>
              <w:spacing w:after="0"/>
              <w:rPr>
                <w:sz w:val="20"/>
                <w:szCs w:val="20"/>
                <w:color w:val="auto"/>
              </w:rPr>
            </w:pPr>
            <w:r>
              <w:rPr>
                <w:rFonts w:ascii="Arial" w:cs="Arial" w:eastAsia="Arial" w:hAnsi="Arial"/>
                <w:sz w:val="40"/>
                <w:szCs w:val="40"/>
                <w:b w:val="1"/>
                <w:bCs w:val="1"/>
                <w:color w:val="auto"/>
                <w:w w:val="89"/>
              </w:rPr>
              <w:t>-</w:t>
            </w:r>
          </w:p>
        </w:tc>
        <w:tc>
          <w:tcPr>
            <w:tcW w:w="420" w:type="dxa"/>
            <w:vAlign w:val="bottom"/>
            <w:gridSpan w:val="2"/>
            <w:vMerge w:val="restart"/>
          </w:tcPr>
          <w:p>
            <w:pPr>
              <w:spacing w:after="0" w:line="384" w:lineRule="exact"/>
              <w:rPr>
                <w:sz w:val="20"/>
                <w:szCs w:val="20"/>
                <w:color w:val="auto"/>
              </w:rPr>
            </w:pPr>
            <w:r>
              <w:rPr>
                <w:rFonts w:ascii="Arial" w:cs="Arial" w:eastAsia="Arial" w:hAnsi="Arial"/>
                <w:sz w:val="40"/>
                <w:szCs w:val="40"/>
                <w:b w:val="1"/>
                <w:bCs w:val="1"/>
                <w:color w:val="0000EE"/>
                <w:w w:val="89"/>
              </w:rPr>
              <w:t>40</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COMPENSATION DISCUSSION AND ANALYSIS</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23"/>
        </w:trPr>
        <w:tc>
          <w:tcPr>
            <w:tcW w:w="8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0000EE"/>
            </w:tcBorders>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420" w:type="dxa"/>
            <w:vAlign w:val="bottom"/>
            <w:tcBorders>
              <w:bottom w:val="single" w:sz="8" w:color="0000EE"/>
            </w:tcBorders>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20" w:type="dxa"/>
            <w:vAlign w:val="bottom"/>
            <w:vMerge w:val="restart"/>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22</w:t>
            </w:r>
          </w:p>
        </w:tc>
        <w:tc>
          <w:tcPr>
            <w:tcW w:w="5500" w:type="dxa"/>
            <w:vAlign w:val="bottom"/>
            <w:vMerge w:val="restart"/>
          </w:tcPr>
          <w:p>
            <w:pPr>
              <w:ind w:left="60"/>
              <w:spacing w:after="0"/>
              <w:rPr>
                <w:sz w:val="20"/>
                <w:szCs w:val="20"/>
                <w:color w:val="auto"/>
              </w:rPr>
            </w:pPr>
            <w:r>
              <w:rPr>
                <w:rFonts w:ascii="Arial" w:cs="Arial" w:eastAsia="Arial" w:hAnsi="Arial"/>
                <w:sz w:val="18"/>
                <w:szCs w:val="18"/>
                <w:color w:val="auto"/>
              </w:rPr>
              <w:t>Executive Summary</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3"/>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2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Borders>
              <w:bottom w:val="single" w:sz="8" w:color="0000EE"/>
            </w:tcBorders>
            <w:gridSpan w:val="2"/>
            <w:vMerge w:val="continue"/>
          </w:tcPr>
          <w:p>
            <w:pPr>
              <w:spacing w:after="0"/>
              <w:rPr>
                <w:sz w:val="5"/>
                <w:szCs w:val="5"/>
                <w:color w:val="auto"/>
              </w:rPr>
            </w:pPr>
          </w:p>
        </w:tc>
        <w:tc>
          <w:tcPr>
            <w:tcW w:w="5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25</w:t>
            </w:r>
          </w:p>
        </w:tc>
        <w:tc>
          <w:tcPr>
            <w:tcW w:w="5500" w:type="dxa"/>
            <w:vAlign w:val="bottom"/>
          </w:tcPr>
          <w:p>
            <w:pPr>
              <w:ind w:left="60"/>
              <w:spacing w:after="0"/>
              <w:rPr>
                <w:sz w:val="20"/>
                <w:szCs w:val="20"/>
                <w:color w:val="auto"/>
              </w:rPr>
            </w:pPr>
            <w:r>
              <w:rPr>
                <w:rFonts w:ascii="Arial" w:cs="Arial" w:eastAsia="Arial" w:hAnsi="Arial"/>
                <w:sz w:val="18"/>
                <w:szCs w:val="18"/>
                <w:color w:val="auto"/>
              </w:rPr>
              <w:t>Executive Compensation Principals</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26</w:t>
            </w:r>
          </w:p>
        </w:tc>
        <w:tc>
          <w:tcPr>
            <w:tcW w:w="5500" w:type="dxa"/>
            <w:vAlign w:val="bottom"/>
          </w:tcPr>
          <w:p>
            <w:pPr>
              <w:ind w:left="60"/>
              <w:spacing w:after="0"/>
              <w:rPr>
                <w:sz w:val="20"/>
                <w:szCs w:val="20"/>
                <w:color w:val="auto"/>
              </w:rPr>
            </w:pPr>
            <w:r>
              <w:rPr>
                <w:rFonts w:ascii="Arial" w:cs="Arial" w:eastAsia="Arial" w:hAnsi="Arial"/>
                <w:sz w:val="18"/>
                <w:szCs w:val="18"/>
                <w:color w:val="auto"/>
              </w:rPr>
              <w:t>2021 Primary Elements of Compensation</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28</w:t>
            </w:r>
          </w:p>
        </w:tc>
        <w:tc>
          <w:tcPr>
            <w:tcW w:w="5500" w:type="dxa"/>
            <w:vAlign w:val="bottom"/>
          </w:tcPr>
          <w:p>
            <w:pPr>
              <w:ind w:left="60"/>
              <w:spacing w:after="0"/>
              <w:rPr>
                <w:sz w:val="20"/>
                <w:szCs w:val="20"/>
                <w:color w:val="auto"/>
              </w:rPr>
            </w:pPr>
            <w:r>
              <w:rPr>
                <w:rFonts w:ascii="Arial" w:cs="Arial" w:eastAsia="Arial" w:hAnsi="Arial"/>
                <w:sz w:val="18"/>
                <w:szCs w:val="18"/>
                <w:color w:val="auto"/>
              </w:rPr>
              <w:t>Compensation Decision Making Process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30</w:t>
            </w:r>
          </w:p>
        </w:tc>
        <w:tc>
          <w:tcPr>
            <w:tcW w:w="5500" w:type="dxa"/>
            <w:vAlign w:val="bottom"/>
          </w:tcPr>
          <w:p>
            <w:pPr>
              <w:ind w:left="60"/>
              <w:spacing w:after="0"/>
              <w:rPr>
                <w:sz w:val="20"/>
                <w:szCs w:val="20"/>
                <w:color w:val="auto"/>
              </w:rPr>
            </w:pPr>
            <w:r>
              <w:rPr>
                <w:rFonts w:ascii="Arial" w:cs="Arial" w:eastAsia="Arial" w:hAnsi="Arial"/>
                <w:sz w:val="18"/>
                <w:szCs w:val="18"/>
                <w:color w:val="auto"/>
              </w:rPr>
              <w:t>2021 Compensation Decisions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0000EE"/>
              </w:rPr>
              <w:t>40</w:t>
            </w:r>
          </w:p>
        </w:tc>
        <w:tc>
          <w:tcPr>
            <w:tcW w:w="5500" w:type="dxa"/>
            <w:vAlign w:val="bottom"/>
          </w:tcPr>
          <w:p>
            <w:pPr>
              <w:ind w:left="60"/>
              <w:spacing w:after="0"/>
              <w:rPr>
                <w:sz w:val="20"/>
                <w:szCs w:val="20"/>
                <w:color w:val="auto"/>
              </w:rPr>
            </w:pPr>
            <w:r>
              <w:rPr>
                <w:rFonts w:ascii="Arial" w:cs="Arial" w:eastAsia="Arial" w:hAnsi="Arial"/>
                <w:sz w:val="18"/>
                <w:szCs w:val="18"/>
                <w:color w:val="auto"/>
              </w:rPr>
              <w:t>Committee Report</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41</w:t>
            </w:r>
          </w:p>
        </w:tc>
        <w:tc>
          <w:tcPr>
            <w:tcW w:w="140" w:type="dxa"/>
            <w:vAlign w:val="bottom"/>
            <w:gridSpan w:val="2"/>
            <w:vMerge w:val="restart"/>
          </w:tcPr>
          <w:p>
            <w:pPr>
              <w:spacing w:after="0"/>
              <w:rPr>
                <w:sz w:val="20"/>
                <w:szCs w:val="20"/>
                <w:color w:val="auto"/>
              </w:rPr>
            </w:pPr>
            <w:r>
              <w:rPr>
                <w:rFonts w:ascii="Arial" w:cs="Arial" w:eastAsia="Arial" w:hAnsi="Arial"/>
                <w:sz w:val="40"/>
                <w:szCs w:val="40"/>
                <w:b w:val="1"/>
                <w:bCs w:val="1"/>
                <w:color w:val="auto"/>
                <w:w w:val="89"/>
              </w:rPr>
              <w:t>-</w:t>
            </w:r>
          </w:p>
        </w:tc>
        <w:tc>
          <w:tcPr>
            <w:tcW w:w="420" w:type="dxa"/>
            <w:vAlign w:val="bottom"/>
            <w:gridSpan w:val="2"/>
            <w:vMerge w:val="restart"/>
          </w:tcPr>
          <w:p>
            <w:pPr>
              <w:spacing w:after="0" w:line="384" w:lineRule="exact"/>
              <w:rPr>
                <w:sz w:val="20"/>
                <w:szCs w:val="20"/>
                <w:color w:val="auto"/>
              </w:rPr>
            </w:pPr>
            <w:r>
              <w:rPr>
                <w:rFonts w:ascii="Arial" w:cs="Arial" w:eastAsia="Arial" w:hAnsi="Arial"/>
                <w:sz w:val="40"/>
                <w:szCs w:val="40"/>
                <w:b w:val="1"/>
                <w:bCs w:val="1"/>
                <w:color w:val="0000EE"/>
                <w:w w:val="89"/>
              </w:rPr>
              <w:t>51</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EXECUTIVE COMPENSATION TABLES</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23"/>
        </w:trPr>
        <w:tc>
          <w:tcPr>
            <w:tcW w:w="8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0000EE"/>
            </w:tcBorders>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420" w:type="dxa"/>
            <w:vAlign w:val="bottom"/>
            <w:tcBorders>
              <w:bottom w:val="single" w:sz="8" w:color="0000EE"/>
            </w:tcBorders>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20" w:type="dxa"/>
            <w:vAlign w:val="bottom"/>
            <w:vMerge w:val="restart"/>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41</w:t>
            </w:r>
          </w:p>
        </w:tc>
        <w:tc>
          <w:tcPr>
            <w:tcW w:w="5500" w:type="dxa"/>
            <w:vAlign w:val="bottom"/>
            <w:vMerge w:val="restart"/>
          </w:tcPr>
          <w:p>
            <w:pPr>
              <w:ind w:left="60"/>
              <w:spacing w:after="0"/>
              <w:rPr>
                <w:sz w:val="20"/>
                <w:szCs w:val="20"/>
                <w:color w:val="auto"/>
              </w:rPr>
            </w:pPr>
            <w:r>
              <w:rPr>
                <w:rFonts w:ascii="Arial" w:cs="Arial" w:eastAsia="Arial" w:hAnsi="Arial"/>
                <w:sz w:val="18"/>
                <w:szCs w:val="18"/>
                <w:color w:val="auto"/>
              </w:rPr>
              <w:t>2021 Summary Compensation Table</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3"/>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2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Borders>
              <w:bottom w:val="single" w:sz="8" w:color="0000EE"/>
            </w:tcBorders>
            <w:gridSpan w:val="2"/>
            <w:vMerge w:val="continue"/>
          </w:tcPr>
          <w:p>
            <w:pPr>
              <w:spacing w:after="0"/>
              <w:rPr>
                <w:sz w:val="5"/>
                <w:szCs w:val="5"/>
                <w:color w:val="auto"/>
              </w:rPr>
            </w:pPr>
          </w:p>
        </w:tc>
        <w:tc>
          <w:tcPr>
            <w:tcW w:w="5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43</w:t>
            </w:r>
          </w:p>
        </w:tc>
        <w:tc>
          <w:tcPr>
            <w:tcW w:w="5500" w:type="dxa"/>
            <w:vAlign w:val="bottom"/>
          </w:tcPr>
          <w:p>
            <w:pPr>
              <w:ind w:left="60"/>
              <w:spacing w:after="0"/>
              <w:rPr>
                <w:sz w:val="20"/>
                <w:szCs w:val="20"/>
                <w:color w:val="auto"/>
              </w:rPr>
            </w:pPr>
            <w:r>
              <w:rPr>
                <w:rFonts w:ascii="Arial" w:cs="Arial" w:eastAsia="Arial" w:hAnsi="Arial"/>
                <w:sz w:val="18"/>
                <w:szCs w:val="18"/>
                <w:color w:val="auto"/>
              </w:rPr>
              <w:t>Grants of Plan-Based Awards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45</w:t>
            </w:r>
          </w:p>
        </w:tc>
        <w:tc>
          <w:tcPr>
            <w:tcW w:w="5500" w:type="dxa"/>
            <w:vAlign w:val="bottom"/>
          </w:tcPr>
          <w:p>
            <w:pPr>
              <w:ind w:left="60"/>
              <w:spacing w:after="0"/>
              <w:rPr>
                <w:sz w:val="20"/>
                <w:szCs w:val="20"/>
                <w:color w:val="auto"/>
              </w:rPr>
            </w:pPr>
            <w:r>
              <w:rPr>
                <w:rFonts w:ascii="Arial" w:cs="Arial" w:eastAsia="Arial" w:hAnsi="Arial"/>
                <w:sz w:val="18"/>
                <w:szCs w:val="18"/>
                <w:color w:val="auto"/>
              </w:rPr>
              <w:t>Outstanding Equity Awards at December 31, 2021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46</w:t>
            </w:r>
          </w:p>
        </w:tc>
        <w:tc>
          <w:tcPr>
            <w:tcW w:w="5500" w:type="dxa"/>
            <w:vAlign w:val="bottom"/>
          </w:tcPr>
          <w:p>
            <w:pPr>
              <w:ind w:left="60"/>
              <w:spacing w:after="0"/>
              <w:rPr>
                <w:sz w:val="20"/>
                <w:szCs w:val="20"/>
                <w:color w:val="auto"/>
              </w:rPr>
            </w:pPr>
            <w:r>
              <w:rPr>
                <w:rFonts w:ascii="Arial" w:cs="Arial" w:eastAsia="Arial" w:hAnsi="Arial"/>
                <w:sz w:val="18"/>
                <w:szCs w:val="18"/>
                <w:color w:val="auto"/>
              </w:rPr>
              <w:t>Option Exercises and Shares Vested in 2021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0000EE"/>
              </w:rPr>
              <w:t>47</w:t>
            </w:r>
          </w:p>
        </w:tc>
        <w:tc>
          <w:tcPr>
            <w:tcW w:w="5500" w:type="dxa"/>
            <w:vAlign w:val="bottom"/>
          </w:tcPr>
          <w:p>
            <w:pPr>
              <w:ind w:left="60"/>
              <w:spacing w:after="0"/>
              <w:rPr>
                <w:sz w:val="20"/>
                <w:szCs w:val="20"/>
                <w:color w:val="auto"/>
              </w:rPr>
            </w:pPr>
            <w:r>
              <w:rPr>
                <w:rFonts w:ascii="Arial" w:cs="Arial" w:eastAsia="Arial" w:hAnsi="Arial"/>
                <w:sz w:val="18"/>
                <w:szCs w:val="18"/>
                <w:color w:val="auto"/>
              </w:rPr>
              <w:t>Potential Payments upon Termination or Change of Control</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8"/>
          </w:tcPr>
          <w:p>
            <w:pPr>
              <w:spacing w:after="0" w:line="230" w:lineRule="exact"/>
              <w:rPr>
                <w:sz w:val="20"/>
                <w:szCs w:val="20"/>
                <w:color w:val="auto"/>
              </w:rPr>
            </w:pPr>
            <w:r>
              <w:rPr>
                <w:rFonts w:ascii="Arial" w:cs="Arial" w:eastAsia="Arial" w:hAnsi="Arial"/>
                <w:sz w:val="26"/>
                <w:szCs w:val="26"/>
                <w:b w:val="1"/>
                <w:bCs w:val="1"/>
                <w:color w:val="0000EE"/>
              </w:rPr>
              <w:t>52</w:t>
            </w:r>
            <w:r>
              <w:rPr>
                <w:rFonts w:ascii="Arial" w:cs="Arial" w:eastAsia="Arial" w:hAnsi="Arial"/>
                <w:sz w:val="13"/>
                <w:szCs w:val="13"/>
                <w:color w:val="000000"/>
              </w:rPr>
              <w:t>​</w:t>
            </w:r>
          </w:p>
        </w:tc>
        <w:tc>
          <w:tcPr>
            <w:tcW w:w="5920" w:type="dxa"/>
            <w:vAlign w:val="bottom"/>
            <w:gridSpan w:val="4"/>
            <w:vMerge w:val="restart"/>
          </w:tcPr>
          <w:p>
            <w:pPr>
              <w:ind w:left="80"/>
              <w:spacing w:after="0"/>
              <w:rPr>
                <w:sz w:val="20"/>
                <w:szCs w:val="20"/>
                <w:color w:val="auto"/>
              </w:rPr>
            </w:pPr>
            <w:r>
              <w:rPr>
                <w:rFonts w:ascii="Arial" w:cs="Arial" w:eastAsia="Arial" w:hAnsi="Arial"/>
                <w:sz w:val="20"/>
                <w:szCs w:val="20"/>
                <w:color w:val="BA0C2F"/>
              </w:rPr>
              <w:t>PAY RATIO</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64"/>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0000EE"/>
            </w:tcBorders>
          </w:tcPr>
          <w:p>
            <w:pPr>
              <w:spacing w:after="0"/>
              <w:rPr>
                <w:sz w:val="10"/>
                <w:szCs w:val="10"/>
                <w:color w:val="auto"/>
              </w:rPr>
            </w:pPr>
          </w:p>
        </w:tc>
        <w:tc>
          <w:tcPr>
            <w:tcW w:w="120" w:type="dxa"/>
            <w:vAlign w:val="bottom"/>
            <w:tcBorders>
              <w:bottom w:val="single" w:sz="8" w:color="0000EE"/>
            </w:tcBorders>
          </w:tcPr>
          <w:p>
            <w:pPr>
              <w:spacing w:after="0"/>
              <w:rPr>
                <w:sz w:val="10"/>
                <w:szCs w:val="10"/>
                <w:color w:val="auto"/>
              </w:rPr>
            </w:pPr>
          </w:p>
        </w:tc>
        <w:tc>
          <w:tcPr>
            <w:tcW w:w="100" w:type="dxa"/>
            <w:vAlign w:val="bottom"/>
            <w:tcBorders>
              <w:bottom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3"/>
            <w:vMerge w:val="restart"/>
          </w:tcPr>
          <w:p>
            <w:pPr>
              <w:spacing w:after="0" w:line="384" w:lineRule="exact"/>
              <w:rPr>
                <w:sz w:val="20"/>
                <w:szCs w:val="20"/>
                <w:color w:val="auto"/>
              </w:rPr>
            </w:pPr>
            <w:r>
              <w:rPr>
                <w:rFonts w:ascii="Arial" w:cs="Arial" w:eastAsia="Arial" w:hAnsi="Arial"/>
                <w:sz w:val="40"/>
                <w:szCs w:val="40"/>
                <w:b w:val="1"/>
                <w:bCs w:val="1"/>
                <w:color w:val="0000EE"/>
                <w:w w:val="94"/>
              </w:rPr>
              <w:t>53</w:t>
            </w:r>
          </w:p>
        </w:tc>
        <w:tc>
          <w:tcPr>
            <w:tcW w:w="140" w:type="dxa"/>
            <w:vAlign w:val="bottom"/>
            <w:gridSpan w:val="2"/>
            <w:vMerge w:val="restart"/>
          </w:tcPr>
          <w:p>
            <w:pPr>
              <w:spacing w:after="0"/>
              <w:rPr>
                <w:sz w:val="20"/>
                <w:szCs w:val="20"/>
                <w:color w:val="auto"/>
              </w:rPr>
            </w:pPr>
            <w:r>
              <w:rPr>
                <w:rFonts w:ascii="Arial" w:cs="Arial" w:eastAsia="Arial" w:hAnsi="Arial"/>
                <w:sz w:val="40"/>
                <w:szCs w:val="40"/>
                <w:b w:val="1"/>
                <w:bCs w:val="1"/>
                <w:color w:val="auto"/>
                <w:w w:val="89"/>
              </w:rPr>
              <w:t>-</w:t>
            </w:r>
          </w:p>
        </w:tc>
        <w:tc>
          <w:tcPr>
            <w:tcW w:w="420" w:type="dxa"/>
            <w:vAlign w:val="bottom"/>
            <w:gridSpan w:val="2"/>
            <w:vMerge w:val="restart"/>
          </w:tcPr>
          <w:p>
            <w:pPr>
              <w:spacing w:after="0" w:line="384" w:lineRule="exact"/>
              <w:rPr>
                <w:sz w:val="20"/>
                <w:szCs w:val="20"/>
                <w:color w:val="auto"/>
              </w:rPr>
            </w:pPr>
            <w:r>
              <w:rPr>
                <w:rFonts w:ascii="Arial" w:cs="Arial" w:eastAsia="Arial" w:hAnsi="Arial"/>
                <w:sz w:val="40"/>
                <w:szCs w:val="40"/>
                <w:b w:val="1"/>
                <w:bCs w:val="1"/>
                <w:color w:val="0000EE"/>
                <w:w w:val="89"/>
              </w:rPr>
              <w:t>56</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920" w:type="dxa"/>
            <w:vAlign w:val="bottom"/>
            <w:gridSpan w:val="4"/>
          </w:tcPr>
          <w:p>
            <w:pPr>
              <w:ind w:left="80"/>
              <w:spacing w:after="0"/>
              <w:rPr>
                <w:sz w:val="20"/>
                <w:szCs w:val="20"/>
                <w:color w:val="auto"/>
              </w:rPr>
            </w:pPr>
            <w:r>
              <w:rPr>
                <w:rFonts w:ascii="Arial" w:cs="Arial" w:eastAsia="Arial" w:hAnsi="Arial"/>
                <w:sz w:val="20"/>
                <w:szCs w:val="20"/>
                <w:color w:val="BA0C2F"/>
              </w:rPr>
              <w:t>OTHER INFORMATION</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23"/>
        </w:trPr>
        <w:tc>
          <w:tcPr>
            <w:tcW w:w="8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0000EE"/>
            </w:tcBorders>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420" w:type="dxa"/>
            <w:vAlign w:val="bottom"/>
            <w:tcBorders>
              <w:bottom w:val="single" w:sz="8" w:color="0000EE"/>
            </w:tcBorders>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20" w:type="dxa"/>
            <w:vAlign w:val="bottom"/>
            <w:vMerge w:val="restart"/>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53</w:t>
            </w:r>
          </w:p>
        </w:tc>
        <w:tc>
          <w:tcPr>
            <w:tcW w:w="5500" w:type="dxa"/>
            <w:vAlign w:val="bottom"/>
            <w:vMerge w:val="restart"/>
          </w:tcPr>
          <w:p>
            <w:pPr>
              <w:ind w:left="60"/>
              <w:spacing w:after="0"/>
              <w:rPr>
                <w:sz w:val="20"/>
                <w:szCs w:val="20"/>
                <w:color w:val="auto"/>
              </w:rPr>
            </w:pPr>
            <w:r>
              <w:rPr>
                <w:rFonts w:ascii="Arial" w:cs="Arial" w:eastAsia="Arial" w:hAnsi="Arial"/>
                <w:sz w:val="18"/>
                <w:szCs w:val="18"/>
                <w:color w:val="auto"/>
              </w:rPr>
              <w:t>Share Ownership</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3"/>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2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Borders>
              <w:bottom w:val="single" w:sz="8" w:color="0000EE"/>
            </w:tcBorders>
            <w:gridSpan w:val="2"/>
            <w:vMerge w:val="continue"/>
          </w:tcPr>
          <w:p>
            <w:pPr>
              <w:spacing w:after="0"/>
              <w:rPr>
                <w:sz w:val="5"/>
                <w:szCs w:val="5"/>
                <w:color w:val="auto"/>
              </w:rPr>
            </w:pPr>
          </w:p>
        </w:tc>
        <w:tc>
          <w:tcPr>
            <w:tcW w:w="5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55</w:t>
            </w:r>
          </w:p>
        </w:tc>
        <w:tc>
          <w:tcPr>
            <w:tcW w:w="5500" w:type="dxa"/>
            <w:vAlign w:val="bottom"/>
          </w:tcPr>
          <w:p>
            <w:pPr>
              <w:ind w:left="60"/>
              <w:spacing w:after="0"/>
              <w:rPr>
                <w:sz w:val="20"/>
                <w:szCs w:val="20"/>
                <w:color w:val="auto"/>
              </w:rPr>
            </w:pPr>
            <w:r>
              <w:rPr>
                <w:rFonts w:ascii="Arial" w:cs="Arial" w:eastAsia="Arial" w:hAnsi="Arial"/>
                <w:sz w:val="18"/>
                <w:szCs w:val="18"/>
                <w:color w:val="auto"/>
              </w:rPr>
              <w:t>Presentation of Irish Statutory Accounts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55</w:t>
            </w:r>
          </w:p>
        </w:tc>
        <w:tc>
          <w:tcPr>
            <w:tcW w:w="5500" w:type="dxa"/>
            <w:vAlign w:val="bottom"/>
          </w:tcPr>
          <w:p>
            <w:pPr>
              <w:ind w:left="60"/>
              <w:spacing w:after="0"/>
              <w:rPr>
                <w:sz w:val="20"/>
                <w:szCs w:val="20"/>
                <w:color w:val="auto"/>
              </w:rPr>
            </w:pPr>
            <w:r>
              <w:rPr>
                <w:rFonts w:ascii="Arial" w:cs="Arial" w:eastAsia="Arial" w:hAnsi="Arial"/>
                <w:sz w:val="18"/>
                <w:szCs w:val="18"/>
                <w:color w:val="auto"/>
              </w:rPr>
              <w:t>Proposals by Shareholders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0000EE"/>
              </w:rPr>
              <w:t>56</w:t>
            </w:r>
          </w:p>
        </w:tc>
        <w:tc>
          <w:tcPr>
            <w:tcW w:w="5500" w:type="dxa"/>
            <w:vAlign w:val="bottom"/>
          </w:tcPr>
          <w:p>
            <w:pPr>
              <w:ind w:left="60"/>
              <w:spacing w:after="0"/>
              <w:rPr>
                <w:sz w:val="20"/>
                <w:szCs w:val="20"/>
                <w:color w:val="auto"/>
              </w:rPr>
            </w:pPr>
            <w:r>
              <w:rPr>
                <w:rFonts w:ascii="Arial" w:cs="Arial" w:eastAsia="Arial" w:hAnsi="Arial"/>
                <w:sz w:val="18"/>
                <w:szCs w:val="18"/>
                <w:color w:val="auto"/>
              </w:rPr>
              <w:t>Additional Information Available</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1568450</wp:posOffset>
            </wp:positionV>
            <wp:extent cx="6231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700"/>
        <w:spacing w:after="0"/>
        <w:rPr>
          <w:sz w:val="20"/>
          <w:szCs w:val="20"/>
          <w:color w:val="auto"/>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65"/>
          <w:szCs w:val="65"/>
          <w:b w:val="1"/>
          <w:bCs w:val="1"/>
          <w:color w:val="BA0C2F"/>
        </w:rPr>
        <w:t>PROXY STATEMENT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MEETING AND VOTING INFORMATION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ANNUAL GENERAL MEETING: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2, 2022 at 10:00 a.m. (Central Time), 2000 St. James Place, Marcellus Room, Houston, Texas 77056.</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GENERAL</w:t>
      </w:r>
    </w:p>
    <w:p>
      <w:pPr>
        <w:spacing w:after="0" w:line="111" w:lineRule="exact"/>
        <w:rPr>
          <w:sz w:val="20"/>
          <w:szCs w:val="20"/>
          <w:color w:val="auto"/>
        </w:rPr>
      </w:pPr>
    </w:p>
    <w:p>
      <w:pPr>
        <w:ind w:left="440" w:right="240"/>
        <w:spacing w:after="0" w:line="335" w:lineRule="auto"/>
        <w:rPr>
          <w:sz w:val="20"/>
          <w:szCs w:val="20"/>
          <w:color w:val="auto"/>
        </w:rPr>
      </w:pPr>
      <w:r>
        <w:rPr>
          <w:rFonts w:ascii="Arial" w:cs="Arial" w:eastAsia="Arial" w:hAnsi="Arial"/>
          <w:sz w:val="17"/>
          <w:szCs w:val="17"/>
          <w:color w:val="auto"/>
        </w:rPr>
        <w:t>In this Proxy Statement, “Weatherford,” “the Company,” “we,” “us” and “our” refer to Weatherford International plc, an Irish public limited company. Also, “AGM” refers to the 2022 Annual General Meeting, unless a different year is specified.</w:t>
      </w:r>
    </w:p>
    <w:p>
      <w:pPr>
        <w:spacing w:after="0" w:line="21" w:lineRule="exact"/>
        <w:rPr>
          <w:sz w:val="20"/>
          <w:szCs w:val="20"/>
          <w:color w:val="auto"/>
        </w:rPr>
      </w:pPr>
    </w:p>
    <w:p>
      <w:pPr>
        <w:ind w:left="440" w:right="320"/>
        <w:spacing w:after="0" w:line="287" w:lineRule="auto"/>
        <w:rPr>
          <w:sz w:val="20"/>
          <w:szCs w:val="20"/>
          <w:color w:val="auto"/>
        </w:rPr>
      </w:pPr>
      <w:r>
        <w:rPr>
          <w:rFonts w:ascii="Arial" w:cs="Arial" w:eastAsia="Arial" w:hAnsi="Arial"/>
          <w:sz w:val="18"/>
          <w:szCs w:val="18"/>
          <w:color w:val="auto"/>
        </w:rPr>
        <w:t>Our principal executive offices are located at 2000 St. James Place, Houston, Texas 77056 and our telephone number is +1(713) 836-4000.</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References to “$” or “USD” in this Proxy Statement are references to United States dollars.</w:t>
      </w:r>
    </w:p>
    <w:p>
      <w:pPr>
        <w:spacing w:after="0" w:line="117" w:lineRule="exact"/>
        <w:rPr>
          <w:sz w:val="20"/>
          <w:szCs w:val="20"/>
          <w:color w:val="auto"/>
        </w:rPr>
      </w:pPr>
    </w:p>
    <w:p>
      <w:pPr>
        <w:ind w:left="440" w:right="380"/>
        <w:spacing w:after="0" w:line="287" w:lineRule="auto"/>
        <w:rPr>
          <w:sz w:val="20"/>
          <w:szCs w:val="20"/>
          <w:color w:val="auto"/>
        </w:rPr>
      </w:pPr>
      <w:r>
        <w:rPr>
          <w:rFonts w:ascii="Arial" w:cs="Arial" w:eastAsia="Arial" w:hAnsi="Arial"/>
          <w:sz w:val="18"/>
          <w:szCs w:val="18"/>
          <w:color w:val="auto"/>
        </w:rPr>
        <w:t>This Proxy Statement and proxy card are first being mailed or made available on behalf of our Board of Directors, or our “Board,” to all shareholders beginning on or about April 22, 2022.</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AGENDA</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Required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Board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6720" w:type="dxa"/>
            <w:vAlign w:val="bottom"/>
          </w:tcPr>
          <w:p>
            <w:pPr>
              <w:ind w:left="2980"/>
              <w:spacing w:after="0"/>
              <w:rPr>
                <w:sz w:val="20"/>
                <w:szCs w:val="20"/>
                <w:color w:val="auto"/>
              </w:rPr>
            </w:pPr>
            <w:r>
              <w:rPr>
                <w:rFonts w:ascii="Arial" w:cs="Arial" w:eastAsia="Arial" w:hAnsi="Arial"/>
                <w:sz w:val="14"/>
                <w:szCs w:val="14"/>
                <w:b w:val="1"/>
                <w:bCs w:val="1"/>
                <w:color w:val="auto"/>
              </w:rPr>
              <w:t>Proposal</w:t>
            </w:r>
          </w:p>
        </w:tc>
        <w:tc>
          <w:tcPr>
            <w:tcW w:w="80" w:type="dxa"/>
            <w:vAlign w:val="bottom"/>
          </w:tcPr>
          <w:p>
            <w:pPr>
              <w:spacing w:after="0"/>
              <w:rPr>
                <w:sz w:val="18"/>
                <w:szCs w:val="18"/>
                <w:color w:val="auto"/>
              </w:rPr>
            </w:pPr>
          </w:p>
        </w:tc>
        <w:tc>
          <w:tcPr>
            <w:tcW w:w="1300" w:type="dxa"/>
            <w:vAlign w:val="bottom"/>
            <w:gridSpan w:val="2"/>
          </w:tcPr>
          <w:p>
            <w:pPr>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Approval</w:t>
            </w:r>
          </w:p>
        </w:tc>
        <w:tc>
          <w:tcPr>
            <w:tcW w:w="140" w:type="dxa"/>
            <w:vAlign w:val="bottom"/>
          </w:tcPr>
          <w:p>
            <w:pPr>
              <w:spacing w:after="0"/>
              <w:rPr>
                <w:sz w:val="18"/>
                <w:szCs w:val="18"/>
                <w:color w:val="auto"/>
              </w:rPr>
            </w:pPr>
          </w:p>
        </w:tc>
        <w:tc>
          <w:tcPr>
            <w:tcW w:w="1440" w:type="dxa"/>
            <w:vAlign w:val="bottom"/>
            <w:gridSpan w:val="3"/>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Recommendation</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128"/>
        </w:trPr>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6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Majority of Votes</w:t>
            </w:r>
          </w:p>
        </w:tc>
        <w:tc>
          <w:tcPr>
            <w:tcW w:w="14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BA0C2F"/>
              </w:rPr>
              <w:t xml:space="preserve">FOR </w:t>
            </w:r>
            <w:r>
              <w:rPr>
                <w:rFonts w:ascii="Arial" w:cs="Arial" w:eastAsia="Arial" w:hAnsi="Arial"/>
                <w:sz w:val="14"/>
                <w:szCs w:val="14"/>
                <w:color w:val="000000"/>
              </w:rPr>
              <w:t>each</w:t>
            </w:r>
          </w:p>
        </w:tc>
        <w:tc>
          <w:tcPr>
            <w:tcW w:w="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6880" w:type="dxa"/>
            <w:vAlign w:val="bottom"/>
            <w:gridSpan w:val="2"/>
          </w:tcPr>
          <w:p>
            <w:pPr>
              <w:spacing w:after="0" w:line="59" w:lineRule="exact"/>
              <w:rPr>
                <w:sz w:val="20"/>
                <w:szCs w:val="20"/>
                <w:color w:val="auto"/>
              </w:rPr>
            </w:pPr>
            <w:r>
              <w:rPr>
                <w:rFonts w:ascii="Arial" w:cs="Arial" w:eastAsia="Arial" w:hAnsi="Arial"/>
                <w:sz w:val="6"/>
                <w:szCs w:val="6"/>
                <w:color w:val="BA0C2F"/>
              </w:rPr>
              <w:t xml:space="preserve">1.  </w:t>
            </w:r>
            <w:r>
              <w:rPr>
                <w:rFonts w:ascii="Arial" w:cs="Arial" w:eastAsia="Arial" w:hAnsi="Arial"/>
                <w:sz w:val="6"/>
                <w:szCs w:val="6"/>
                <w:color w:val="000000"/>
              </w:rPr>
              <w:t>Election of Directors. By separate resolutions, to elect each of the five individuals named in this Proxy</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Statement as directors of the Company, in each case(unless his or her office is earlier vacated in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Cast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rPr>
              <w:t>nominee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accordance with the Articles of Association of the Company (the “Articles”)), to serve for a one year term</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concluding at the later of (x) the next annual general meeting of the Company (the “2023 AGM”) and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(y) subject to article 155 of the Articles, until his or her successor is elected and qualified.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7F7F7F"/>
            </w:tcBorders>
          </w:tcPr>
          <w:p>
            <w:pPr>
              <w:spacing w:after="0"/>
              <w:rPr>
                <w:sz w:val="3"/>
                <w:szCs w:val="3"/>
                <w:color w:val="auto"/>
              </w:rPr>
            </w:pPr>
          </w:p>
        </w:tc>
        <w:tc>
          <w:tcPr>
            <w:tcW w:w="672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1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720" w:type="dxa"/>
            <w:vAlign w:val="bottom"/>
          </w:tcPr>
          <w:p>
            <w:pPr>
              <w:spacing w:after="0"/>
              <w:rPr>
                <w:sz w:val="11"/>
                <w:szCs w:val="11"/>
                <w:color w:val="auto"/>
              </w:rPr>
            </w:pPr>
          </w:p>
        </w:tc>
        <w:tc>
          <w:tcPr>
            <w:tcW w:w="8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Majority of Votes</w:t>
            </w:r>
          </w:p>
        </w:tc>
        <w:tc>
          <w:tcPr>
            <w:tcW w:w="140" w:type="dxa"/>
            <w:vAlign w:val="bottom"/>
          </w:tcPr>
          <w:p>
            <w:pPr>
              <w:ind w:left="100"/>
              <w:spacing w:after="0" w:line="129" w:lineRule="exact"/>
              <w:rPr>
                <w:sz w:val="20"/>
                <w:szCs w:val="20"/>
                <w:color w:val="auto"/>
              </w:rPr>
            </w:pPr>
            <w:r>
              <w:rPr>
                <w:rFonts w:ascii="Arial" w:cs="Arial" w:eastAsia="Arial" w:hAnsi="Arial"/>
                <w:sz w:val="14"/>
                <w:szCs w:val="14"/>
                <w:color w:val="auto"/>
              </w:rPr>
              <w:t>​</w:t>
            </w:r>
          </w:p>
        </w:tc>
        <w:tc>
          <w:tcPr>
            <w:tcW w:w="28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BA0C2F"/>
              </w:rPr>
              <w:t>FOR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880" w:type="dxa"/>
            <w:vAlign w:val="bottom"/>
            <w:gridSpan w:val="2"/>
          </w:tcPr>
          <w:p>
            <w:pPr>
              <w:spacing w:after="0" w:line="59" w:lineRule="exact"/>
              <w:rPr>
                <w:sz w:val="20"/>
                <w:szCs w:val="20"/>
                <w:color w:val="auto"/>
              </w:rPr>
            </w:pPr>
            <w:r>
              <w:rPr>
                <w:rFonts w:ascii="Arial" w:cs="Arial" w:eastAsia="Arial" w:hAnsi="Arial"/>
                <w:sz w:val="6"/>
                <w:szCs w:val="6"/>
                <w:color w:val="BA0C2F"/>
              </w:rPr>
              <w:t xml:space="preserve">2.  </w:t>
            </w:r>
            <w:r>
              <w:rPr>
                <w:rFonts w:ascii="Arial" w:cs="Arial" w:eastAsia="Arial" w:hAnsi="Arial"/>
                <w:sz w:val="6"/>
                <w:szCs w:val="6"/>
                <w:color w:val="000000"/>
              </w:rPr>
              <w:t>Ratify Appointment of Independent Auditors. To ratify the appointment of KPMG LLP as our independent</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registered public accounting firm and auditor for the fiscal year ending December 31, 2022 and KPMG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Cast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Chartered Accountants, Dublin as the Company’s statutory auditor under Irish law to hold office until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close of the 2023 AGM, and to authorize the Board, acting through the Audit Committee, to determine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the auditors’ remuneration.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7F7F7F"/>
            </w:tcBorders>
          </w:tcPr>
          <w:p>
            <w:pPr>
              <w:spacing w:after="0"/>
              <w:rPr>
                <w:sz w:val="3"/>
                <w:szCs w:val="3"/>
                <w:color w:val="auto"/>
              </w:rPr>
            </w:pPr>
          </w:p>
        </w:tc>
        <w:tc>
          <w:tcPr>
            <w:tcW w:w="672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11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1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720" w:type="dxa"/>
            <w:vAlign w:val="bottom"/>
          </w:tcPr>
          <w:p>
            <w:pPr>
              <w:spacing w:after="0"/>
              <w:rPr>
                <w:sz w:val="11"/>
                <w:szCs w:val="11"/>
                <w:color w:val="auto"/>
              </w:rPr>
            </w:pPr>
          </w:p>
        </w:tc>
        <w:tc>
          <w:tcPr>
            <w:tcW w:w="8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Majority of Votes</w:t>
            </w:r>
          </w:p>
        </w:tc>
        <w:tc>
          <w:tcPr>
            <w:tcW w:w="140" w:type="dxa"/>
            <w:vAlign w:val="bottom"/>
          </w:tcPr>
          <w:p>
            <w:pPr>
              <w:ind w:left="100"/>
              <w:spacing w:after="0" w:line="129" w:lineRule="exact"/>
              <w:rPr>
                <w:sz w:val="20"/>
                <w:szCs w:val="20"/>
                <w:color w:val="auto"/>
              </w:rPr>
            </w:pPr>
            <w:r>
              <w:rPr>
                <w:rFonts w:ascii="Arial" w:cs="Arial" w:eastAsia="Arial" w:hAnsi="Arial"/>
                <w:sz w:val="14"/>
                <w:szCs w:val="14"/>
                <w:color w:val="auto"/>
              </w:rPr>
              <w:t>​</w:t>
            </w:r>
          </w:p>
        </w:tc>
        <w:tc>
          <w:tcPr>
            <w:tcW w:w="28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BA0C2F"/>
              </w:rPr>
              <w:t>FOR</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880" w:type="dxa"/>
            <w:vAlign w:val="bottom"/>
            <w:gridSpan w:val="2"/>
          </w:tcPr>
          <w:p>
            <w:pPr>
              <w:spacing w:after="0" w:line="59" w:lineRule="exact"/>
              <w:rPr>
                <w:sz w:val="20"/>
                <w:szCs w:val="20"/>
                <w:color w:val="auto"/>
              </w:rPr>
            </w:pPr>
            <w:r>
              <w:rPr>
                <w:rFonts w:ascii="Arial" w:cs="Arial" w:eastAsia="Arial" w:hAnsi="Arial"/>
                <w:sz w:val="6"/>
                <w:szCs w:val="6"/>
                <w:color w:val="BA0C2F"/>
              </w:rPr>
              <w:t xml:space="preserve">3.  </w:t>
            </w:r>
            <w:r>
              <w:rPr>
                <w:rFonts w:ascii="Arial" w:cs="Arial" w:eastAsia="Arial" w:hAnsi="Arial"/>
                <w:sz w:val="6"/>
                <w:szCs w:val="6"/>
                <w:color w:val="000000"/>
              </w:rPr>
              <w:t>Approve Executive Compensation. To approve, in an advisory vote, the compensation of our named</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executive officers.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Cast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30480</wp:posOffset>
            </wp:positionV>
            <wp:extent cx="6223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ind w:left="440"/>
        <w:spacing w:after="0" w:line="186" w:lineRule="auto"/>
        <w:rPr>
          <w:sz w:val="20"/>
          <w:szCs w:val="20"/>
          <w:color w:val="auto"/>
        </w:rPr>
      </w:pPr>
      <w:r>
        <w:rPr>
          <w:rFonts w:ascii="Arial" w:cs="Arial" w:eastAsia="Arial" w:hAnsi="Arial"/>
          <w:sz w:val="12"/>
          <w:szCs w:val="12"/>
          <w:color w:val="auto"/>
        </w:rPr>
        <w:t>​</w:t>
      </w:r>
    </w:p>
    <w:p>
      <w:pPr>
        <w:ind w:left="700" w:hanging="259"/>
        <w:spacing w:after="0" w:line="262" w:lineRule="auto"/>
        <w:tabs>
          <w:tab w:leader="none" w:pos="680" w:val="left"/>
        </w:tabs>
        <w:rPr>
          <w:sz w:val="20"/>
          <w:szCs w:val="20"/>
          <w:color w:val="auto"/>
        </w:rPr>
      </w:pPr>
      <w:r>
        <w:rPr>
          <w:rFonts w:ascii="Arial" w:cs="Arial" w:eastAsia="Arial" w:hAnsi="Arial"/>
          <w:sz w:val="14"/>
          <w:szCs w:val="14"/>
          <w:color w:val="BA0C2F"/>
        </w:rPr>
        <w:t>4.</w:t>
      </w:r>
      <w:r>
        <w:rPr>
          <w:rFonts w:ascii="Arial" w:cs="Arial" w:eastAsia="Arial" w:hAnsi="Arial"/>
          <w:sz w:val="14"/>
          <w:szCs w:val="14"/>
          <w:color w:val="auto"/>
        </w:rPr>
        <w:tab/>
        <w:t>Frequency of the Vote on Executive Compensation. To approve, in an advisory vote, whether a shareholder vote to approve the compensation of our named executive officers should occur every one, two or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13335</wp:posOffset>
            </wp:positionV>
            <wp:extent cx="6223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80" w:type="dxa"/>
            <w:vAlign w:val="bottom"/>
          </w:tcPr>
          <w:p>
            <w:pPr>
              <w:spacing w:after="0" w:line="255"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Option which</w:t>
            </w:r>
          </w:p>
        </w:tc>
        <w:tc>
          <w:tcPr>
            <w:tcW w:w="360" w:type="dxa"/>
            <w:vAlign w:val="bottom"/>
          </w:tcPr>
          <w:p>
            <w:pPr>
              <w:ind w:left="60"/>
              <w:spacing w:after="0"/>
              <w:rPr>
                <w:sz w:val="20"/>
                <w:szCs w:val="20"/>
                <w:color w:val="auto"/>
              </w:rPr>
            </w:pPr>
            <w:r>
              <w:rPr>
                <w:rFonts w:ascii="Arial" w:cs="Arial" w:eastAsia="Arial" w:hAnsi="Arial"/>
                <w:sz w:val="14"/>
                <w:szCs w:val="14"/>
                <w:color w:val="auto"/>
              </w:rPr>
              <w:t>​ ​</w:t>
            </w:r>
          </w:p>
        </w:tc>
        <w:tc>
          <w:tcPr>
            <w:tcW w:w="1180" w:type="dxa"/>
            <w:vAlign w:val="bottom"/>
          </w:tcPr>
          <w:p>
            <w:pPr>
              <w:ind w:left="160"/>
              <w:spacing w:after="0" w:line="255" w:lineRule="exact"/>
              <w:rPr>
                <w:sz w:val="20"/>
                <w:szCs w:val="20"/>
                <w:color w:val="auto"/>
              </w:rPr>
            </w:pPr>
            <w:r>
              <w:rPr>
                <w:rFonts w:ascii="Arial" w:cs="Arial" w:eastAsia="Arial" w:hAnsi="Arial"/>
                <w:sz w:val="14"/>
                <w:szCs w:val="14"/>
                <w:b w:val="1"/>
                <w:bCs w:val="1"/>
                <w:color w:val="BA0C2F"/>
              </w:rPr>
              <w:t xml:space="preserve">ONE YEAR   </w:t>
            </w:r>
            <w:r>
              <w:rPr>
                <w:rFonts w:ascii="Arial" w:cs="Arial" w:eastAsia="Arial" w:hAnsi="Arial"/>
                <w:sz w:val="28"/>
                <w:szCs w:val="28"/>
                <w:color w:val="000000"/>
                <w:vertAlign w:val="superscript"/>
              </w:rPr>
              <w:t>​</w:t>
            </w:r>
          </w:p>
        </w:tc>
      </w:tr>
      <w:tr>
        <w:trPr>
          <w:trHeight w:val="175"/>
        </w:trPr>
        <w:tc>
          <w:tcPr>
            <w:tcW w:w="1380" w:type="dxa"/>
            <w:vAlign w:val="bottom"/>
          </w:tcPr>
          <w:p>
            <w:pPr>
              <w:ind w:left="200"/>
              <w:spacing w:after="0"/>
              <w:rPr>
                <w:sz w:val="20"/>
                <w:szCs w:val="20"/>
                <w:color w:val="auto"/>
              </w:rPr>
            </w:pPr>
            <w:r>
              <w:rPr>
                <w:rFonts w:ascii="Arial" w:cs="Arial" w:eastAsia="Arial" w:hAnsi="Arial"/>
                <w:sz w:val="14"/>
                <w:szCs w:val="14"/>
                <w:color w:val="auto"/>
              </w:rPr>
              <w:t>receives the most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0"/>
        </w:trPr>
        <w:tc>
          <w:tcPr>
            <w:tcW w:w="1380" w:type="dxa"/>
            <w:vAlign w:val="bottom"/>
          </w:tcPr>
          <w:p>
            <w:pPr>
              <w:ind w:left="200"/>
              <w:spacing w:after="0"/>
              <w:rPr>
                <w:sz w:val="20"/>
                <w:szCs w:val="20"/>
                <w:color w:val="auto"/>
              </w:rPr>
            </w:pPr>
            <w:r>
              <w:rPr>
                <w:rFonts w:ascii="Arial" w:cs="Arial" w:eastAsia="Arial" w:hAnsi="Arial"/>
                <w:sz w:val="14"/>
                <w:szCs w:val="14"/>
                <w:color w:val="auto"/>
              </w:rPr>
              <w:t>votes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13" w:lineRule="exact"/>
        <w:rPr>
          <w:sz w:val="20"/>
          <w:szCs w:val="20"/>
          <w:color w:val="auto"/>
        </w:rPr>
      </w:pPr>
    </w:p>
    <w:p>
      <w:pPr>
        <w:sectPr>
          <w:pgSz w:w="11900" w:h="16838" w:orient="portrait"/>
          <w:cols w:equalWidth="0" w:num="2">
            <w:col w:w="7240" w:space="120"/>
            <w:col w:w="2920"/>
          </w:cols>
          <w:pgMar w:left="580" w:top="97" w:right="1039" w:bottom="1440" w:gutter="0" w:footer="0" w:header="0"/>
          <w:type w:val="continuous"/>
        </w:sectPr>
      </w:pPr>
    </w:p>
    <w:p>
      <w:pPr>
        <w:spacing w:after="0" w:line="32" w:lineRule="exact"/>
        <w:rPr>
          <w:sz w:val="20"/>
          <w:szCs w:val="20"/>
          <w:color w:val="auto"/>
        </w:rPr>
      </w:pPr>
    </w:p>
    <w:p>
      <w:pPr>
        <w:ind w:left="440" w:right="320"/>
        <w:spacing w:after="0" w:line="276" w:lineRule="auto"/>
        <w:rPr>
          <w:sz w:val="20"/>
          <w:szCs w:val="20"/>
          <w:color w:val="auto"/>
        </w:rPr>
      </w:pPr>
      <w:r>
        <w:rPr>
          <w:rFonts w:ascii="Arial" w:cs="Arial" w:eastAsia="Arial" w:hAnsi="Arial"/>
          <w:sz w:val="18"/>
          <w:szCs w:val="18"/>
          <w:color w:val="auto"/>
        </w:rPr>
        <w:t>During the AGM, the Company’s Irish Statutory Accounts for the fiscal year ended December 31, 2021 will be laid before the meeting, along with related directors’ and auditors’ reports thereon, and the Company’s management will present a review of the Company’s affairs.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WHO CAN VOTE</w:t>
      </w:r>
    </w:p>
    <w:p>
      <w:pPr>
        <w:spacing w:after="0" w:line="124" w:lineRule="exact"/>
        <w:rPr>
          <w:sz w:val="20"/>
          <w:szCs w:val="20"/>
          <w:color w:val="auto"/>
        </w:rPr>
      </w:pPr>
    </w:p>
    <w:p>
      <w:pPr>
        <w:ind w:left="440" w:right="120"/>
        <w:spacing w:after="0" w:line="267" w:lineRule="auto"/>
        <w:rPr>
          <w:sz w:val="20"/>
          <w:szCs w:val="20"/>
          <w:color w:val="auto"/>
        </w:rPr>
      </w:pPr>
      <w:r>
        <w:rPr>
          <w:rFonts w:ascii="Arial" w:cs="Arial" w:eastAsia="Arial" w:hAnsi="Arial"/>
          <w:sz w:val="18"/>
          <w:szCs w:val="18"/>
          <w:color w:val="auto"/>
        </w:rPr>
        <w:t>All registered shareholders at the close of business on April 12, 2022 (the “Record Date”) have the right to notice of, and to vote, in person or by proxy, at the AGM. Registered shareholders are entitled, on a poll, to one vote per ordinary share on all matters submitted to a vote of shareholders at the AGM, so long as those shares are represented at the AGM in person or by proxy. A registered shareholder may appoint one or more proxies to attend, speak and vote in their place at the AGM.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300990</wp:posOffset>
            </wp:positionV>
            <wp:extent cx="6231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PROXY STATEMENT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MEETING ATTENDANCE</w:t>
      </w:r>
    </w:p>
    <w:p>
      <w:pPr>
        <w:spacing w:after="0" w:line="182" w:lineRule="exact"/>
        <w:rPr>
          <w:sz w:val="20"/>
          <w:szCs w:val="20"/>
          <w:color w:val="auto"/>
        </w:rPr>
      </w:pPr>
    </w:p>
    <w:p>
      <w:pPr>
        <w:ind w:left="440" w:right="100"/>
        <w:spacing w:after="0" w:line="272" w:lineRule="auto"/>
        <w:rPr>
          <w:sz w:val="20"/>
          <w:szCs w:val="20"/>
          <w:color w:val="auto"/>
        </w:rPr>
      </w:pPr>
      <w:r>
        <w:rPr>
          <w:rFonts w:ascii="Arial" w:cs="Arial" w:eastAsia="Arial" w:hAnsi="Arial"/>
          <w:sz w:val="22"/>
          <w:szCs w:val="22"/>
          <w:b w:val="1"/>
          <w:bCs w:val="1"/>
          <w:color w:val="auto"/>
        </w:rPr>
        <w:t>IMPORTANT NOTICE REGARDING MEASURES TO REDUCE COVID-19 TRANSMISSION AT THE 2022 AGM OF SHAREHOLDERS</w:t>
      </w:r>
    </w:p>
    <w:p>
      <w:pPr>
        <w:spacing w:after="0" w:line="30" w:lineRule="exact"/>
        <w:rPr>
          <w:sz w:val="20"/>
          <w:szCs w:val="20"/>
          <w:color w:val="auto"/>
        </w:rPr>
      </w:pPr>
    </w:p>
    <w:p>
      <w:pPr>
        <w:ind w:left="440" w:right="60"/>
        <w:spacing w:after="0" w:line="247" w:lineRule="auto"/>
        <w:rPr>
          <w:sz w:val="20"/>
          <w:szCs w:val="20"/>
          <w:color w:val="auto"/>
        </w:rPr>
      </w:pPr>
      <w:r>
        <w:rPr>
          <w:rFonts w:ascii="Arial" w:cs="Arial" w:eastAsia="Arial" w:hAnsi="Arial"/>
          <w:sz w:val="18"/>
          <w:szCs w:val="18"/>
          <w:color w:val="auto"/>
        </w:rPr>
        <w:t>In light of the continuing COVID-19 pandemic, the Company would like to emphasize that we consider the health of our shareholders, employees and other attendees at our AGM a top priority. We are monitoring guidance issued by the U.S. and local governments, the U.S. Center for Disease Control and Prevention (the “CDC”) and the World Health Organization (the “WHO”), and we have implemented, and will continue to implement, the measures advised by the CDC and the WHO to minimize the spread of COVID-19 at our AGM.</w:t>
      </w:r>
    </w:p>
    <w:p>
      <w:pPr>
        <w:spacing w:after="0" w:line="82" w:lineRule="exact"/>
        <w:rPr>
          <w:sz w:val="20"/>
          <w:szCs w:val="20"/>
          <w:color w:val="auto"/>
        </w:rPr>
      </w:pPr>
    </w:p>
    <w:p>
      <w:pPr>
        <w:ind w:left="440" w:right="80"/>
        <w:spacing w:after="0" w:line="244" w:lineRule="auto"/>
        <w:rPr>
          <w:sz w:val="20"/>
          <w:szCs w:val="20"/>
          <w:color w:val="auto"/>
        </w:rPr>
      </w:pPr>
      <w:r>
        <w:rPr>
          <w:rFonts w:ascii="Arial" w:cs="Arial" w:eastAsia="Arial" w:hAnsi="Arial"/>
          <w:sz w:val="18"/>
          <w:szCs w:val="18"/>
          <w:color w:val="auto"/>
        </w:rPr>
        <w:t xml:space="preserve">In accordance with Irish law, we are required to have a principal meeting place, which is a physical location where shareholders may attend the AGM in person and vote in person. While we recognize that COVID-19 is still prevalent, it is becoming increasingly evident that it will be a part of our societal norms for the foreseeable future. Previous COVID-19 restrictions are being lifted in countries around the world. </w:t>
      </w:r>
      <w:r>
        <w:rPr>
          <w:rFonts w:ascii="Arial" w:cs="Arial" w:eastAsia="Arial" w:hAnsi="Arial"/>
          <w:sz w:val="18"/>
          <w:szCs w:val="18"/>
          <w:b w:val="1"/>
          <w:bCs w:val="1"/>
          <w:color w:val="auto"/>
        </w:rPr>
        <w:t>As we start to return to the pre-pandemic normal, we are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pleased to announce that our AGM will only be held in person. </w:t>
      </w:r>
      <w:r>
        <w:rPr>
          <w:rFonts w:ascii="Arial" w:cs="Arial" w:eastAsia="Arial" w:hAnsi="Arial"/>
          <w:sz w:val="18"/>
          <w:szCs w:val="18"/>
          <w:color w:val="auto"/>
        </w:rPr>
        <w:t>If you wish to attend the AGM in person, you will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72" w:lineRule="exact"/>
        <w:rPr>
          <w:sz w:val="20"/>
          <w:szCs w:val="20"/>
          <w:color w:val="auto"/>
        </w:rPr>
      </w:pPr>
    </w:p>
    <w:p>
      <w:pPr>
        <w:ind w:left="440" w:right="60"/>
        <w:spacing w:after="0" w:line="287" w:lineRule="auto"/>
        <w:rPr>
          <w:sz w:val="20"/>
          <w:szCs w:val="20"/>
          <w:color w:val="auto"/>
        </w:rPr>
      </w:pPr>
      <w:r>
        <w:rPr>
          <w:rFonts w:ascii="Arial" w:cs="Arial" w:eastAsia="Arial" w:hAnsi="Arial"/>
          <w:sz w:val="18"/>
          <w:szCs w:val="18"/>
          <w:color w:val="auto"/>
        </w:rPr>
        <w:t>While we are returning to an in-person only AGM and relaxing some of the previous COVID-19 restrictions, the AGM will be held in accordance with local governmental emergency orders, CDC and WHO guidance, therefore:</w:t>
      </w:r>
    </w:p>
    <w:p>
      <w:pPr>
        <w:spacing w:after="0" w:line="31" w:lineRule="exact"/>
        <w:rPr>
          <w:sz w:val="20"/>
          <w:szCs w:val="20"/>
          <w:color w:val="auto"/>
        </w:rPr>
      </w:pPr>
    </w:p>
    <w:p>
      <w:pPr>
        <w:ind w:left="880" w:hanging="226"/>
        <w:spacing w:after="0"/>
        <w:tabs>
          <w:tab w:leader="none" w:pos="880" w:val="left"/>
        </w:tabs>
        <w:numPr>
          <w:ilvl w:val="0"/>
          <w:numId w:val="6"/>
        </w:numPr>
        <w:rPr>
          <w:rFonts w:ascii="Arial" w:cs="Arial" w:eastAsia="Arial" w:hAnsi="Arial"/>
          <w:sz w:val="18"/>
          <w:szCs w:val="18"/>
          <w:color w:val="BA0C2F"/>
        </w:rPr>
      </w:pPr>
      <w:r>
        <w:rPr>
          <w:rFonts w:ascii="Arial" w:cs="Arial" w:eastAsia="Arial" w:hAnsi="Arial"/>
          <w:sz w:val="18"/>
          <w:szCs w:val="18"/>
          <w:color w:val="auto"/>
        </w:rPr>
        <w:t>social distancing will be required;</w:t>
      </w:r>
    </w:p>
    <w:p>
      <w:pPr>
        <w:spacing w:after="0" w:line="13" w:lineRule="exact"/>
        <w:rPr>
          <w:rFonts w:ascii="Arial" w:cs="Arial" w:eastAsia="Arial" w:hAnsi="Arial"/>
          <w:sz w:val="18"/>
          <w:szCs w:val="18"/>
          <w:color w:val="BA0C2F"/>
        </w:rPr>
      </w:pPr>
    </w:p>
    <w:p>
      <w:pPr>
        <w:ind w:left="880" w:right="60" w:hanging="226"/>
        <w:spacing w:after="0" w:line="250" w:lineRule="auto"/>
        <w:tabs>
          <w:tab w:leader="none" w:pos="880" w:val="left"/>
        </w:tabs>
        <w:numPr>
          <w:ilvl w:val="0"/>
          <w:numId w:val="6"/>
        </w:numPr>
        <w:rPr>
          <w:rFonts w:ascii="Arial" w:cs="Arial" w:eastAsia="Arial" w:hAnsi="Arial"/>
          <w:sz w:val="18"/>
          <w:szCs w:val="18"/>
          <w:color w:val="BA0C2F"/>
        </w:rPr>
      </w:pPr>
      <w:r>
        <w:rPr>
          <w:rFonts w:ascii="Arial" w:cs="Arial" w:eastAsia="Arial" w:hAnsi="Arial"/>
          <w:sz w:val="18"/>
          <w:szCs w:val="18"/>
          <w:color w:val="auto"/>
        </w:rPr>
        <w:t>persons attending the meeting may be subject to screening procedures prior to being admitted to the AGM — in which case, please allow extra time in advance of the meeting to complete these procedures; and</w:t>
      </w:r>
    </w:p>
    <w:p>
      <w:pPr>
        <w:ind w:left="880" w:hanging="226"/>
        <w:spacing w:after="0"/>
        <w:tabs>
          <w:tab w:leader="none" w:pos="880" w:val="left"/>
        </w:tabs>
        <w:numPr>
          <w:ilvl w:val="0"/>
          <w:numId w:val="6"/>
        </w:numPr>
        <w:rPr>
          <w:rFonts w:ascii="Arial" w:cs="Arial" w:eastAsia="Arial" w:hAnsi="Arial"/>
          <w:sz w:val="18"/>
          <w:szCs w:val="18"/>
          <w:color w:val="BA0C2F"/>
        </w:rPr>
      </w:pPr>
      <w:r>
        <w:rPr>
          <w:rFonts w:ascii="Arial" w:cs="Arial" w:eastAsia="Arial" w:hAnsi="Arial"/>
          <w:sz w:val="18"/>
          <w:szCs w:val="18"/>
          <w:color w:val="auto"/>
        </w:rPr>
        <w:t>once the AGM has begun, no one will be admitted into the AGM.</w:t>
      </w:r>
    </w:p>
    <w:p>
      <w:pPr>
        <w:spacing w:after="0" w:line="99" w:lineRule="exact"/>
        <w:rPr>
          <w:sz w:val="20"/>
          <w:szCs w:val="20"/>
          <w:color w:val="auto"/>
        </w:rPr>
      </w:pPr>
    </w:p>
    <w:p>
      <w:pPr>
        <w:ind w:left="440" w:right="40"/>
        <w:spacing w:after="0" w:line="247" w:lineRule="auto"/>
        <w:rPr>
          <w:sz w:val="20"/>
          <w:szCs w:val="20"/>
          <w:color w:val="auto"/>
        </w:rPr>
      </w:pPr>
      <w:r>
        <w:rPr>
          <w:rFonts w:ascii="Arial" w:cs="Arial" w:eastAsia="Arial" w:hAnsi="Arial"/>
          <w:sz w:val="18"/>
          <w:szCs w:val="18"/>
          <w:color w:val="auto"/>
        </w:rPr>
        <w:t>In satisfaction of the requirements of Irish law, registered shareholders who wish to participate (attend and vote) in the AGM without leaving Ireland, if any, may (subject to COVID-19 public health measures published by the Government of Ireland) do so by attending in person at the offices of Matheson, located at 70 Sir John Rogerson’s Quay, Dublin 2, Ireland, at the meeting date and time described herein, where, subject to such public health measures, technological means will be made available to participate in the meeting.</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HOW TO VOTE</w:t>
      </w:r>
    </w:p>
    <w:p>
      <w:pPr>
        <w:spacing w:after="0" w:line="124" w:lineRule="exact"/>
        <w:rPr>
          <w:sz w:val="20"/>
          <w:szCs w:val="20"/>
          <w:color w:val="auto"/>
        </w:rPr>
      </w:pPr>
    </w:p>
    <w:p>
      <w:pPr>
        <w:ind w:left="440" w:right="20"/>
        <w:spacing w:after="0" w:line="252" w:lineRule="auto"/>
        <w:rPr>
          <w:sz w:val="20"/>
          <w:szCs w:val="20"/>
          <w:color w:val="auto"/>
        </w:rPr>
      </w:pPr>
      <w:r>
        <w:rPr>
          <w:rFonts w:ascii="Arial" w:cs="Arial" w:eastAsia="Arial" w:hAnsi="Arial"/>
          <w:sz w:val="18"/>
          <w:szCs w:val="18"/>
          <w:color w:val="auto"/>
        </w:rPr>
        <w:t>To ensure your representation at the AGM, we request that you grant your proxy to vote on each of the proposals in this Proxy Statement and any other matters that may properly come before the meeting to the persons named in the proxy card, by voting in one of the ways described on page i no later than the Voting Deadline (defined below) whether or not you plan to attend.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BA0C2F"/>
        </w:rPr>
        <w:t xml:space="preserve">Voting Deadline: </w:t>
      </w:r>
      <w:r>
        <w:rPr>
          <w:rFonts w:ascii="Arial" w:cs="Arial" w:eastAsia="Arial" w:hAnsi="Arial"/>
          <w:sz w:val="18"/>
          <w:szCs w:val="18"/>
          <w:color w:val="000000"/>
        </w:rPr>
        <w:t>11:59 p.m. (Eastern Time) on June 1, 2022.</w:t>
      </w:r>
    </w:p>
    <w:p>
      <w:pPr>
        <w:spacing w:after="0" w:line="117" w:lineRule="exact"/>
        <w:rPr>
          <w:sz w:val="20"/>
          <w:szCs w:val="20"/>
          <w:color w:val="auto"/>
        </w:rPr>
      </w:pPr>
    </w:p>
    <w:p>
      <w:pPr>
        <w:ind w:left="440" w:right="220"/>
        <w:spacing w:after="0" w:line="271" w:lineRule="auto"/>
        <w:rPr>
          <w:sz w:val="20"/>
          <w:szCs w:val="20"/>
          <w:color w:val="auto"/>
        </w:rPr>
      </w:pPr>
      <w:r>
        <w:rPr>
          <w:rFonts w:ascii="Arial" w:cs="Arial" w:eastAsia="Arial" w:hAnsi="Arial"/>
          <w:sz w:val="18"/>
          <w:szCs w:val="18"/>
          <w:color w:val="auto"/>
        </w:rPr>
        <w:t>Most of our individual beneficial owners hold their shares through a brokerage account and therefore are not listed on our share register.</w:t>
      </w:r>
    </w:p>
    <w:p>
      <w:pPr>
        <w:spacing w:after="0" w:line="59" w:lineRule="exact"/>
        <w:rPr>
          <w:sz w:val="20"/>
          <w:szCs w:val="20"/>
          <w:color w:val="auto"/>
        </w:rPr>
      </w:pPr>
    </w:p>
    <w:p>
      <w:pPr>
        <w:ind w:left="440" w:right="20"/>
        <w:spacing w:after="0" w:line="245" w:lineRule="auto"/>
        <w:rPr>
          <w:sz w:val="20"/>
          <w:szCs w:val="20"/>
          <w:color w:val="auto"/>
        </w:rPr>
      </w:pPr>
      <w:r>
        <w:rPr>
          <w:rFonts w:ascii="Arial" w:cs="Arial" w:eastAsia="Arial" w:hAnsi="Arial"/>
          <w:sz w:val="18"/>
          <w:szCs w:val="18"/>
          <w:color w:val="auto"/>
        </w:rPr>
        <w:t>Shareholders who hold their shares through a broker or other nominee (in “street name”) must vote their shares in the manner prescribed by their broker or other nominee. Shareholders who hold their shares in this manner and wish to vote in person at the meeting must obtain a valid proxy from the organization that holds their shares. This may be very difficult for an individual shareholder to do, so individual shareholders holding in street name are strongly encouraged to submit their proxy to their broker, who in turn will vote in accordance with the instructions provided to them. See “Quorum and Voting” as to the effect of broker non-votes.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QUORUM AND VOTING</w:t>
      </w:r>
    </w:p>
    <w:p>
      <w:pPr>
        <w:spacing w:after="0" w:line="124" w:lineRule="exact"/>
        <w:rPr>
          <w:sz w:val="20"/>
          <w:szCs w:val="20"/>
          <w:color w:val="auto"/>
        </w:rPr>
      </w:pPr>
    </w:p>
    <w:p>
      <w:pPr>
        <w:ind w:left="440"/>
        <w:spacing w:after="0" w:line="245" w:lineRule="auto"/>
        <w:rPr>
          <w:sz w:val="20"/>
          <w:szCs w:val="20"/>
          <w:color w:val="auto"/>
        </w:rPr>
      </w:pPr>
      <w:r>
        <w:rPr>
          <w:rFonts w:ascii="Arial" w:cs="Arial" w:eastAsia="Arial" w:hAnsi="Arial"/>
          <w:sz w:val="18"/>
          <w:szCs w:val="18"/>
          <w:color w:val="auto"/>
        </w:rPr>
        <w:t>A quorum at our AGM will be one or more registered shareholders, present in person or by proxy, having the right to attend and vote at the AGM and together holding shares representing more than 50% of the votes that may be cast by all registered shareholders at the meeting. As of the record date, there were approximately 70,493,949 ordinary shares issued and entitled to vote. For purposes of determining a quorum, abstentions and “broker non-votes” proffered in person or by proxy are counted as shares represented. A “broker non-vote” occurs when a nominee (such as a broker) holding shares for a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7" w:lineRule="exact"/>
        <w:rPr>
          <w:sz w:val="20"/>
          <w:szCs w:val="20"/>
          <w:color w:val="auto"/>
        </w:rPr>
      </w:pPr>
    </w:p>
    <w:p>
      <w:pPr>
        <w:ind w:left="640" w:hanging="202"/>
        <w:spacing w:after="0"/>
        <w:tabs>
          <w:tab w:leader="none" w:pos="640" w:val="left"/>
        </w:tabs>
        <w:numPr>
          <w:ilvl w:val="0"/>
          <w:numId w:val="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666666"/>
        </w:rPr>
        <w:t>PROXY STATEMENT</w:t>
      </w:r>
    </w:p>
    <w:p>
      <w:pPr>
        <w:spacing w:after="0" w:line="153" w:lineRule="exact"/>
        <w:rPr>
          <w:sz w:val="20"/>
          <w:szCs w:val="20"/>
          <w:color w:val="auto"/>
        </w:rPr>
      </w:pPr>
    </w:p>
    <w:p>
      <w:pPr>
        <w:ind w:left="440" w:right="80"/>
        <w:spacing w:after="0" w:line="287" w:lineRule="auto"/>
        <w:rPr>
          <w:sz w:val="20"/>
          <w:szCs w:val="20"/>
          <w:color w:val="auto"/>
        </w:rPr>
      </w:pPr>
      <w:r>
        <w:rPr>
          <w:rFonts w:ascii="Arial" w:cs="Arial" w:eastAsia="Arial" w:hAnsi="Arial"/>
          <w:sz w:val="18"/>
          <w:szCs w:val="18"/>
          <w:color w:val="auto"/>
        </w:rPr>
        <w:t>owner abstains from voting on a particular proposal because the nominee does not have discretionary voting power for that proposal and has not received instructions from the beneficial owner on how to vote those shares.</w:t>
      </w:r>
    </w:p>
    <w:p>
      <w:pPr>
        <w:spacing w:after="0" w:line="45"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If you are a beneficial shareholder and your broker or other nominee holds your shares in “street name”, the broker generally has discretion to vote your shares with respect to “routine” proposals. The “routine” proposal in this Proxy Statement is Agenda Item 2. All other proposals (i.e., Agenda Items 1, 3 and 4) are “non-routine” and your broker may not vote your shares. Accordingly, if you hold your shares in “street name,” your broker will not be able to vote your shares on these matters unless your broker receives voting instructions from you.</w:t>
      </w:r>
    </w:p>
    <w:p>
      <w:pPr>
        <w:spacing w:after="0" w:line="71"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Approval of proposals 1, 2 and 3 will be decided by an “ordinary resolution” ​(which, in order to pass, requires a simple majority of the votes cast in person or by proxy, to be cast “For” the relevant proposal). For proposal 4, the option receiving the most votes will be considered the advisory recommendation of the shareholders. Generally, abstentions and broker “non-votes” will not affect the voting results for any proposal under Irish law or Nasdaq rules.</w:t>
      </w:r>
    </w:p>
    <w:p>
      <w:pPr>
        <w:spacing w:after="0" w:line="68" w:lineRule="exact"/>
        <w:rPr>
          <w:sz w:val="20"/>
          <w:szCs w:val="20"/>
          <w:color w:val="auto"/>
        </w:rPr>
      </w:pPr>
    </w:p>
    <w:p>
      <w:pPr>
        <w:ind w:left="440" w:right="80"/>
        <w:spacing w:after="0" w:line="272" w:lineRule="auto"/>
        <w:rPr>
          <w:sz w:val="20"/>
          <w:szCs w:val="20"/>
          <w:color w:val="auto"/>
        </w:rPr>
      </w:pPr>
      <w:r>
        <w:rPr>
          <w:rFonts w:ascii="Arial" w:cs="Arial" w:eastAsia="Arial" w:hAnsi="Arial"/>
          <w:sz w:val="17"/>
          <w:szCs w:val="17"/>
          <w:color w:val="auto"/>
        </w:rPr>
        <w:t>The election of each director nominee will be considered and voted upon as a separate proposal. There is no cumulative voting in the election of directors. Pursuant to our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spacing w:after="0" w:line="64" w:lineRule="exact"/>
        <w:rPr>
          <w:sz w:val="20"/>
          <w:szCs w:val="20"/>
          <w:color w:val="auto"/>
        </w:rPr>
      </w:pPr>
    </w:p>
    <w:p>
      <w:pPr>
        <w:ind w:left="440" w:right="280"/>
        <w:spacing w:after="0" w:line="287" w:lineRule="auto"/>
        <w:rPr>
          <w:sz w:val="20"/>
          <w:szCs w:val="20"/>
          <w:color w:val="auto"/>
        </w:rPr>
      </w:pPr>
      <w:r>
        <w:rPr>
          <w:rFonts w:ascii="Arial" w:cs="Arial" w:eastAsia="Arial" w:hAnsi="Arial"/>
          <w:sz w:val="18"/>
          <w:szCs w:val="18"/>
          <w:color w:val="auto"/>
        </w:rPr>
        <w:t>The chart below summarizes the voting requirements and effects of broker non-votes and abstentions on the outcome of the vote for the proposals at the AGM.</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Voting</w:t>
            </w:r>
          </w:p>
        </w:tc>
        <w:tc>
          <w:tcPr>
            <w:tcW w:w="240" w:type="dxa"/>
            <w:vAlign w:val="bottom"/>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Broker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Required Approval</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Non-Votes</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4"/>
                <w:szCs w:val="14"/>
                <w:color w:val="BA0C2F"/>
              </w:rPr>
              <w:t>1.</w:t>
            </w:r>
          </w:p>
        </w:tc>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Election of Directors</w:t>
            </w:r>
          </w:p>
        </w:tc>
        <w:tc>
          <w:tcPr>
            <w:tcW w:w="760" w:type="dxa"/>
            <w:vAlign w:val="bottom"/>
          </w:tcPr>
          <w:p>
            <w:pPr>
              <w:ind w:left="580"/>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Majority of Votes Cast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60" w:type="dxa"/>
            <w:vAlign w:val="bottom"/>
            <w:vMerge w:val="continue"/>
          </w:tcPr>
          <w:p>
            <w:pPr>
              <w:spacing w:after="0"/>
              <w:rPr>
                <w:sz w:val="4"/>
                <w:szCs w:val="4"/>
                <w:color w:val="auto"/>
              </w:rPr>
            </w:pPr>
          </w:p>
        </w:tc>
        <w:tc>
          <w:tcPr>
            <w:tcW w:w="33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7F7F7F"/>
            </w:tcBorders>
          </w:tcPr>
          <w:p>
            <w:pPr>
              <w:spacing w:after="0"/>
              <w:rPr>
                <w:sz w:val="3"/>
                <w:szCs w:val="3"/>
                <w:color w:val="auto"/>
              </w:rPr>
            </w:pPr>
          </w:p>
        </w:tc>
        <w:tc>
          <w:tcPr>
            <w:tcW w:w="33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4"/>
                <w:szCs w:val="14"/>
                <w:color w:val="BA0C2F"/>
              </w:rPr>
              <w:t>2.</w:t>
            </w:r>
          </w:p>
        </w:tc>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Ratify Appointment of Independent Auditors</w:t>
            </w:r>
          </w:p>
        </w:tc>
        <w:tc>
          <w:tcPr>
            <w:tcW w:w="760" w:type="dxa"/>
            <w:vAlign w:val="bottom"/>
          </w:tcPr>
          <w:p>
            <w:pPr>
              <w:ind w:left="580"/>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Majority of Votes Cast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4"/>
              </w:rPr>
              <w:t>N/A</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60" w:type="dxa"/>
            <w:vAlign w:val="bottom"/>
            <w:vMerge w:val="continue"/>
          </w:tcPr>
          <w:p>
            <w:pPr>
              <w:spacing w:after="0"/>
              <w:rPr>
                <w:sz w:val="4"/>
                <w:szCs w:val="4"/>
                <w:color w:val="auto"/>
              </w:rPr>
            </w:pPr>
          </w:p>
        </w:tc>
        <w:tc>
          <w:tcPr>
            <w:tcW w:w="33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7F7F7F"/>
            </w:tcBorders>
          </w:tcPr>
          <w:p>
            <w:pPr>
              <w:spacing w:after="0"/>
              <w:rPr>
                <w:sz w:val="3"/>
                <w:szCs w:val="3"/>
                <w:color w:val="auto"/>
              </w:rPr>
            </w:pPr>
          </w:p>
        </w:tc>
        <w:tc>
          <w:tcPr>
            <w:tcW w:w="338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0" w:type="dxa"/>
            <w:vAlign w:val="bottom"/>
            <w:vMerge w:val="restart"/>
          </w:tcPr>
          <w:p>
            <w:pPr>
              <w:spacing w:after="0"/>
              <w:rPr>
                <w:sz w:val="20"/>
                <w:szCs w:val="20"/>
                <w:color w:val="auto"/>
              </w:rPr>
            </w:pPr>
            <w:r>
              <w:rPr>
                <w:rFonts w:ascii="Arial" w:cs="Arial" w:eastAsia="Arial" w:hAnsi="Arial"/>
                <w:sz w:val="14"/>
                <w:szCs w:val="14"/>
                <w:color w:val="BA0C2F"/>
              </w:rPr>
              <w:t>3.</w:t>
            </w:r>
          </w:p>
        </w:tc>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Approve Executive Compensation</w:t>
            </w:r>
          </w:p>
        </w:tc>
        <w:tc>
          <w:tcPr>
            <w:tcW w:w="760" w:type="dxa"/>
            <w:vAlign w:val="bottom"/>
          </w:tcPr>
          <w:p>
            <w:pPr>
              <w:ind w:left="580"/>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Majority of Votes Cast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60" w:type="dxa"/>
            <w:vAlign w:val="bottom"/>
            <w:vMerge w:val="continue"/>
          </w:tcPr>
          <w:p>
            <w:pPr>
              <w:spacing w:after="0"/>
              <w:rPr>
                <w:sz w:val="4"/>
                <w:szCs w:val="4"/>
                <w:color w:val="auto"/>
              </w:rPr>
            </w:pPr>
          </w:p>
        </w:tc>
        <w:tc>
          <w:tcPr>
            <w:tcW w:w="33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7F7F7F"/>
            </w:tcBorders>
          </w:tcPr>
          <w:p>
            <w:pPr>
              <w:spacing w:after="0"/>
              <w:rPr>
                <w:sz w:val="3"/>
                <w:szCs w:val="3"/>
                <w:color w:val="auto"/>
              </w:rPr>
            </w:pPr>
          </w:p>
        </w:tc>
        <w:tc>
          <w:tcPr>
            <w:tcW w:w="4140" w:type="dxa"/>
            <w:vAlign w:val="bottom"/>
            <w:tcBorders>
              <w:bottom w:val="single" w:sz="8" w:color="7F7F7F"/>
            </w:tcBorders>
            <w:gridSpan w:val="2"/>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20"/>
                <w:szCs w:val="20"/>
                <w:color w:val="auto"/>
              </w:rPr>
            </w:pPr>
            <w:r>
              <w:rPr>
                <w:rFonts w:ascii="Arial" w:cs="Arial" w:eastAsia="Arial" w:hAnsi="Arial"/>
                <w:sz w:val="14"/>
                <w:szCs w:val="14"/>
                <w:color w:val="BA0C2F"/>
              </w:rPr>
              <w:t>4.</w:t>
            </w:r>
          </w:p>
        </w:tc>
        <w:tc>
          <w:tcPr>
            <w:tcW w:w="4140" w:type="dxa"/>
            <w:vAlign w:val="bottom"/>
            <w:gridSpan w:val="2"/>
          </w:tcPr>
          <w:p>
            <w:pPr>
              <w:ind w:left="60"/>
              <w:spacing w:after="0" w:line="187" w:lineRule="exact"/>
              <w:rPr>
                <w:sz w:val="20"/>
                <w:szCs w:val="20"/>
                <w:color w:val="auto"/>
              </w:rPr>
            </w:pPr>
            <w:r>
              <w:rPr>
                <w:rFonts w:ascii="Arial" w:cs="Arial" w:eastAsia="Arial" w:hAnsi="Arial"/>
                <w:sz w:val="12"/>
                <w:szCs w:val="12"/>
                <w:color w:val="auto"/>
              </w:rPr>
              <w:t xml:space="preserve">Recommend Frequency of Vote on Executive Compensation </w:t>
            </w:r>
            <w:r>
              <w:rPr>
                <w:rFonts w:ascii="Arial" w:cs="Arial" w:eastAsia="Arial" w:hAnsi="Arial"/>
                <w:sz w:val="21"/>
                <w:szCs w:val="21"/>
                <w:color w:val="auto"/>
                <w:vertAlign w:val="superscript"/>
              </w:rPr>
              <w:t>​​</w:t>
            </w:r>
          </w:p>
        </w:tc>
        <w:tc>
          <w:tcPr>
            <w:tcW w:w="1660" w:type="dxa"/>
            <w:vAlign w:val="bottom"/>
          </w:tcPr>
          <w:p>
            <w:pPr>
              <w:ind w:left="140"/>
              <w:spacing w:after="0"/>
              <w:rPr>
                <w:sz w:val="20"/>
                <w:szCs w:val="20"/>
                <w:color w:val="auto"/>
              </w:rPr>
            </w:pPr>
            <w:r>
              <w:rPr>
                <w:rFonts w:ascii="Arial" w:cs="Arial" w:eastAsia="Arial" w:hAnsi="Arial"/>
                <w:sz w:val="14"/>
                <w:szCs w:val="14"/>
                <w:color w:val="auto"/>
              </w:rPr>
              <w:t>Option Receiving the</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Most Votes Cast</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60" w:type="dxa"/>
            <w:vAlign w:val="bottom"/>
            <w:tcBorders>
              <w:bottom w:val="single" w:sz="8" w:color="7F7F7F"/>
            </w:tcBorders>
          </w:tcPr>
          <w:p>
            <w:pPr>
              <w:spacing w:after="0"/>
              <w:rPr>
                <w:sz w:val="5"/>
                <w:szCs w:val="5"/>
                <w:color w:val="auto"/>
              </w:rPr>
            </w:pPr>
          </w:p>
        </w:tc>
        <w:tc>
          <w:tcPr>
            <w:tcW w:w="338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66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1020" w:type="dxa"/>
            <w:vAlign w:val="bottom"/>
            <w:tcBorders>
              <w:bottom w:val="single" w:sz="8" w:color="7F7F7F"/>
            </w:tcBorders>
          </w:tcPr>
          <w:p>
            <w:pPr>
              <w:spacing w:after="0"/>
              <w:rPr>
                <w:sz w:val="5"/>
                <w:szCs w:val="5"/>
                <w:color w:val="auto"/>
              </w:rPr>
            </w:pPr>
          </w:p>
        </w:tc>
        <w:tc>
          <w:tcPr>
            <w:tcW w:w="240" w:type="dxa"/>
            <w:vAlign w:val="bottom"/>
            <w:tcBorders>
              <w:bottom w:val="single" w:sz="8" w:color="7F7F7F"/>
            </w:tcBorders>
          </w:tcPr>
          <w:p>
            <w:pPr>
              <w:spacing w:after="0"/>
              <w:rPr>
                <w:sz w:val="5"/>
                <w:szCs w:val="5"/>
                <w:color w:val="auto"/>
              </w:rPr>
            </w:pPr>
          </w:p>
        </w:tc>
        <w:tc>
          <w:tcPr>
            <w:tcW w:w="920" w:type="dxa"/>
            <w:vAlign w:val="bottom"/>
            <w:tcBorders>
              <w:bottom w:val="single" w:sz="8" w:color="7F7F7F"/>
            </w:tcBorders>
          </w:tcPr>
          <w:p>
            <w:pPr>
              <w:spacing w:after="0"/>
              <w:rPr>
                <w:sz w:val="5"/>
                <w:szCs w:val="5"/>
                <w:color w:val="auto"/>
              </w:rPr>
            </w:pPr>
          </w:p>
        </w:tc>
        <w:tc>
          <w:tcPr>
            <w:tcW w:w="260" w:type="dxa"/>
            <w:vAlign w:val="bottom"/>
            <w:tcBorders>
              <w:bottom w:val="single" w:sz="8" w:color="7F7F7F"/>
            </w:tcBorders>
          </w:tcPr>
          <w:p>
            <w:pPr>
              <w:spacing w:after="0"/>
              <w:rPr>
                <w:sz w:val="5"/>
                <w:szCs w:val="5"/>
                <w:color w:val="auto"/>
              </w:rPr>
            </w:pPr>
          </w:p>
        </w:tc>
        <w:tc>
          <w:tcPr>
            <w:tcW w:w="9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PROXIES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either:</w:t>
      </w:r>
    </w:p>
    <w:p>
      <w:pPr>
        <w:spacing w:after="0" w:line="131" w:lineRule="exact"/>
        <w:rPr>
          <w:sz w:val="20"/>
          <w:szCs w:val="20"/>
          <w:color w:val="auto"/>
        </w:rPr>
      </w:pPr>
    </w:p>
    <w:p>
      <w:pPr>
        <w:ind w:left="1020" w:right="20" w:hanging="366"/>
        <w:spacing w:after="0" w:line="291" w:lineRule="auto"/>
        <w:tabs>
          <w:tab w:leader="none" w:pos="1020" w:val="left"/>
        </w:tabs>
        <w:numPr>
          <w:ilvl w:val="0"/>
          <w:numId w:val="8"/>
        </w:numPr>
        <w:rPr>
          <w:rFonts w:ascii="Arial" w:cs="Arial" w:eastAsia="Arial" w:hAnsi="Arial"/>
          <w:sz w:val="17"/>
          <w:szCs w:val="17"/>
          <w:color w:val="BA0C2F"/>
        </w:rPr>
      </w:pPr>
      <w:r>
        <w:rPr>
          <w:rFonts w:ascii="Arial" w:cs="Arial" w:eastAsia="Arial" w:hAnsi="Arial"/>
          <w:sz w:val="17"/>
          <w:szCs w:val="17"/>
          <w:color w:val="auto"/>
        </w:rPr>
        <w:t>a Notice of Internet Availability of Proxy Materials (“Notice of Internet Availability”) notifying each shareholder entitled to vote at the AGM how to vote and how to electronically access a copy of this Proxy Statement, our Annual Report on Form 10-K and our Irish Statutory Accounts for the year ended December 31, 2021 (the “Proxy Materials”), or</w:t>
      </w:r>
    </w:p>
    <w:p>
      <w:pPr>
        <w:spacing w:after="0" w:line="44" w:lineRule="exact"/>
        <w:rPr>
          <w:rFonts w:ascii="Arial" w:cs="Arial" w:eastAsia="Arial" w:hAnsi="Arial"/>
          <w:sz w:val="17"/>
          <w:szCs w:val="17"/>
          <w:color w:val="BA0C2F"/>
        </w:rPr>
      </w:pPr>
    </w:p>
    <w:p>
      <w:pPr>
        <w:ind w:left="1020" w:hanging="366"/>
        <w:spacing w:after="0"/>
        <w:tabs>
          <w:tab w:leader="none" w:pos="1020" w:val="left"/>
        </w:tabs>
        <w:numPr>
          <w:ilvl w:val="0"/>
          <w:numId w:val="8"/>
        </w:numPr>
        <w:rPr>
          <w:rFonts w:ascii="Arial" w:cs="Arial" w:eastAsia="Arial" w:hAnsi="Arial"/>
          <w:sz w:val="18"/>
          <w:szCs w:val="18"/>
          <w:color w:val="BA0C2F"/>
        </w:rPr>
      </w:pPr>
      <w:r>
        <w:rPr>
          <w:rFonts w:ascii="Arial" w:cs="Arial" w:eastAsia="Arial" w:hAnsi="Arial"/>
          <w:sz w:val="18"/>
          <w:szCs w:val="18"/>
          <w:color w:val="auto"/>
        </w:rPr>
        <w:t>the Proxy Materials and proxy card</w:t>
      </w:r>
    </w:p>
    <w:p>
      <w:pPr>
        <w:spacing w:after="0" w:line="117" w:lineRule="exact"/>
        <w:rPr>
          <w:sz w:val="20"/>
          <w:szCs w:val="20"/>
          <w:color w:val="auto"/>
        </w:rPr>
      </w:pPr>
    </w:p>
    <w:p>
      <w:pPr>
        <w:ind w:left="440" w:right="80"/>
        <w:spacing w:after="0" w:line="262" w:lineRule="auto"/>
        <w:rPr>
          <w:sz w:val="20"/>
          <w:szCs w:val="20"/>
          <w:color w:val="auto"/>
        </w:rPr>
      </w:pPr>
      <w:r>
        <w:rPr>
          <w:rFonts w:ascii="Arial" w:cs="Arial" w:eastAsia="Arial" w:hAnsi="Arial"/>
          <w:sz w:val="18"/>
          <w:szCs w:val="18"/>
          <w:color w:val="auto"/>
        </w:rPr>
        <w:t>is being sent to each shareholder registered in our share register as of the Record Date. Shareholders not registered in our share register as of the Record Date, will not be entitled to attend, vote or grant proxies to vote at the AGM. Your vote and proxy are being solicited by our Board in favor of Girishchandra K. Saligram, Scott C. Weatherholt and Christine M. Morrison (the “Proxy Holders”), for use at the AGM.</w:t>
      </w:r>
    </w:p>
    <w:p>
      <w:pPr>
        <w:spacing w:after="0" w:line="68" w:lineRule="exact"/>
        <w:rPr>
          <w:sz w:val="20"/>
          <w:szCs w:val="20"/>
          <w:color w:val="auto"/>
        </w:rPr>
      </w:pPr>
    </w:p>
    <w:p>
      <w:pPr>
        <w:ind w:left="440" w:right="20"/>
        <w:spacing w:after="0" w:line="291" w:lineRule="auto"/>
        <w:rPr>
          <w:sz w:val="20"/>
          <w:szCs w:val="20"/>
          <w:color w:val="auto"/>
        </w:rPr>
      </w:pPr>
      <w:r>
        <w:rPr>
          <w:rFonts w:ascii="Arial" w:cs="Arial" w:eastAsia="Arial" w:hAnsi="Arial"/>
          <w:sz w:val="17"/>
          <w:szCs w:val="17"/>
          <w:color w:val="auto"/>
        </w:rPr>
        <w:t>We request that you grant your proxy to vote on each of the proposals in the notice and any other matters that may properly come before the AGM to the Proxy Holders by completing, signing, dating and returning the proxy card in accordance with the instructions thereon, for receipt by us no later than the Voting Deadline, whether or not you plan to attend.</w:t>
      </w:r>
    </w:p>
    <w:p>
      <w:pPr>
        <w:spacing w:after="0" w:line="45"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recommends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127635</wp:posOffset>
            </wp:positionV>
            <wp:extent cx="623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PROXY STATEMENT</w:t>
      </w:r>
    </w:p>
    <w:p>
      <w:pPr>
        <w:spacing w:after="0" w:line="153" w:lineRule="exact"/>
        <w:rPr>
          <w:sz w:val="20"/>
          <w:szCs w:val="20"/>
          <w:color w:val="auto"/>
        </w:rPr>
      </w:pPr>
    </w:p>
    <w:p>
      <w:pPr>
        <w:ind w:left="440" w:right="200"/>
        <w:spacing w:after="0" w:line="287" w:lineRule="auto"/>
        <w:rPr>
          <w:sz w:val="20"/>
          <w:szCs w:val="20"/>
          <w:color w:val="auto"/>
        </w:rPr>
      </w:pPr>
      <w:r>
        <w:rPr>
          <w:rFonts w:ascii="Arial" w:cs="Arial" w:eastAsia="Arial" w:hAnsi="Arial"/>
          <w:sz w:val="18"/>
          <w:szCs w:val="18"/>
          <w:color w:val="auto"/>
        </w:rPr>
        <w:t>and if other matters properly come before the AGM the Proxy Holders will have your authority to vote your shares in their discretion on such matters.</w:t>
      </w:r>
    </w:p>
    <w:p>
      <w:pPr>
        <w:spacing w:after="0" w:line="45" w:lineRule="exact"/>
        <w:rPr>
          <w:sz w:val="20"/>
          <w:szCs w:val="20"/>
          <w:color w:val="auto"/>
        </w:rPr>
      </w:pPr>
    </w:p>
    <w:p>
      <w:pPr>
        <w:ind w:left="440" w:right="720"/>
        <w:spacing w:after="0" w:line="287" w:lineRule="auto"/>
        <w:rPr>
          <w:sz w:val="20"/>
          <w:szCs w:val="20"/>
          <w:color w:val="auto"/>
        </w:rPr>
      </w:pPr>
      <w:r>
        <w:rPr>
          <w:rFonts w:ascii="Arial" w:cs="Arial" w:eastAsia="Arial" w:hAnsi="Arial"/>
          <w:sz w:val="18"/>
          <w:szCs w:val="18"/>
          <w:color w:val="auto"/>
        </w:rPr>
        <w:t>If you are not a registered holder, but you hold your shares through a broker or other nominee, you must follow the instructions provided by your broker or other nominee if you wish to grant your proxy and vote your shares.</w:t>
      </w:r>
    </w:p>
    <w:p>
      <w:pPr>
        <w:spacing w:after="0" w:line="45" w:lineRule="exact"/>
        <w:rPr>
          <w:sz w:val="20"/>
          <w:szCs w:val="20"/>
          <w:color w:val="auto"/>
        </w:rPr>
      </w:pPr>
    </w:p>
    <w:p>
      <w:pPr>
        <w:ind w:left="440" w:right="40"/>
        <w:spacing w:after="0" w:line="287" w:lineRule="auto"/>
        <w:rPr>
          <w:sz w:val="20"/>
          <w:szCs w:val="20"/>
          <w:color w:val="auto"/>
        </w:rPr>
      </w:pPr>
      <w:r>
        <w:rPr>
          <w:rFonts w:ascii="Arial" w:cs="Arial" w:eastAsia="Arial" w:hAnsi="Arial"/>
          <w:sz w:val="18"/>
          <w:szCs w:val="18"/>
          <w:color w:val="auto"/>
        </w:rPr>
        <w:t>We may accept a proxy by any form of communication permitted by Irish law and as the Board may approve in accordance with our Articles.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REVOKING YOUR PROXY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are a registered shareholder, you may revoke your proxy by:</w:t>
      </w:r>
    </w:p>
    <w:p>
      <w:pPr>
        <w:spacing w:after="0" w:line="117" w:lineRule="exact"/>
        <w:rPr>
          <w:sz w:val="20"/>
          <w:szCs w:val="20"/>
          <w:color w:val="auto"/>
        </w:rPr>
      </w:pPr>
    </w:p>
    <w:p>
      <w:pPr>
        <w:ind w:left="880" w:right="180" w:hanging="226"/>
        <w:spacing w:after="0" w:line="257" w:lineRule="auto"/>
        <w:tabs>
          <w:tab w:leader="none" w:pos="880" w:val="left"/>
        </w:tabs>
        <w:numPr>
          <w:ilvl w:val="0"/>
          <w:numId w:val="9"/>
        </w:numPr>
        <w:rPr>
          <w:rFonts w:ascii="Arial" w:cs="Arial" w:eastAsia="Arial" w:hAnsi="Arial"/>
          <w:sz w:val="18"/>
          <w:szCs w:val="18"/>
          <w:color w:val="BA0C2F"/>
        </w:rPr>
      </w:pPr>
      <w:r>
        <w:rPr>
          <w:rFonts w:ascii="Arial" w:cs="Arial" w:eastAsia="Arial" w:hAnsi="Arial"/>
          <w:sz w:val="18"/>
          <w:szCs w:val="18"/>
          <w:color w:val="auto"/>
        </w:rPr>
        <w:t>writing to the Corporate Secretary at 2000 St. James Place, Houston, Texas 77056 or at the Company’s registered office, 70 Sir John Rogerson’s Quay, Dublin 2, Ireland, such that the revocation is received at least one hour prior to the commencement of the AGM;</w:t>
      </w:r>
    </w:p>
    <w:p>
      <w:pPr>
        <w:spacing w:after="0" w:line="1" w:lineRule="exact"/>
        <w:rPr>
          <w:rFonts w:ascii="Arial" w:cs="Arial" w:eastAsia="Arial" w:hAnsi="Arial"/>
          <w:sz w:val="18"/>
          <w:szCs w:val="18"/>
          <w:color w:val="BA0C2F"/>
        </w:rPr>
      </w:pPr>
    </w:p>
    <w:p>
      <w:pPr>
        <w:ind w:left="880" w:right="120" w:hanging="226"/>
        <w:spacing w:after="0" w:line="250" w:lineRule="auto"/>
        <w:tabs>
          <w:tab w:leader="none" w:pos="880" w:val="left"/>
        </w:tabs>
        <w:numPr>
          <w:ilvl w:val="0"/>
          <w:numId w:val="9"/>
        </w:numPr>
        <w:rPr>
          <w:rFonts w:ascii="Arial" w:cs="Arial" w:eastAsia="Arial" w:hAnsi="Arial"/>
          <w:sz w:val="18"/>
          <w:szCs w:val="18"/>
          <w:color w:val="BA0C2F"/>
        </w:rPr>
      </w:pPr>
      <w:r>
        <w:rPr>
          <w:rFonts w:ascii="Arial" w:cs="Arial" w:eastAsia="Arial" w:hAnsi="Arial"/>
          <w:sz w:val="18"/>
          <w:szCs w:val="18"/>
          <w:color w:val="auto"/>
        </w:rPr>
        <w:t>submitting a later-dated proxy via mail, to the address specified in the Proxy Materials, for receipt by us no later than the Voting Deadline;</w:t>
      </w:r>
    </w:p>
    <w:p>
      <w:pPr>
        <w:ind w:left="880" w:hanging="226"/>
        <w:spacing w:after="0"/>
        <w:tabs>
          <w:tab w:leader="none" w:pos="880" w:val="left"/>
        </w:tabs>
        <w:numPr>
          <w:ilvl w:val="0"/>
          <w:numId w:val="9"/>
        </w:numPr>
        <w:rPr>
          <w:rFonts w:ascii="Arial" w:cs="Arial" w:eastAsia="Arial" w:hAnsi="Arial"/>
          <w:sz w:val="18"/>
          <w:szCs w:val="18"/>
          <w:color w:val="BA0C2F"/>
        </w:rPr>
      </w:pPr>
      <w:r>
        <w:rPr>
          <w:rFonts w:ascii="Arial" w:cs="Arial" w:eastAsia="Arial" w:hAnsi="Arial"/>
          <w:sz w:val="18"/>
          <w:szCs w:val="18"/>
          <w:color w:val="auto"/>
        </w:rPr>
        <w:t>voting at a later time, but prior to the voting deadline, by telephone or the internet; or</w:t>
      </w:r>
    </w:p>
    <w:p>
      <w:pPr>
        <w:spacing w:after="0" w:line="9" w:lineRule="exact"/>
        <w:rPr>
          <w:rFonts w:ascii="Arial" w:cs="Arial" w:eastAsia="Arial" w:hAnsi="Arial"/>
          <w:sz w:val="18"/>
          <w:szCs w:val="18"/>
          <w:color w:val="BA0C2F"/>
        </w:rPr>
      </w:pPr>
    </w:p>
    <w:p>
      <w:pPr>
        <w:ind w:left="880" w:right="260" w:hanging="226"/>
        <w:spacing w:after="0" w:line="266" w:lineRule="auto"/>
        <w:tabs>
          <w:tab w:leader="none" w:pos="880" w:val="left"/>
        </w:tabs>
        <w:numPr>
          <w:ilvl w:val="0"/>
          <w:numId w:val="9"/>
        </w:numPr>
        <w:rPr>
          <w:rFonts w:ascii="Arial" w:cs="Arial" w:eastAsia="Arial" w:hAnsi="Arial"/>
          <w:sz w:val="18"/>
          <w:szCs w:val="18"/>
          <w:color w:val="BA0C2F"/>
        </w:rPr>
      </w:pPr>
      <w:r>
        <w:rPr>
          <w:rFonts w:ascii="Arial" w:cs="Arial" w:eastAsia="Arial" w:hAnsi="Arial"/>
          <w:sz w:val="18"/>
          <w:szCs w:val="18"/>
          <w:color w:val="auto"/>
        </w:rPr>
        <w:t>attending the AGM in person (either in Houston or in Ireland, as described above) and casting your vote during the AGM.</w:t>
      </w:r>
    </w:p>
    <w:p>
      <w:pPr>
        <w:spacing w:after="0" w:line="63" w:lineRule="exact"/>
        <w:rPr>
          <w:sz w:val="20"/>
          <w:szCs w:val="20"/>
          <w:color w:val="auto"/>
        </w:rPr>
      </w:pPr>
    </w:p>
    <w:p>
      <w:pPr>
        <w:ind w:left="440" w:right="100"/>
        <w:spacing w:after="0" w:line="268" w:lineRule="auto"/>
        <w:rPr>
          <w:sz w:val="20"/>
          <w:szCs w:val="20"/>
          <w:color w:val="auto"/>
        </w:rPr>
      </w:pPr>
      <w:r>
        <w:rPr>
          <w:rFonts w:ascii="Arial" w:cs="Arial" w:eastAsia="Arial" w:hAnsi="Arial"/>
          <w:sz w:val="18"/>
          <w:szCs w:val="18"/>
          <w:color w:val="auto"/>
        </w:rPr>
        <w:t>If you are not a registered holder, but you hold your shares through a broker or other nominee, you must follow the instructions provided by your broker or other nominee if you wish to revoke a previously granted proxy, since attending the AGM alone will not revoke any proxy.</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MULTIPLE PROXY CARDS</w:t>
      </w:r>
    </w:p>
    <w:p>
      <w:pPr>
        <w:spacing w:after="0" w:line="124" w:lineRule="exact"/>
        <w:rPr>
          <w:sz w:val="20"/>
          <w:szCs w:val="20"/>
          <w:color w:val="auto"/>
        </w:rPr>
      </w:pPr>
    </w:p>
    <w:p>
      <w:pPr>
        <w:ind w:left="440" w:right="480"/>
        <w:spacing w:after="0" w:line="268" w:lineRule="auto"/>
        <w:rPr>
          <w:sz w:val="20"/>
          <w:szCs w:val="20"/>
          <w:color w:val="auto"/>
        </w:rPr>
      </w:pPr>
      <w:r>
        <w:rPr>
          <w:rFonts w:ascii="Arial" w:cs="Arial" w:eastAsia="Arial" w:hAnsi="Arial"/>
          <w:sz w:val="18"/>
          <w:szCs w:val="18"/>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COST OF PROXY SOLICITATION</w:t>
      </w:r>
    </w:p>
    <w:p>
      <w:pPr>
        <w:spacing w:after="0" w:line="124" w:lineRule="exact"/>
        <w:rPr>
          <w:sz w:val="20"/>
          <w:szCs w:val="20"/>
          <w:color w:val="auto"/>
        </w:rPr>
      </w:pPr>
    </w:p>
    <w:p>
      <w:pPr>
        <w:ind w:left="440"/>
        <w:spacing w:after="0" w:line="262" w:lineRule="auto"/>
        <w:rPr>
          <w:sz w:val="20"/>
          <w:szCs w:val="20"/>
          <w:color w:val="auto"/>
        </w:rPr>
      </w:pPr>
      <w:r>
        <w:rPr>
          <w:rFonts w:ascii="Arial" w:cs="Arial" w:eastAsia="Arial" w:hAnsi="Arial"/>
          <w:sz w:val="18"/>
          <w:szCs w:val="18"/>
          <w:color w:val="auto"/>
        </w:rPr>
        <w:t>We have not retained a proxy solicitor to assist soliciting proxies from shareholders this year.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ADJOURNMENT</w:t>
      </w:r>
    </w:p>
    <w:p>
      <w:pPr>
        <w:spacing w:after="0" w:line="124" w:lineRule="exact"/>
        <w:rPr>
          <w:sz w:val="20"/>
          <w:szCs w:val="20"/>
          <w:color w:val="auto"/>
        </w:rPr>
      </w:pPr>
    </w:p>
    <w:p>
      <w:pPr>
        <w:ind w:left="440" w:right="280"/>
        <w:spacing w:after="0" w:line="287" w:lineRule="auto"/>
        <w:rPr>
          <w:sz w:val="20"/>
          <w:szCs w:val="20"/>
          <w:color w:val="auto"/>
        </w:rPr>
      </w:pPr>
      <w:r>
        <w:rPr>
          <w:rFonts w:ascii="Arial" w:cs="Arial" w:eastAsia="Arial" w:hAnsi="Arial"/>
          <w:sz w:val="18"/>
          <w:szCs w:val="18"/>
          <w:color w:val="auto"/>
        </w:rPr>
        <w:t>The Chairperson may, with the consent of the meeting, adjourn all, or part, of the business to be considered at the AGM (including adjourning some or all of the Agenda Items) to another date or until the meeting is reconvened.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QUESTIONS</w:t>
      </w:r>
    </w:p>
    <w:p>
      <w:pPr>
        <w:spacing w:after="0" w:line="124" w:lineRule="exact"/>
        <w:rPr>
          <w:sz w:val="20"/>
          <w:szCs w:val="20"/>
          <w:color w:val="auto"/>
        </w:rPr>
      </w:pPr>
    </w:p>
    <w:p>
      <w:pPr>
        <w:ind w:left="440" w:right="40"/>
        <w:spacing w:after="0" w:line="268" w:lineRule="auto"/>
        <w:rPr>
          <w:sz w:val="20"/>
          <w:szCs w:val="20"/>
          <w:color w:val="auto"/>
        </w:rPr>
      </w:pPr>
      <w:r>
        <w:rPr>
          <w:rFonts w:ascii="Arial" w:cs="Arial" w:eastAsia="Arial" w:hAnsi="Arial"/>
          <w:sz w:val="18"/>
          <w:szCs w:val="18"/>
          <w:color w:val="auto"/>
        </w:rPr>
        <w:t>You may call our U.S. Investor Relations Department at +1 (713) 836-4000, or email us at investor.relations@weatherford.com if you have any questions or need directions to be able to attend the meeting and vote in person.</w:t>
      </w:r>
    </w:p>
    <w:p>
      <w:pPr>
        <w:spacing w:after="0" w:line="44" w:lineRule="exact"/>
        <w:rPr>
          <w:sz w:val="20"/>
          <w:szCs w:val="20"/>
          <w:color w:val="auto"/>
        </w:rPr>
      </w:pPr>
    </w:p>
    <w:p>
      <w:pPr>
        <w:jc w:val="center"/>
        <w:ind w:right="-319"/>
        <w:spacing w:after="0"/>
        <w:rPr>
          <w:sz w:val="20"/>
          <w:szCs w:val="20"/>
          <w:color w:val="auto"/>
        </w:rPr>
      </w:pPr>
      <w:r>
        <w:rPr>
          <w:rFonts w:ascii="Arial" w:cs="Arial" w:eastAsia="Arial" w:hAnsi="Arial"/>
          <w:sz w:val="65"/>
          <w:szCs w:val="65"/>
          <w:b w:val="1"/>
          <w:bCs w:val="1"/>
          <w:color w:val="BA0C2F"/>
        </w:rPr>
        <w:t>PLEASE VOTE.</w:t>
      </w:r>
    </w:p>
    <w:p>
      <w:pPr>
        <w:jc w:val="center"/>
        <w:ind w:right="-499"/>
        <w:spacing w:after="0"/>
        <w:rPr>
          <w:sz w:val="20"/>
          <w:szCs w:val="20"/>
          <w:color w:val="auto"/>
        </w:rPr>
      </w:pPr>
      <w:r>
        <w:rPr>
          <w:rFonts w:ascii="Arial" w:cs="Arial" w:eastAsia="Arial" w:hAnsi="Arial"/>
          <w:sz w:val="65"/>
          <w:szCs w:val="65"/>
          <w:b w:val="1"/>
          <w:bCs w:val="1"/>
          <w:color w:val="BA0C2F"/>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112395</wp:posOffset>
            </wp:positionV>
            <wp:extent cx="6231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88" w:lineRule="exact"/>
        <w:rPr>
          <w:sz w:val="20"/>
          <w:szCs w:val="20"/>
          <w:color w:val="auto"/>
        </w:rPr>
      </w:pPr>
    </w:p>
    <w:p>
      <w:pPr>
        <w:ind w:left="640" w:hanging="202"/>
        <w:spacing w:after="0"/>
        <w:tabs>
          <w:tab w:leader="none" w:pos="640" w:val="left"/>
        </w:tabs>
        <w:numPr>
          <w:ilvl w:val="0"/>
          <w:numId w:val="1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80"/>
          </w:cols>
          <w:pgMar w:left="580" w:top="97" w:right="113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right="860"/>
        <w:spacing w:after="0" w:line="249" w:lineRule="auto"/>
        <w:rPr>
          <w:sz w:val="20"/>
          <w:szCs w:val="20"/>
          <w:color w:val="auto"/>
        </w:rPr>
      </w:pPr>
      <w:r>
        <w:rPr>
          <w:rFonts w:ascii="Arial" w:cs="Arial" w:eastAsia="Arial" w:hAnsi="Arial"/>
          <w:sz w:val="65"/>
          <w:szCs w:val="65"/>
          <w:b w:val="1"/>
          <w:bCs w:val="1"/>
          <w:color w:val="BA0C2F"/>
        </w:rPr>
        <w:t>AGENDA ITEM 1 – ELECTION OF DIRECTORS</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BA0C2F"/>
        </w:rPr>
        <w:t>“FOR”</w:t>
      </w:r>
      <w:r>
        <w:rPr>
          <w:rFonts w:ascii="Arial" w:cs="Arial" w:eastAsia="Arial" w:hAnsi="Arial"/>
          <w:sz w:val="22"/>
          <w:szCs w:val="22"/>
          <w:b w:val="1"/>
          <w:bCs w:val="1"/>
          <w:color w:val="auto"/>
        </w:rPr>
        <w:t xml:space="preserve"> each nominee for director.</w:t>
      </w:r>
    </w:p>
    <w:p>
      <w:pPr>
        <w:spacing w:after="0" w:line="99" w:lineRule="exact"/>
        <w:rPr>
          <w:sz w:val="20"/>
          <w:szCs w:val="20"/>
          <w:color w:val="auto"/>
        </w:rPr>
      </w:pPr>
    </w:p>
    <w:p>
      <w:pPr>
        <w:ind w:left="440" w:right="620"/>
        <w:spacing w:after="0" w:line="268" w:lineRule="auto"/>
        <w:rPr>
          <w:sz w:val="20"/>
          <w:szCs w:val="20"/>
          <w:color w:val="auto"/>
        </w:rPr>
      </w:pPr>
      <w:r>
        <w:rPr>
          <w:rFonts w:ascii="Arial" w:cs="Arial" w:eastAsia="Arial" w:hAnsi="Arial"/>
          <w:sz w:val="18"/>
          <w:szCs w:val="18"/>
          <w:color w:val="auto"/>
        </w:rPr>
        <w:t>Upon the recommendation of the Nominating and Governance Committee, the Company’s Board of Directors has nominated the following five nominees to be elected at the AGM: Charles M. Sledge, Benjamin C. Duster, IV, Neal P. Goldman, Jacqueline C. Mutschler and Girishchandra K. Saligram.</w:t>
      </w:r>
    </w:p>
    <w:p>
      <w:pPr>
        <w:spacing w:after="0" w:line="63" w:lineRule="exact"/>
        <w:rPr>
          <w:sz w:val="20"/>
          <w:szCs w:val="20"/>
          <w:color w:val="auto"/>
        </w:rPr>
      </w:pPr>
    </w:p>
    <w:p>
      <w:pPr>
        <w:ind w:left="440" w:right="160"/>
        <w:spacing w:after="0" w:line="287" w:lineRule="auto"/>
        <w:rPr>
          <w:sz w:val="20"/>
          <w:szCs w:val="20"/>
          <w:color w:val="auto"/>
        </w:rPr>
      </w:pPr>
      <w:r>
        <w:rPr>
          <w:rFonts w:ascii="Arial" w:cs="Arial" w:eastAsia="Arial" w:hAnsi="Arial"/>
          <w:sz w:val="18"/>
          <w:szCs w:val="18"/>
          <w:color w:val="auto"/>
        </w:rPr>
        <w:t>All of the non-employee nominees for director, i.e., all of the nominees other than Mr. Saligram, are independent under the listing standards and rules of Nasdaq.</w:t>
      </w:r>
    </w:p>
    <w:p>
      <w:pPr>
        <w:spacing w:after="0" w:line="45" w:lineRule="exact"/>
        <w:rPr>
          <w:sz w:val="20"/>
          <w:szCs w:val="20"/>
          <w:color w:val="auto"/>
        </w:rPr>
      </w:pPr>
    </w:p>
    <w:p>
      <w:pPr>
        <w:ind w:left="440" w:right="200"/>
        <w:spacing w:after="0" w:line="287" w:lineRule="auto"/>
        <w:rPr>
          <w:sz w:val="20"/>
          <w:szCs w:val="20"/>
          <w:color w:val="auto"/>
        </w:rPr>
      </w:pPr>
      <w:r>
        <w:rPr>
          <w:rFonts w:ascii="Arial" w:cs="Arial" w:eastAsia="Arial" w:hAnsi="Arial"/>
          <w:sz w:val="18"/>
          <w:szCs w:val="18"/>
          <w:color w:val="auto"/>
        </w:rPr>
        <w:t>Each director is an existing director who, in accordance with the Articles, shall retire from their position as a director at the AGM and is eligible for re-election.</w:t>
      </w:r>
    </w:p>
    <w:p>
      <w:pPr>
        <w:spacing w:after="0" w:line="45" w:lineRule="exact"/>
        <w:rPr>
          <w:sz w:val="20"/>
          <w:szCs w:val="20"/>
          <w:color w:val="auto"/>
        </w:rPr>
      </w:pPr>
    </w:p>
    <w:p>
      <w:pPr>
        <w:jc w:val="both"/>
        <w:ind w:left="440" w:right="20"/>
        <w:spacing w:after="0" w:line="262" w:lineRule="auto"/>
        <w:rPr>
          <w:sz w:val="20"/>
          <w:szCs w:val="20"/>
          <w:color w:val="auto"/>
        </w:rPr>
      </w:pPr>
      <w:r>
        <w:rPr>
          <w:rFonts w:ascii="Arial" w:cs="Arial" w:eastAsia="Arial" w:hAnsi="Arial"/>
          <w:sz w:val="18"/>
          <w:szCs w:val="18"/>
          <w:color w:val="auto"/>
        </w:rPr>
        <w:t>Each director elected will serve (unless his or her office is earlier vacated in accordance with the Articles), to serve for a one year term concluding at the later of (x) the 2023 AGM and (y) subject to article 155 of the Articles, until his or her successor is elected and qualified. All of our nominees have consented to serve as directors. Our Board has no reason to believe that any of the nominees will be unable to act as a director.</w:t>
      </w:r>
    </w:p>
    <w:p>
      <w:pPr>
        <w:spacing w:after="0" w:line="68" w:lineRule="exact"/>
        <w:rPr>
          <w:sz w:val="20"/>
          <w:szCs w:val="20"/>
          <w:color w:val="auto"/>
        </w:rPr>
      </w:pPr>
    </w:p>
    <w:p>
      <w:pPr>
        <w:ind w:left="440" w:right="200"/>
        <w:spacing w:after="0" w:line="262" w:lineRule="auto"/>
        <w:rPr>
          <w:sz w:val="20"/>
          <w:szCs w:val="20"/>
          <w:color w:val="auto"/>
        </w:rPr>
      </w:pPr>
      <w:r>
        <w:rPr>
          <w:rFonts w:ascii="Arial" w:cs="Arial" w:eastAsia="Arial" w:hAnsi="Arial"/>
          <w:sz w:val="18"/>
          <w:szCs w:val="18"/>
          <w:color w:val="auto"/>
        </w:rPr>
        <w:t>The vote will be held by a separate resolution for each director nominee. A director nominee will be re-elected if approved by an ordinary resolution (i.e.</w:t>
      </w:r>
      <w:r>
        <w:rPr>
          <w:rFonts w:ascii="Arial" w:cs="Arial" w:eastAsia="Arial" w:hAnsi="Arial"/>
          <w:sz w:val="18"/>
          <w:szCs w:val="18"/>
          <w:i w:val="1"/>
          <w:iCs w:val="1"/>
          <w:color w:val="auto"/>
        </w:rPr>
        <w:t>,</w:t>
      </w:r>
      <w:r>
        <w:rPr>
          <w:rFonts w:ascii="Arial" w:cs="Arial" w:eastAsia="Arial" w:hAnsi="Arial"/>
          <w:sz w:val="18"/>
          <w:szCs w:val="18"/>
          <w:color w:val="auto"/>
        </w:rPr>
        <w:t xml:space="preserve"> a simple majority of the votes cast being cast “For” the re-election of the nominee). If you properly submit a proxy card but do not indicate how you wish to vote, the Proxy Holders will vote for all of the listed nominees for director.</w:t>
      </w:r>
    </w:p>
    <w:p>
      <w:pPr>
        <w:spacing w:after="0" w:line="98" w:lineRule="exact"/>
        <w:rPr>
          <w:sz w:val="20"/>
          <w:szCs w:val="20"/>
          <w:color w:val="auto"/>
        </w:rPr>
      </w:pPr>
    </w:p>
    <w:p>
      <w:pPr>
        <w:ind w:left="440" w:right="1340"/>
        <w:spacing w:after="0" w:line="261" w:lineRule="auto"/>
        <w:rPr>
          <w:sz w:val="20"/>
          <w:szCs w:val="20"/>
          <w:color w:val="auto"/>
        </w:rPr>
      </w:pPr>
      <w:r>
        <w:rPr>
          <w:rFonts w:ascii="Arial" w:cs="Arial" w:eastAsia="Arial" w:hAnsi="Arial"/>
          <w:sz w:val="43"/>
          <w:szCs w:val="43"/>
          <w:b w:val="1"/>
          <w:bCs w:val="1"/>
          <w:color w:val="7F7F7F"/>
        </w:rPr>
        <w:t>DIRECTORS’ DIVERSITY OF SKILLS AND EXPERTISE</w:t>
      </w:r>
    </w:p>
    <w:p>
      <w:pPr>
        <w:spacing w:after="0" w:line="2" w:lineRule="exact"/>
        <w:rPr>
          <w:sz w:val="20"/>
          <w:szCs w:val="20"/>
          <w:color w:val="auto"/>
        </w:rPr>
      </w:pPr>
    </w:p>
    <w:p>
      <w:pPr>
        <w:ind w:left="440" w:right="80"/>
        <w:spacing w:after="0" w:line="278" w:lineRule="auto"/>
        <w:rPr>
          <w:sz w:val="20"/>
          <w:szCs w:val="20"/>
          <w:color w:val="auto"/>
        </w:rPr>
      </w:pPr>
      <w:r>
        <w:rPr>
          <w:rFonts w:ascii="Arial" w:cs="Arial" w:eastAsia="Arial" w:hAnsi="Arial"/>
          <w:sz w:val="17"/>
          <w:szCs w:val="17"/>
          <w:color w:val="auto"/>
        </w:rPr>
        <w:t>Our Board’s composition is carefully considered by the Nominating and Governance Committee to ensure diversity in the broadest sense — independence, diversity of viewpoints, backgrounds and experience — to bring together multiple, complementary perspectives. The Board membership qualifications and nomination process can be found in our Corporate Governance Principles at www.weatherford.com by clicking on the “Investor Relations” section then “Company Information” then “Corporate Governance,” then “Corporate Documents,” then selecting “Corporate Governance Principles.”</w:t>
      </w:r>
    </w:p>
    <w:p>
      <w:pPr>
        <w:spacing w:after="0" w:line="56" w:lineRule="exact"/>
        <w:rPr>
          <w:sz w:val="20"/>
          <w:szCs w:val="20"/>
          <w:color w:val="auto"/>
        </w:rPr>
      </w:pPr>
    </w:p>
    <w:p>
      <w:pPr>
        <w:ind w:left="440" w:right="160"/>
        <w:spacing w:after="0" w:line="256" w:lineRule="auto"/>
        <w:rPr>
          <w:sz w:val="20"/>
          <w:szCs w:val="20"/>
          <w:color w:val="auto"/>
        </w:rPr>
      </w:pPr>
      <w:r>
        <w:rPr>
          <w:rFonts w:ascii="Arial" w:cs="Arial" w:eastAsia="Arial" w:hAnsi="Arial"/>
          <w:sz w:val="18"/>
          <w:szCs w:val="18"/>
          <w:color w:val="auto"/>
        </w:rPr>
        <w:t>Our director nominees bring a range of skills and experience in relevant areas, including finance, exploration and production, environment, international business, M&amp;A, technology,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NASDAQ BOARD DIVERSITY MATRIX</w:t>
      </w:r>
    </w:p>
    <w:p>
      <w:pPr>
        <w:spacing w:after="0" w:line="111"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On August 6, 2021, the Securities and Exchange Commission (the “SEC”) approved Nasdaq’s board diversity rule that requires companies listed on a Nasdaq exchange to publicly disclose annually the self-identified gender and racial characteristics and LGBTQ+ status of the company’s directors using a standardized template. Nasdaq’s board diversity rules are intended to promote greater diversity among members of the boards of Nasdaq listed companies and also provide stakeholders with consistent board diversity disclosure. Nasdaq rules require companies to disclose their board diversity, but do not mandate or set hard targets for board diversity. Nasdaq has established a minimum board diversity standard of at least two “diverse” directors with at least one self-identifying as “female” and at least one self-identifying as either an “underrepresented minority” or “LGBTQ+.”  If a company has five or fewer directors, Nasdaq standard only requires that one director be “diverse.” If a company does not satisfy the applicable standard, it must provide an explanation for not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224790</wp:posOffset>
            </wp:positionV>
            <wp:extent cx="6231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66" w:lineRule="exact"/>
        <w:rPr>
          <w:sz w:val="20"/>
          <w:szCs w:val="20"/>
          <w:color w:val="auto"/>
        </w:rPr>
      </w:pPr>
    </w:p>
    <w:p>
      <w:pPr>
        <w:ind w:left="662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AGENDA ITEM 1</w:t>
      </w:r>
    </w:p>
    <w:p>
      <w:pPr>
        <w:spacing w:after="0" w:line="153"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Our Board believes that diversity amongst the members of the Board is important to improved company performance and corporate governance. While the Nasdaq rule does not require this disclosure until our proxy statement for the 2024 AGM (because of the size of our Board), we have chosen to begin voluntarily reporting our Board diversity statics in compliance with the new Nasdaq board diversity rule immediately. As of April 22, 2022, our Board has three “diverse” directors as defined in the Nasdaq board diversity rule, with one director self-identifying as “female” and two directors self-identifying as “underrepresented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84455</wp:posOffset>
            </wp:positionV>
            <wp:extent cx="4294505" cy="2846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94505" cy="2846070"/>
                    </a:xfrm>
                    <a:prstGeom prst="rect">
                      <a:avLst/>
                    </a:prstGeom>
                    <a:noFill/>
                  </pic:spPr>
                </pic:pic>
              </a:graphicData>
            </a:graphic>
          </wp:anchor>
        </w:drawing>
      </w:r>
    </w:p>
    <w:p>
      <w:pPr>
        <w:spacing w:after="0" w:line="93" w:lineRule="exact"/>
        <w:rPr>
          <w:sz w:val="20"/>
          <w:szCs w:val="20"/>
          <w:color w:val="auto"/>
        </w:rPr>
      </w:pPr>
    </w:p>
    <w:tbl>
      <w:tblPr>
        <w:tblLayout w:type="fixed"/>
        <w:tblInd w:w="1950" w:type="dxa"/>
        <w:tblCellMar>
          <w:top w:w="0" w:type="dxa"/>
          <w:left w:w="0" w:type="dxa"/>
          <w:bottom w:w="0" w:type="dxa"/>
          <w:right w:w="0" w:type="dxa"/>
        </w:tblCellMar>
      </w:tblPr>
      <w:tr>
        <w:trPr>
          <w:trHeight w:val="238"/>
        </w:trPr>
        <w:tc>
          <w:tcPr>
            <w:tcW w:w="160" w:type="dxa"/>
            <w:vAlign w:val="bottom"/>
            <w:tcBorders>
              <w:top w:val="single" w:sz="8" w:color="auto"/>
              <w:left w:val="single" w:sz="8" w:color="auto"/>
            </w:tcBorders>
          </w:tcPr>
          <w:p>
            <w:pPr>
              <w:spacing w:after="0"/>
              <w:rPr>
                <w:sz w:val="20"/>
                <w:szCs w:val="20"/>
                <w:color w:val="auto"/>
              </w:rPr>
            </w:pPr>
          </w:p>
        </w:tc>
        <w:tc>
          <w:tcPr>
            <w:tcW w:w="4540" w:type="dxa"/>
            <w:vAlign w:val="bottom"/>
            <w:tcBorders>
              <w:top w:val="single" w:sz="8" w:color="auto"/>
            </w:tcBorders>
            <w:gridSpan w:val="6"/>
          </w:tcPr>
          <w:p>
            <w:pPr>
              <w:ind w:left="1960"/>
              <w:spacing w:after="0"/>
              <w:rPr>
                <w:sz w:val="20"/>
                <w:szCs w:val="20"/>
                <w:color w:val="auto"/>
              </w:rPr>
            </w:pPr>
            <w:r>
              <w:rPr>
                <w:rFonts w:ascii="Arial" w:cs="Arial" w:eastAsia="Arial" w:hAnsi="Arial"/>
                <w:sz w:val="18"/>
                <w:szCs w:val="18"/>
                <w:b w:val="1"/>
                <w:bCs w:val="1"/>
                <w:color w:val="FFFFFF"/>
              </w:rPr>
              <w:t>Weatherford International plc</w:t>
            </w: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FFFFFF"/>
              </w:rPr>
              <w:t>​</w:t>
            </w:r>
          </w:p>
        </w:tc>
        <w:tc>
          <w:tcPr>
            <w:tcW w:w="526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8"/>
                <w:szCs w:val="18"/>
                <w:b w:val="1"/>
                <w:bCs w:val="1"/>
                <w:color w:val="FFFFFF"/>
              </w:rPr>
              <w:t>Board Diversity Matrix (as of April 22, 2022)</w:t>
            </w: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FFFFFF"/>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​Total Number of Directors</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9D2235"/>
              </w:rPr>
              <w:t>5</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Borders>
              <w:left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spacing w:after="0" w:line="371" w:lineRule="exact"/>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 Non-</w:t>
            </w: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Did Not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Borders>
              <w:lef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rPr>
              <w:t>​</w:t>
            </w:r>
          </w:p>
        </w:tc>
        <w:tc>
          <w:tcPr>
            <w:tcW w:w="3200" w:type="dxa"/>
            <w:vAlign w:val="bottom"/>
          </w:tcPr>
          <w:p>
            <w:pPr>
              <w:spacing w:after="0"/>
              <w:rPr>
                <w:sz w:val="15"/>
                <w:szCs w:val="15"/>
                <w:color w:val="auto"/>
              </w:rPr>
            </w:pPr>
          </w:p>
        </w:tc>
        <w:tc>
          <w:tcPr>
            <w:tcW w:w="1180" w:type="dxa"/>
            <w:vAlign w:val="bottom"/>
            <w:gridSpan w:val="4"/>
          </w:tcPr>
          <w:p>
            <w:pPr>
              <w:ind w:left="400"/>
              <w:spacing w:after="0" w:line="181" w:lineRule="exact"/>
              <w:rPr>
                <w:sz w:val="20"/>
                <w:szCs w:val="20"/>
                <w:color w:val="auto"/>
              </w:rPr>
            </w:pPr>
            <w:r>
              <w:rPr>
                <w:rFonts w:ascii="Arial" w:cs="Arial" w:eastAsia="Arial" w:hAnsi="Arial"/>
                <w:sz w:val="18"/>
                <w:szCs w:val="18"/>
                <w:b w:val="1"/>
                <w:bCs w:val="1"/>
                <w:color w:val="auto"/>
              </w:rPr>
              <w:t>​​Female</w:t>
            </w:r>
          </w:p>
        </w:tc>
        <w:tc>
          <w:tcPr>
            <w:tcW w:w="620" w:type="dxa"/>
            <w:vAlign w:val="bottom"/>
            <w:gridSpan w:val="4"/>
          </w:tcPr>
          <w:p>
            <w:pPr>
              <w:spacing w:after="0" w:line="181" w:lineRule="exact"/>
              <w:rPr>
                <w:sz w:val="20"/>
                <w:szCs w:val="20"/>
                <w:color w:val="auto"/>
              </w:rPr>
            </w:pPr>
            <w:r>
              <w:rPr>
                <w:rFonts w:ascii="Arial" w:cs="Arial" w:eastAsia="Arial" w:hAnsi="Arial"/>
                <w:sz w:val="18"/>
                <w:szCs w:val="18"/>
                <w:b w:val="1"/>
                <w:bCs w:val="1"/>
                <w:color w:val="auto"/>
              </w:rPr>
              <w:t>​​ Male</w:t>
            </w:r>
          </w:p>
        </w:tc>
        <w:tc>
          <w:tcPr>
            <w:tcW w:w="660" w:type="dxa"/>
            <w:vAlign w:val="bottom"/>
            <w:gridSpan w:val="2"/>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0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​​Disclose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200" w:type="dxa"/>
            <w:vAlign w:val="bottom"/>
            <w:vMerge w:val="restart"/>
          </w:tcPr>
          <w:p>
            <w:pPr>
              <w:ind w:left="17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Binary</w:t>
            </w: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Gender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0" w:type="dxa"/>
            <w:vAlign w:val="bottom"/>
            <w:tcBorders>
              <w:left w:val="single" w:sz="8" w:color="auto"/>
              <w:bottom w:val="single" w:sz="8" w:color="auto"/>
            </w:tcBorders>
          </w:tcPr>
          <w:p>
            <w:pPr>
              <w:spacing w:after="0"/>
              <w:rPr>
                <w:sz w:val="4"/>
                <w:szCs w:val="4"/>
                <w:color w:val="auto"/>
              </w:rPr>
            </w:pPr>
          </w:p>
        </w:tc>
        <w:tc>
          <w:tcPr>
            <w:tcW w:w="3200" w:type="dxa"/>
            <w:vAlign w:val="bottom"/>
            <w:tcBorders>
              <w:bottom w:val="single" w:sz="8" w:color="auto"/>
            </w:tcBorders>
            <w:vMerge w:val="continue"/>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bottom w:val="single" w:sz="8" w:color="auto"/>
            </w:tcBorders>
            <w:gridSpan w:val="2"/>
            <w:shd w:val="clear" w:color="auto" w:fill="7F7F7F"/>
          </w:tcPr>
          <w:p>
            <w:pPr>
              <w:ind w:left="20"/>
              <w:spacing w:after="0"/>
              <w:rPr>
                <w:sz w:val="20"/>
                <w:szCs w:val="20"/>
                <w:color w:val="auto"/>
              </w:rPr>
            </w:pPr>
            <w:r>
              <w:rPr>
                <w:rFonts w:ascii="Arial" w:cs="Arial" w:eastAsia="Arial" w:hAnsi="Arial"/>
                <w:sz w:val="18"/>
                <w:szCs w:val="18"/>
                <w:color w:val="auto"/>
              </w:rPr>
              <w:t>​Part I: Gender Identity</w:t>
            </w:r>
          </w:p>
        </w:tc>
        <w:tc>
          <w:tcPr>
            <w:tcW w:w="640" w:type="dxa"/>
            <w:vAlign w:val="bottom"/>
            <w:tcBorders>
              <w:bottom w:val="single" w:sz="8" w:color="auto"/>
            </w:tcBorders>
            <w:shd w:val="clear" w:color="auto" w:fill="7F7F7F"/>
          </w:tcPr>
          <w:p>
            <w:pPr>
              <w:spacing w:after="0"/>
              <w:rPr>
                <w:sz w:val="20"/>
                <w:szCs w:val="20"/>
                <w:color w:val="auto"/>
              </w:rPr>
            </w:pPr>
          </w:p>
        </w:tc>
        <w:tc>
          <w:tcPr>
            <w:tcW w:w="22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26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spacing w:after="0"/>
              <w:rPr>
                <w:sz w:val="20"/>
                <w:szCs w:val="20"/>
                <w:color w:val="auto"/>
              </w:rPr>
            </w:pPr>
          </w:p>
        </w:tc>
        <w:tc>
          <w:tcPr>
            <w:tcW w:w="260" w:type="dxa"/>
            <w:vAlign w:val="bottom"/>
            <w:tcBorders>
              <w:bottom w:val="single" w:sz="8" w:color="auto"/>
            </w:tcBorders>
            <w:shd w:val="clear" w:color="auto" w:fill="7F7F7F"/>
          </w:tcPr>
          <w:p>
            <w:pPr>
              <w:spacing w:after="0"/>
              <w:rPr>
                <w:sz w:val="20"/>
                <w:szCs w:val="20"/>
                <w:color w:val="auto"/>
              </w:rPr>
            </w:pPr>
          </w:p>
        </w:tc>
        <w:tc>
          <w:tcPr>
            <w:tcW w:w="400" w:type="dxa"/>
            <w:vAlign w:val="bottom"/>
            <w:tcBorders>
              <w:bottom w:val="single" w:sz="8" w:color="auto"/>
            </w:tcBorders>
            <w:shd w:val="clear" w:color="auto" w:fill="7F7F7F"/>
          </w:tcPr>
          <w:p>
            <w:pPr>
              <w:spacing w:after="0"/>
              <w:rPr>
                <w:sz w:val="20"/>
                <w:szCs w:val="20"/>
                <w:color w:val="auto"/>
              </w:rPr>
            </w:pPr>
          </w:p>
        </w:tc>
        <w:tc>
          <w:tcPr>
            <w:tcW w:w="60" w:type="dxa"/>
            <w:vAlign w:val="bottom"/>
            <w:tcBorders>
              <w:bottom w:val="single" w:sz="8" w:color="auto"/>
              <w:right w:val="single" w:sz="8" w:color="7F7F7F"/>
            </w:tcBorders>
            <w:shd w:val="clear" w:color="auto" w:fill="7F7F7F"/>
          </w:tcPr>
          <w:p>
            <w:pPr>
              <w:spacing w:after="0"/>
              <w:rPr>
                <w:sz w:val="20"/>
                <w:szCs w:val="20"/>
                <w:color w:val="auto"/>
              </w:rPr>
            </w:pPr>
          </w:p>
        </w:tc>
        <w:tc>
          <w:tcPr>
            <w:tcW w:w="80" w:type="dxa"/>
            <w:vAlign w:val="bottom"/>
            <w:tcBorders>
              <w:bottom w:val="single" w:sz="8" w:color="auto"/>
            </w:tcBorders>
            <w:shd w:val="clear" w:color="auto" w:fill="7F7F7F"/>
          </w:tcPr>
          <w:p>
            <w:pPr>
              <w:spacing w:after="0"/>
              <w:rPr>
                <w:sz w:val="20"/>
                <w:szCs w:val="20"/>
                <w:color w:val="auto"/>
              </w:rPr>
            </w:pPr>
          </w:p>
        </w:tc>
        <w:tc>
          <w:tcPr>
            <w:tcW w:w="72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Directors</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9D2235"/>
                <w:w w:val="79"/>
              </w:rPr>
              <w:t>​1</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9D2235"/>
              </w:rPr>
              <w:t>​ 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60" w:type="dxa"/>
            <w:vAlign w:val="bottom"/>
            <w:tcBorders>
              <w:left w:val="single" w:sz="8" w:color="auto"/>
              <w:bottom w:val="single" w:sz="8" w:color="auto"/>
            </w:tcBorders>
            <w:gridSpan w:val="2"/>
            <w:shd w:val="clear" w:color="auto" w:fill="7F7F7F"/>
          </w:tcPr>
          <w:p>
            <w:pPr>
              <w:ind w:left="20"/>
              <w:spacing w:after="0"/>
              <w:rPr>
                <w:sz w:val="20"/>
                <w:szCs w:val="20"/>
                <w:color w:val="auto"/>
              </w:rPr>
            </w:pPr>
            <w:r>
              <w:rPr>
                <w:rFonts w:ascii="Arial" w:cs="Arial" w:eastAsia="Arial" w:hAnsi="Arial"/>
                <w:sz w:val="18"/>
                <w:szCs w:val="18"/>
                <w:i w:val="1"/>
                <w:iCs w:val="1"/>
                <w:color w:val="auto"/>
              </w:rPr>
              <w:t>​Part II: Demographic Background</w:t>
            </w:r>
          </w:p>
        </w:tc>
        <w:tc>
          <w:tcPr>
            <w:tcW w:w="640" w:type="dxa"/>
            <w:vAlign w:val="bottom"/>
            <w:tcBorders>
              <w:bottom w:val="single" w:sz="8" w:color="auto"/>
            </w:tcBorders>
            <w:shd w:val="clear" w:color="auto" w:fill="7F7F7F"/>
          </w:tcPr>
          <w:p>
            <w:pPr>
              <w:spacing w:after="0"/>
              <w:rPr>
                <w:sz w:val="20"/>
                <w:szCs w:val="20"/>
                <w:color w:val="auto"/>
              </w:rPr>
            </w:pPr>
          </w:p>
        </w:tc>
        <w:tc>
          <w:tcPr>
            <w:tcW w:w="22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160" w:type="dxa"/>
            <w:vAlign w:val="bottom"/>
            <w:tcBorders>
              <w:bottom w:val="single" w:sz="8" w:color="auto"/>
            </w:tcBorders>
            <w:shd w:val="clear" w:color="auto" w:fill="7F7F7F"/>
          </w:tcPr>
          <w:p>
            <w:pPr>
              <w:spacing w:after="0"/>
              <w:rPr>
                <w:sz w:val="20"/>
                <w:szCs w:val="20"/>
                <w:color w:val="auto"/>
              </w:rPr>
            </w:pPr>
          </w:p>
        </w:tc>
        <w:tc>
          <w:tcPr>
            <w:tcW w:w="26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spacing w:after="0"/>
              <w:rPr>
                <w:sz w:val="20"/>
                <w:szCs w:val="20"/>
                <w:color w:val="auto"/>
              </w:rPr>
            </w:pPr>
          </w:p>
        </w:tc>
        <w:tc>
          <w:tcPr>
            <w:tcW w:w="260" w:type="dxa"/>
            <w:vAlign w:val="bottom"/>
            <w:tcBorders>
              <w:bottom w:val="single" w:sz="8" w:color="auto"/>
            </w:tcBorders>
            <w:shd w:val="clear" w:color="auto" w:fill="7F7F7F"/>
          </w:tcPr>
          <w:p>
            <w:pPr>
              <w:spacing w:after="0"/>
              <w:rPr>
                <w:sz w:val="20"/>
                <w:szCs w:val="20"/>
                <w:color w:val="auto"/>
              </w:rPr>
            </w:pPr>
          </w:p>
        </w:tc>
        <w:tc>
          <w:tcPr>
            <w:tcW w:w="400" w:type="dxa"/>
            <w:vAlign w:val="bottom"/>
            <w:tcBorders>
              <w:bottom w:val="single" w:sz="8" w:color="auto"/>
            </w:tcBorders>
            <w:shd w:val="clear" w:color="auto" w:fill="7F7F7F"/>
          </w:tcPr>
          <w:p>
            <w:pPr>
              <w:spacing w:after="0"/>
              <w:rPr>
                <w:sz w:val="20"/>
                <w:szCs w:val="20"/>
                <w:color w:val="auto"/>
              </w:rPr>
            </w:pPr>
          </w:p>
        </w:tc>
        <w:tc>
          <w:tcPr>
            <w:tcW w:w="60" w:type="dxa"/>
            <w:vAlign w:val="bottom"/>
            <w:tcBorders>
              <w:bottom w:val="single" w:sz="8" w:color="auto"/>
              <w:right w:val="single" w:sz="8" w:color="7F7F7F"/>
            </w:tcBorders>
            <w:shd w:val="clear" w:color="auto" w:fill="7F7F7F"/>
          </w:tcPr>
          <w:p>
            <w:pPr>
              <w:spacing w:after="0"/>
              <w:rPr>
                <w:sz w:val="20"/>
                <w:szCs w:val="20"/>
                <w:color w:val="auto"/>
              </w:rPr>
            </w:pPr>
          </w:p>
        </w:tc>
        <w:tc>
          <w:tcPr>
            <w:tcW w:w="80" w:type="dxa"/>
            <w:vAlign w:val="bottom"/>
            <w:tcBorders>
              <w:bottom w:val="single" w:sz="8" w:color="auto"/>
            </w:tcBorders>
            <w:shd w:val="clear" w:color="auto" w:fill="7F7F7F"/>
          </w:tcPr>
          <w:p>
            <w:pPr>
              <w:spacing w:after="0"/>
              <w:rPr>
                <w:sz w:val="20"/>
                <w:szCs w:val="20"/>
                <w:color w:val="auto"/>
              </w:rPr>
            </w:pPr>
          </w:p>
        </w:tc>
        <w:tc>
          <w:tcPr>
            <w:tcW w:w="720" w:type="dxa"/>
            <w:vAlign w:val="bottom"/>
            <w:tcBorders>
              <w:bottom w:val="single" w:sz="8" w:color="auto"/>
            </w:tcBorders>
            <w:shd w:val="clear" w:color="auto" w:fill="7F7F7F"/>
          </w:tcPr>
          <w:p>
            <w:pPr>
              <w:spacing w:after="0"/>
              <w:rPr>
                <w:sz w:val="20"/>
                <w:szCs w:val="20"/>
                <w:color w:val="auto"/>
              </w:rPr>
            </w:pPr>
          </w:p>
        </w:tc>
        <w:tc>
          <w:tcPr>
            <w:tcW w:w="100" w:type="dxa"/>
            <w:vAlign w:val="bottom"/>
            <w:tcBorders>
              <w:bottom w:val="single" w:sz="8" w:color="auto"/>
            </w:tcBorders>
            <w:shd w:val="clear" w:color="auto" w:fill="7F7F7F"/>
          </w:tcPr>
          <w:p>
            <w:pPr>
              <w:jc w:val="right"/>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African American or Black</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9D2235"/>
              </w:rPr>
              <w:t>​ 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Alaskan Native or Native American</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Asian</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9D2235"/>
              </w:rPr>
              <w:t>​ 1</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Hispanic or Latinx</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Native Hawaiian or Pacific Islander</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White</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9D2235"/>
                <w:w w:val="79"/>
              </w:rPr>
              <w:t>​1</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9D2235"/>
              </w:rPr>
              <w:t>​ 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Two or More Races or Ethnicities</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LGBTQ+</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Did Not Disclose Demographic Background ​​</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-2536825</wp:posOffset>
            </wp:positionV>
            <wp:extent cx="4286250" cy="2537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0" cy="253746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3625850</wp:posOffset>
            </wp:positionV>
            <wp:extent cx="6231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hanging="202"/>
        <w:spacing w:after="0"/>
        <w:tabs>
          <w:tab w:leader="none" w:pos="640" w:val="left"/>
        </w:tabs>
        <w:numPr>
          <w:ilvl w:val="0"/>
          <w:numId w:val="1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97" w:right="11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DIRECTOR NOMINEE BIOGRAPHIES</w:t>
      </w:r>
    </w:p>
    <w:p>
      <w:pPr>
        <w:spacing w:after="0" w:line="124" w:lineRule="exact"/>
        <w:rPr>
          <w:sz w:val="20"/>
          <w:szCs w:val="20"/>
          <w:color w:val="auto"/>
        </w:rPr>
      </w:pPr>
    </w:p>
    <w:p>
      <w:pPr>
        <w:ind w:left="440" w:right="180"/>
        <w:spacing w:after="0" w:line="273" w:lineRule="auto"/>
        <w:rPr>
          <w:sz w:val="20"/>
          <w:szCs w:val="20"/>
          <w:color w:val="auto"/>
        </w:rPr>
      </w:pPr>
      <w:r>
        <w:rPr>
          <w:rFonts w:ascii="Arial" w:cs="Arial" w:eastAsia="Arial" w:hAnsi="Arial"/>
          <w:sz w:val="18"/>
          <w:szCs w:val="18"/>
          <w:color w:val="auto"/>
        </w:rPr>
        <w:t>As set forth in our corporate governance principles, when evaluating our directors in consideration of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ectPr>
          <w:pgSz w:w="11900" w:h="16838" w:orient="portrait"/>
          <w:cols w:equalWidth="0" w:num="1">
            <w:col w:w="10280"/>
          </w:cols>
          <w:pgMar w:left="580" w:top="97" w:right="1039" w:bottom="1440" w:gutter="0" w:footer="0" w:header="0"/>
        </w:sect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-118745</wp:posOffset>
            </wp:positionV>
            <wp:extent cx="1508760" cy="1508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87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ind w:left="440"/>
        <w:spacing w:after="0" w:line="219" w:lineRule="auto"/>
        <w:rPr>
          <w:sz w:val="20"/>
          <w:szCs w:val="20"/>
          <w:color w:val="auto"/>
        </w:rPr>
      </w:pPr>
      <w:r>
        <w:rPr>
          <w:rFonts w:ascii="Arial" w:cs="Arial" w:eastAsia="Arial" w:hAnsi="Arial"/>
          <w:sz w:val="18"/>
          <w:szCs w:val="18"/>
          <w:b w:val="1"/>
          <w:bCs w:val="1"/>
          <w:color w:val="auto"/>
        </w:rPr>
        <w:t>DIRECTOR SINCE:</w:t>
      </w:r>
    </w:p>
    <w:p>
      <w:pPr>
        <w:ind w:left="440"/>
        <w:spacing w:after="0" w:line="203" w:lineRule="auto"/>
        <w:rPr>
          <w:sz w:val="20"/>
          <w:szCs w:val="20"/>
          <w:color w:val="auto"/>
        </w:rPr>
      </w:pPr>
      <w:r>
        <w:rPr>
          <w:rFonts w:ascii="Arial" w:cs="Arial" w:eastAsia="Arial" w:hAnsi="Arial"/>
          <w:sz w:val="18"/>
          <w:szCs w:val="18"/>
          <w:color w:val="auto"/>
        </w:rPr>
        <w:t>June 2020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ind w:left="540"/>
        <w:spacing w:after="0" w:line="213" w:lineRule="auto"/>
        <w:rPr>
          <w:sz w:val="20"/>
          <w:szCs w:val="20"/>
          <w:color w:val="auto"/>
        </w:rPr>
      </w:pPr>
      <w:r>
        <w:rPr>
          <w:rFonts w:ascii="Arial" w:cs="Arial" w:eastAsia="Arial" w:hAnsi="Arial"/>
          <w:sz w:val="18"/>
          <w:szCs w:val="18"/>
          <w:color w:val="auto"/>
        </w:rPr>
        <w:t>Audit</w:t>
      </w:r>
    </w:p>
    <w:p>
      <w:pPr>
        <w:ind w:left="540"/>
        <w:spacing w:after="0" w:line="216" w:lineRule="auto"/>
        <w:rPr>
          <w:sz w:val="20"/>
          <w:szCs w:val="20"/>
          <w:color w:val="auto"/>
        </w:rPr>
      </w:pPr>
      <w:r>
        <w:rPr>
          <w:rFonts w:ascii="Arial" w:cs="Arial" w:eastAsia="Arial" w:hAnsi="Arial"/>
          <w:sz w:val="17"/>
          <w:szCs w:val="17"/>
          <w:color w:val="auto"/>
        </w:rPr>
        <w:t>Compensation and Human</w:t>
      </w:r>
    </w:p>
    <w:p>
      <w:pPr>
        <w:ind w:left="540"/>
        <w:spacing w:after="0" w:line="219" w:lineRule="auto"/>
        <w:rPr>
          <w:sz w:val="20"/>
          <w:szCs w:val="20"/>
          <w:color w:val="auto"/>
        </w:rPr>
      </w:pPr>
      <w:r>
        <w:rPr>
          <w:rFonts w:ascii="Arial" w:cs="Arial" w:eastAsia="Arial" w:hAnsi="Arial"/>
          <w:sz w:val="18"/>
          <w:szCs w:val="18"/>
          <w:color w:val="auto"/>
        </w:rPr>
        <w:t>Resources (Chair)</w:t>
      </w:r>
    </w:p>
    <w:p>
      <w:pPr>
        <w:ind w:left="540"/>
        <w:spacing w:after="0" w:line="204" w:lineRule="auto"/>
        <w:rPr>
          <w:sz w:val="20"/>
          <w:szCs w:val="20"/>
          <w:color w:val="auto"/>
        </w:rPr>
      </w:pPr>
      <w:r>
        <w:rPr>
          <w:rFonts w:ascii="Arial" w:cs="Arial" w:eastAsia="Arial" w:hAnsi="Arial"/>
          <w:sz w:val="18"/>
          <w:szCs w:val="18"/>
          <w:color w:val="auto"/>
        </w:rPr>
        <w:t>Nominating and</w:t>
      </w:r>
    </w:p>
    <w:p>
      <w:pPr>
        <w:ind w:left="540"/>
        <w:spacing w:after="0" w:line="234" w:lineRule="auto"/>
        <w:rPr>
          <w:sz w:val="20"/>
          <w:szCs w:val="20"/>
          <w:color w:val="auto"/>
        </w:rPr>
      </w:pPr>
      <w:r>
        <w:rPr>
          <w:rFonts w:ascii="Arial" w:cs="Arial" w:eastAsia="Arial" w:hAnsi="Arial"/>
          <w:sz w:val="18"/>
          <w:szCs w:val="18"/>
          <w:color w:val="auto"/>
        </w:rPr>
        <w:t>Governance</w:t>
      </w:r>
    </w:p>
    <w:p>
      <w:pPr>
        <w:spacing w:after="0" w:line="1" w:lineRule="exact"/>
        <w:rPr>
          <w:sz w:val="20"/>
          <w:szCs w:val="20"/>
          <w:color w:val="auto"/>
        </w:rPr>
      </w:pPr>
    </w:p>
    <w:p>
      <w:pPr>
        <w:ind w:left="440" w:right="460"/>
        <w:spacing w:after="0"/>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540" w:right="520"/>
        <w:spacing w:after="0" w:line="237" w:lineRule="auto"/>
        <w:rPr>
          <w:sz w:val="20"/>
          <w:szCs w:val="20"/>
          <w:color w:val="auto"/>
        </w:rPr>
      </w:pPr>
      <w:r>
        <w:rPr>
          <w:rFonts w:ascii="Arial" w:cs="Arial" w:eastAsia="Arial" w:hAnsi="Arial"/>
          <w:sz w:val="18"/>
          <w:szCs w:val="18"/>
          <w:color w:val="auto"/>
        </w:rPr>
        <w:t>Chesapeake Energy Corporation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9"/>
          <w:szCs w:val="29"/>
          <w:b w:val="1"/>
          <w:bCs w:val="1"/>
          <w:color w:val="BA0C2F"/>
        </w:rPr>
        <w:t>BENJAMIN C. DUSTER, IV</w:t>
      </w:r>
    </w:p>
    <w:p>
      <w:pPr>
        <w:ind w:left="20"/>
        <w:spacing w:after="0" w:line="217"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Background</w:t>
      </w:r>
    </w:p>
    <w:p>
      <w:pPr>
        <w:spacing w:after="0" w:line="1" w:lineRule="exact"/>
        <w:rPr>
          <w:sz w:val="20"/>
          <w:szCs w:val="20"/>
          <w:color w:val="auto"/>
        </w:rPr>
      </w:pPr>
    </w:p>
    <w:p>
      <w:pPr>
        <w:ind w:left="40"/>
        <w:spacing w:after="0" w:line="253" w:lineRule="auto"/>
        <w:rPr>
          <w:sz w:val="20"/>
          <w:szCs w:val="20"/>
          <w:color w:val="auto"/>
        </w:rPr>
      </w:pPr>
      <w:r>
        <w:rPr>
          <w:rFonts w:ascii="Arial" w:cs="Arial" w:eastAsia="Arial" w:hAnsi="Arial"/>
          <w:sz w:val="18"/>
          <w:szCs w:val="18"/>
          <w:color w:val="auto"/>
        </w:rPr>
        <w:t>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and chairs the audit committee at Chesapeake Energy Corporation.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Yale University, BA in Economics (Applied Math minor) with Honors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Harvard Law School, Juris Doctorate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Harvard Business School, MBA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85" w:lineRule="exact"/>
        <w:rPr>
          <w:sz w:val="20"/>
          <w:szCs w:val="20"/>
          <w:color w:val="auto"/>
        </w:rPr>
      </w:pPr>
    </w:p>
    <w:p>
      <w:pPr>
        <w:sectPr>
          <w:pgSz w:w="11900" w:h="16838" w:orient="portrait"/>
          <w:cols w:equalWidth="0" w:num="3">
            <w:col w:w="2680" w:space="140"/>
            <w:col w:w="7260" w:space="140"/>
            <w:col w:w="60"/>
          </w:cols>
          <w:pgMar w:left="580" w:top="97" w:right="1039" w:bottom="1440" w:gutter="0" w:footer="0" w:header="0"/>
          <w:type w:val="continuous"/>
        </w:sectPr>
      </w:pP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-118745</wp:posOffset>
            </wp:positionV>
            <wp:extent cx="1508760" cy="1508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87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ind w:left="440"/>
        <w:spacing w:after="0" w:line="219" w:lineRule="auto"/>
        <w:rPr>
          <w:sz w:val="20"/>
          <w:szCs w:val="20"/>
          <w:color w:val="auto"/>
        </w:rPr>
      </w:pPr>
      <w:r>
        <w:rPr>
          <w:rFonts w:ascii="Arial" w:cs="Arial" w:eastAsia="Arial" w:hAnsi="Arial"/>
          <w:sz w:val="18"/>
          <w:szCs w:val="18"/>
          <w:b w:val="1"/>
          <w:bCs w:val="1"/>
          <w:color w:val="auto"/>
        </w:rPr>
        <w:t>DIRECTOR SINCE:</w:t>
      </w:r>
    </w:p>
    <w:p>
      <w:pPr>
        <w:ind w:left="440"/>
        <w:spacing w:after="0" w:line="203" w:lineRule="auto"/>
        <w:rPr>
          <w:sz w:val="20"/>
          <w:szCs w:val="20"/>
          <w:color w:val="auto"/>
        </w:rPr>
      </w:pPr>
      <w:r>
        <w:rPr>
          <w:rFonts w:ascii="Arial" w:cs="Arial" w:eastAsia="Arial" w:hAnsi="Arial"/>
          <w:sz w:val="18"/>
          <w:szCs w:val="18"/>
          <w:color w:val="auto"/>
        </w:rPr>
        <w:t>Dec. 2019</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right="20"/>
        <w:spacing w:after="0" w:line="208" w:lineRule="auto"/>
        <w:rPr>
          <w:sz w:val="20"/>
          <w:szCs w:val="20"/>
          <w:color w:val="auto"/>
        </w:rPr>
      </w:pPr>
      <w:r>
        <w:rPr>
          <w:rFonts w:ascii="Arial" w:cs="Arial" w:eastAsia="Arial" w:hAnsi="Arial"/>
          <w:sz w:val="18"/>
          <w:szCs w:val="18"/>
          <w:color w:val="auto"/>
        </w:rPr>
        <w:t>Audit (Vice Chair) Compensation and Human Resources</w:t>
      </w:r>
    </w:p>
    <w:p>
      <w:pPr>
        <w:spacing w:after="0" w:line="2" w:lineRule="exact"/>
        <w:rPr>
          <w:sz w:val="20"/>
          <w:szCs w:val="20"/>
          <w:color w:val="auto"/>
        </w:rPr>
      </w:pPr>
    </w:p>
    <w:p>
      <w:pPr>
        <w:ind w:left="540" w:right="580"/>
        <w:spacing w:after="0" w:line="232" w:lineRule="auto"/>
        <w:rPr>
          <w:sz w:val="20"/>
          <w:szCs w:val="20"/>
          <w:color w:val="auto"/>
        </w:rPr>
      </w:pPr>
      <w:r>
        <w:rPr>
          <w:rFonts w:ascii="Arial" w:cs="Arial" w:eastAsia="Arial" w:hAnsi="Arial"/>
          <w:sz w:val="17"/>
          <w:szCs w:val="17"/>
          <w:color w:val="auto"/>
        </w:rPr>
        <w:t>Nominating and Governance (Chair)</w:t>
      </w:r>
    </w:p>
    <w:p>
      <w:pPr>
        <w:ind w:left="440" w:right="480"/>
        <w:spacing w:after="0"/>
        <w:rPr>
          <w:sz w:val="20"/>
          <w:szCs w:val="20"/>
          <w:color w:val="auto"/>
        </w:rPr>
      </w:pPr>
      <w:r>
        <w:rPr>
          <w:rFonts w:ascii="Arial" w:cs="Arial" w:eastAsia="Arial" w:hAnsi="Arial"/>
          <w:sz w:val="17"/>
          <w:szCs w:val="17"/>
          <w:b w:val="1"/>
          <w:bCs w:val="1"/>
          <w:color w:val="auto"/>
        </w:rPr>
        <w:t>OTHER PUBLIC COMPANY BOARDS:</w:t>
      </w:r>
    </w:p>
    <w:p>
      <w:pPr>
        <w:ind w:left="540"/>
        <w:spacing w:after="0" w:line="219" w:lineRule="auto"/>
        <w:rPr>
          <w:sz w:val="20"/>
          <w:szCs w:val="20"/>
          <w:color w:val="auto"/>
        </w:rPr>
      </w:pPr>
      <w:r>
        <w:rPr>
          <w:rFonts w:ascii="Arial" w:cs="Arial" w:eastAsia="Arial" w:hAnsi="Arial"/>
          <w:sz w:val="18"/>
          <w:szCs w:val="18"/>
          <w:color w:val="auto"/>
        </w:rPr>
        <w:t>Talos Energy Inc.</w:t>
      </w:r>
    </w:p>
    <w:p>
      <w:pPr>
        <w:ind w:left="540"/>
        <w:spacing w:after="0" w:line="204" w:lineRule="auto"/>
        <w:rPr>
          <w:sz w:val="20"/>
          <w:szCs w:val="20"/>
          <w:color w:val="auto"/>
        </w:rPr>
      </w:pPr>
      <w:r>
        <w:rPr>
          <w:rFonts w:ascii="Arial" w:cs="Arial" w:eastAsia="Arial" w:hAnsi="Arial"/>
          <w:sz w:val="18"/>
          <w:szCs w:val="18"/>
          <w:color w:val="auto"/>
        </w:rPr>
        <w:t>Diamond Offshore Drilling,</w:t>
      </w:r>
    </w:p>
    <w:p>
      <w:pPr>
        <w:ind w:left="540"/>
        <w:spacing w:after="0" w:line="235" w:lineRule="auto"/>
        <w:rPr>
          <w:sz w:val="20"/>
          <w:szCs w:val="20"/>
          <w:color w:val="auto"/>
        </w:rPr>
      </w:pPr>
      <w:r>
        <w:rPr>
          <w:rFonts w:ascii="Arial" w:cs="Arial" w:eastAsia="Arial" w:hAnsi="Arial"/>
          <w:sz w:val="18"/>
          <w:szCs w:val="18"/>
          <w:color w:val="auto"/>
        </w:rPr>
        <w:t>Inc.</w:t>
      </w:r>
    </w:p>
    <w:p>
      <w:pPr>
        <w:ind w:left="540"/>
        <w:spacing w:after="0"/>
        <w:rPr>
          <w:sz w:val="20"/>
          <w:szCs w:val="20"/>
          <w:color w:val="auto"/>
        </w:rPr>
      </w:pPr>
      <w:r>
        <w:rPr>
          <w:rFonts w:ascii="Arial" w:cs="Arial" w:eastAsia="Arial" w:hAnsi="Arial"/>
          <w:sz w:val="18"/>
          <w:szCs w:val="18"/>
          <w:color w:val="auto"/>
        </w:rPr>
        <w:t>Redbox Entertainment Inc.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9"/>
          <w:szCs w:val="29"/>
          <w:b w:val="1"/>
          <w:bCs w:val="1"/>
          <w:color w:val="BA0C2F"/>
        </w:rPr>
        <w:t>NEAL P. GOLDMAN</w:t>
      </w:r>
    </w:p>
    <w:p>
      <w:pPr>
        <w:ind w:left="20"/>
        <w:spacing w:after="0" w:line="217"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Background</w:t>
      </w:r>
    </w:p>
    <w:p>
      <w:pPr>
        <w:spacing w:after="0" w:line="1" w:lineRule="exact"/>
        <w:rPr>
          <w:sz w:val="20"/>
          <w:szCs w:val="20"/>
          <w:color w:val="auto"/>
        </w:rPr>
      </w:pPr>
    </w:p>
    <w:p>
      <w:pPr>
        <w:ind w:left="40"/>
        <w:spacing w:after="0" w:line="252" w:lineRule="auto"/>
        <w:rPr>
          <w:sz w:val="20"/>
          <w:szCs w:val="20"/>
          <w:color w:val="auto"/>
        </w:rPr>
      </w:pPr>
      <w:r>
        <w:rPr>
          <w:rFonts w:ascii="Arial" w:cs="Arial" w:eastAsia="Arial" w:hAnsi="Arial"/>
          <w:sz w:val="18"/>
          <w:szCs w:val="18"/>
          <w:color w:val="auto"/>
        </w:rPr>
        <w:t>Mr. Goldman has over 25 years of experience in investing and working with companies to maximize shareholder value. Since 2015,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to build to over $12 billion in assets under management. Mr. Goldman currently serves as Chairman of the Board of Talos Energy Inc. and Diamond Offshore Drilling, Inc., and was recently appointed to the board of Redbox Entertainment Inc.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University of Michigan, BA</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University of Illinois,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1183640</wp:posOffset>
            </wp:positionV>
            <wp:extent cx="6231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50" w:lineRule="exact"/>
        <w:rPr>
          <w:sz w:val="20"/>
          <w:szCs w:val="20"/>
          <w:color w:val="auto"/>
        </w:rPr>
      </w:pPr>
    </w:p>
    <w:p>
      <w:pPr>
        <w:sectPr>
          <w:pgSz w:w="11900" w:h="16838" w:orient="portrait"/>
          <w:cols w:equalWidth="0" w:num="3">
            <w:col w:w="2700" w:space="120"/>
            <w:col w:w="7300" w:space="100"/>
            <w:col w:w="60"/>
          </w:cols>
          <w:pgMar w:left="580" w:top="97" w:right="1039" w:bottom="1440" w:gutter="0" w:footer="0" w:header="0"/>
          <w:type w:val="continuous"/>
        </w:sectPr>
      </w:pPr>
    </w:p>
    <w:p>
      <w:pPr>
        <w:spacing w:after="0" w:line="125" w:lineRule="exact"/>
        <w:rPr>
          <w:sz w:val="20"/>
          <w:szCs w:val="20"/>
          <w:color w:val="auto"/>
        </w:rPr>
      </w:pPr>
    </w:p>
    <w:p>
      <w:pPr>
        <w:ind w:left="662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jc w:val="right"/>
        <w:ind w:right="8720"/>
        <w:spacing w:after="0"/>
        <w:rPr>
          <w:sz w:val="20"/>
          <w:szCs w:val="20"/>
          <w:color w:val="auto"/>
        </w:rPr>
      </w:pPr>
      <w:r>
        <w:rPr>
          <w:rFonts w:ascii="Arial" w:cs="Arial" w:eastAsia="Arial" w:hAnsi="Arial"/>
          <w:sz w:val="14"/>
          <w:szCs w:val="14"/>
          <w:b w:val="1"/>
          <w:bCs w:val="1"/>
          <w:color w:val="666666"/>
        </w:rPr>
        <w:t>AGENDA ITEM 1</w:t>
      </w:r>
    </w:p>
    <w:p>
      <w:pPr>
        <w:sectPr>
          <w:pgSz w:w="11900" w:h="16838" w:orient="portrait"/>
          <w:cols w:equalWidth="0" w:num="1">
            <w:col w:w="10280"/>
          </w:cols>
          <w:pgMar w:left="580" w:top="97" w:right="1039" w:bottom="1440" w:gutter="0" w:footer="0" w:header="0"/>
        </w:sectPr>
      </w:pP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-118745</wp:posOffset>
            </wp:positionV>
            <wp:extent cx="1508760" cy="1508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0876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ind w:left="440"/>
        <w:spacing w:after="0" w:line="219" w:lineRule="auto"/>
        <w:rPr>
          <w:sz w:val="20"/>
          <w:szCs w:val="20"/>
          <w:color w:val="auto"/>
        </w:rPr>
      </w:pPr>
      <w:r>
        <w:rPr>
          <w:rFonts w:ascii="Arial" w:cs="Arial" w:eastAsia="Arial" w:hAnsi="Arial"/>
          <w:sz w:val="18"/>
          <w:szCs w:val="18"/>
          <w:b w:val="1"/>
          <w:bCs w:val="1"/>
          <w:color w:val="auto"/>
        </w:rPr>
        <w:t>DIRECTOR SINCE:</w:t>
      </w:r>
    </w:p>
    <w:p>
      <w:pPr>
        <w:ind w:left="440"/>
        <w:spacing w:after="0" w:line="203" w:lineRule="auto"/>
        <w:rPr>
          <w:sz w:val="20"/>
          <w:szCs w:val="20"/>
          <w:color w:val="auto"/>
        </w:rPr>
      </w:pPr>
      <w:r>
        <w:rPr>
          <w:rFonts w:ascii="Arial" w:cs="Arial" w:eastAsia="Arial" w:hAnsi="Arial"/>
          <w:sz w:val="18"/>
          <w:szCs w:val="18"/>
          <w:color w:val="auto"/>
        </w:rPr>
        <w:t>Dec. 2019</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ind w:left="540"/>
        <w:spacing w:after="0" w:line="226" w:lineRule="auto"/>
        <w:rPr>
          <w:sz w:val="20"/>
          <w:szCs w:val="20"/>
          <w:color w:val="auto"/>
        </w:rPr>
      </w:pPr>
      <w:r>
        <w:rPr>
          <w:rFonts w:ascii="Arial" w:cs="Arial" w:eastAsia="Arial" w:hAnsi="Arial"/>
          <w:sz w:val="17"/>
          <w:szCs w:val="17"/>
          <w:color w:val="auto"/>
        </w:rPr>
        <w:t>Compensation and Human</w:t>
      </w:r>
    </w:p>
    <w:p>
      <w:pPr>
        <w:ind w:left="540"/>
        <w:spacing w:after="0" w:line="204" w:lineRule="auto"/>
        <w:rPr>
          <w:sz w:val="20"/>
          <w:szCs w:val="20"/>
          <w:color w:val="auto"/>
        </w:rPr>
      </w:pPr>
      <w:r>
        <w:rPr>
          <w:rFonts w:ascii="Arial" w:cs="Arial" w:eastAsia="Arial" w:hAnsi="Arial"/>
          <w:sz w:val="18"/>
          <w:szCs w:val="18"/>
          <w:color w:val="auto"/>
        </w:rPr>
        <w:t>Resources</w:t>
      </w:r>
    </w:p>
    <w:p>
      <w:pPr>
        <w:ind w:left="540"/>
        <w:spacing w:after="0" w:line="219" w:lineRule="auto"/>
        <w:rPr>
          <w:sz w:val="20"/>
          <w:szCs w:val="20"/>
          <w:color w:val="auto"/>
        </w:rPr>
      </w:pPr>
      <w:r>
        <w:rPr>
          <w:rFonts w:ascii="Arial" w:cs="Arial" w:eastAsia="Arial" w:hAnsi="Arial"/>
          <w:sz w:val="18"/>
          <w:szCs w:val="18"/>
          <w:color w:val="auto"/>
        </w:rPr>
        <w:t>Nominating and</w:t>
      </w:r>
    </w:p>
    <w:p>
      <w:pPr>
        <w:ind w:left="540"/>
        <w:spacing w:after="0" w:line="203" w:lineRule="auto"/>
        <w:rPr>
          <w:sz w:val="20"/>
          <w:szCs w:val="20"/>
          <w:color w:val="auto"/>
        </w:rPr>
      </w:pPr>
      <w:r>
        <w:rPr>
          <w:rFonts w:ascii="Arial" w:cs="Arial" w:eastAsia="Arial" w:hAnsi="Arial"/>
          <w:sz w:val="18"/>
          <w:szCs w:val="18"/>
          <w:color w:val="auto"/>
        </w:rPr>
        <w:t>Governance</w:t>
      </w:r>
    </w:p>
    <w:p>
      <w:pPr>
        <w:ind w:left="540"/>
        <w:spacing w:after="0" w:line="204" w:lineRule="auto"/>
        <w:rPr>
          <w:sz w:val="20"/>
          <w:szCs w:val="20"/>
          <w:color w:val="auto"/>
        </w:rPr>
      </w:pPr>
      <w:r>
        <w:rPr>
          <w:rFonts w:ascii="Arial" w:cs="Arial" w:eastAsia="Arial" w:hAnsi="Arial"/>
          <w:sz w:val="18"/>
          <w:szCs w:val="18"/>
          <w:color w:val="auto"/>
        </w:rPr>
        <w:t>Safety, Environment and</w:t>
      </w:r>
    </w:p>
    <w:p>
      <w:pPr>
        <w:ind w:left="540"/>
        <w:spacing w:after="0"/>
        <w:rPr>
          <w:sz w:val="20"/>
          <w:szCs w:val="20"/>
          <w:color w:val="auto"/>
        </w:rPr>
      </w:pPr>
      <w:r>
        <w:rPr>
          <w:rFonts w:ascii="Arial" w:cs="Arial" w:eastAsia="Arial" w:hAnsi="Arial"/>
          <w:sz w:val="18"/>
          <w:szCs w:val="18"/>
          <w:color w:val="auto"/>
        </w:rPr>
        <w:t>Sustainability (Chair)</w:t>
      </w:r>
    </w:p>
    <w:p>
      <w:pPr>
        <w:spacing w:after="0" w:line="9" w:lineRule="exact"/>
        <w:rPr>
          <w:sz w:val="20"/>
          <w:szCs w:val="20"/>
          <w:color w:val="auto"/>
        </w:rPr>
      </w:pPr>
    </w:p>
    <w:p>
      <w:pPr>
        <w:ind w:left="440" w:right="460"/>
        <w:spacing w:after="0"/>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540" w:right="700"/>
        <w:spacing w:after="0" w:line="246" w:lineRule="auto"/>
        <w:rPr>
          <w:sz w:val="20"/>
          <w:szCs w:val="20"/>
          <w:color w:val="auto"/>
        </w:rPr>
      </w:pPr>
      <w:r>
        <w:rPr>
          <w:rFonts w:ascii="Arial" w:cs="Arial" w:eastAsia="Arial" w:hAnsi="Arial"/>
          <w:sz w:val="17"/>
          <w:szCs w:val="17"/>
          <w:color w:val="auto"/>
        </w:rPr>
        <w:t>Antero Resources Corporation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-118745</wp:posOffset>
            </wp:positionV>
            <wp:extent cx="1448435" cy="144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843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AGE: 50</w:t>
      </w:r>
    </w:p>
    <w:p>
      <w:pPr>
        <w:ind w:left="440"/>
        <w:spacing w:after="0" w:line="219" w:lineRule="auto"/>
        <w:rPr>
          <w:sz w:val="20"/>
          <w:szCs w:val="20"/>
          <w:color w:val="auto"/>
        </w:rPr>
      </w:pPr>
      <w:r>
        <w:rPr>
          <w:rFonts w:ascii="Arial" w:cs="Arial" w:eastAsia="Arial" w:hAnsi="Arial"/>
          <w:sz w:val="18"/>
          <w:szCs w:val="18"/>
          <w:b w:val="1"/>
          <w:bCs w:val="1"/>
          <w:color w:val="auto"/>
        </w:rPr>
        <w:t>DIRECTOR SINCE:</w:t>
      </w:r>
    </w:p>
    <w:p>
      <w:pPr>
        <w:ind w:left="440"/>
        <w:spacing w:after="0" w:line="203" w:lineRule="auto"/>
        <w:rPr>
          <w:sz w:val="20"/>
          <w:szCs w:val="20"/>
          <w:color w:val="auto"/>
        </w:rPr>
      </w:pPr>
      <w:r>
        <w:rPr>
          <w:rFonts w:ascii="Arial" w:cs="Arial" w:eastAsia="Arial" w:hAnsi="Arial"/>
          <w:sz w:val="18"/>
          <w:szCs w:val="18"/>
          <w:color w:val="auto"/>
        </w:rPr>
        <w:t>Oct. 2020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right="180"/>
        <w:spacing w:after="0" w:line="219" w:lineRule="auto"/>
        <w:rPr>
          <w:sz w:val="20"/>
          <w:szCs w:val="20"/>
          <w:color w:val="auto"/>
        </w:rPr>
      </w:pPr>
      <w:r>
        <w:rPr>
          <w:rFonts w:ascii="Arial" w:cs="Arial" w:eastAsia="Arial" w:hAnsi="Arial"/>
          <w:sz w:val="18"/>
          <w:szCs w:val="18"/>
          <w:color w:val="auto"/>
        </w:rPr>
        <w:t>Safety, Environment and Sustainability</w:t>
      </w:r>
    </w:p>
    <w:p>
      <w:pPr>
        <w:ind w:left="440" w:right="460"/>
        <w:spacing w:after="0"/>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7400" w:val="left"/>
        </w:tabs>
        <w:rPr>
          <w:sz w:val="20"/>
          <w:szCs w:val="20"/>
          <w:color w:val="auto"/>
        </w:rPr>
      </w:pPr>
      <w:r>
        <w:rPr>
          <w:rFonts w:ascii="Arial" w:cs="Arial" w:eastAsia="Arial" w:hAnsi="Arial"/>
          <w:sz w:val="35"/>
          <w:szCs w:val="35"/>
          <w:color w:val="000000"/>
          <w:vertAlign w:val="superscript"/>
        </w:rPr>
        <w:t>​​</w:t>
      </w:r>
      <w:r>
        <w:rPr>
          <w:rFonts w:ascii="Arial" w:cs="Arial" w:eastAsia="Arial" w:hAnsi="Arial"/>
          <w:sz w:val="29"/>
          <w:szCs w:val="29"/>
          <w:b w:val="1"/>
          <w:bCs w:val="1"/>
          <w:color w:val="BA0C2F"/>
        </w:rPr>
        <w:t>JACQUELINE C. MUTSCHLER</w:t>
      </w:r>
      <w:r>
        <w:rPr>
          <w:sz w:val="20"/>
          <w:szCs w:val="20"/>
          <w:color w:val="auto"/>
        </w:rPr>
        <w:tab/>
      </w:r>
      <w:r>
        <w:rPr>
          <w:rFonts w:ascii="Arial" w:cs="Arial" w:eastAsia="Arial" w:hAnsi="Arial"/>
          <w:sz w:val="36"/>
          <w:szCs w:val="36"/>
          <w:color w:val="auto"/>
          <w:vertAlign w:val="superscript"/>
        </w:rPr>
        <w:t>​</w:t>
      </w:r>
    </w:p>
    <w:p>
      <w:pPr>
        <w:ind w:left="20"/>
        <w:spacing w:after="0" w:line="211" w:lineRule="auto"/>
        <w:tabs>
          <w:tab w:leader="none" w:pos="738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Background</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40" w:right="160"/>
        <w:spacing w:after="0" w:line="253" w:lineRule="auto"/>
        <w:rPr>
          <w:sz w:val="20"/>
          <w:szCs w:val="20"/>
          <w:color w:val="auto"/>
        </w:rPr>
      </w:pPr>
      <w:r>
        <w:rPr>
          <w:rFonts w:ascii="Arial" w:cs="Arial" w:eastAsia="Arial" w:hAnsi="Arial"/>
          <w:sz w:val="18"/>
          <w:szCs w:val="18"/>
          <w:color w:val="auto"/>
        </w:rPr>
        <w:t>Mrs. Mutschler has over 30 years of business and technology experience in the energy industry. She held a range of strategic, operational and technology roles at BP plc that spanned its international businesses. Her most recent appointment at BP was the Head of Upstream Technology. Since her retirement from BP in 2014, she has provided independent consulting for the energy and technology industries. Mrs. Mutschler is currently a director at Antero Resources Corporation.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Wright State University, B.S., Geology/Geophysics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Stanford University, Executive Education Program</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Massachusetts Institute of Technology, Executive Education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400" w:val="left"/>
        </w:tabs>
        <w:rPr>
          <w:sz w:val="20"/>
          <w:szCs w:val="20"/>
          <w:color w:val="auto"/>
        </w:rPr>
      </w:pPr>
      <w:r>
        <w:rPr>
          <w:rFonts w:ascii="Arial" w:cs="Arial" w:eastAsia="Arial" w:hAnsi="Arial"/>
          <w:sz w:val="35"/>
          <w:szCs w:val="35"/>
          <w:color w:val="000000"/>
          <w:vertAlign w:val="superscript"/>
        </w:rPr>
        <w:t>​​</w:t>
      </w:r>
      <w:r>
        <w:rPr>
          <w:rFonts w:ascii="Arial" w:cs="Arial" w:eastAsia="Arial" w:hAnsi="Arial"/>
          <w:sz w:val="29"/>
          <w:szCs w:val="29"/>
          <w:b w:val="1"/>
          <w:bCs w:val="1"/>
          <w:color w:val="BA0C2F"/>
        </w:rPr>
        <w:t>GIRISHCHANDRA K. SALIGRAM</w:t>
      </w:r>
      <w:r>
        <w:rPr>
          <w:sz w:val="20"/>
          <w:szCs w:val="20"/>
          <w:color w:val="auto"/>
        </w:rPr>
        <w:tab/>
      </w:r>
      <w:r>
        <w:rPr>
          <w:rFonts w:ascii="Arial" w:cs="Arial" w:eastAsia="Arial" w:hAnsi="Arial"/>
          <w:sz w:val="36"/>
          <w:szCs w:val="36"/>
          <w:color w:val="auto"/>
          <w:vertAlign w:val="superscript"/>
        </w:rPr>
        <w:t>​</w:t>
      </w:r>
    </w:p>
    <w:p>
      <w:pPr>
        <w:ind w:left="20"/>
        <w:spacing w:after="0" w:line="211" w:lineRule="auto"/>
        <w:tabs>
          <w:tab w:leader="none" w:pos="738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Background</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40" w:right="120"/>
        <w:spacing w:after="0" w:line="250" w:lineRule="auto"/>
        <w:rPr>
          <w:sz w:val="20"/>
          <w:szCs w:val="20"/>
          <w:color w:val="auto"/>
        </w:rPr>
      </w:pPr>
      <w:r>
        <w:rPr>
          <w:rFonts w:ascii="Arial" w:cs="Arial" w:eastAsia="Arial" w:hAnsi="Arial"/>
          <w:sz w:val="18"/>
          <w:szCs w:val="18"/>
          <w:color w:val="auto"/>
        </w:rPr>
        <w:t>Mr. Saligram joined Weatherford as our President and CEO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w:t>
      </w:r>
    </w:p>
    <w:p>
      <w:pPr>
        <w:spacing w:after="0" w:line="3" w:lineRule="exact"/>
        <w:rPr>
          <w:sz w:val="20"/>
          <w:szCs w:val="20"/>
          <w:color w:val="auto"/>
        </w:rPr>
      </w:pPr>
    </w:p>
    <w:p>
      <w:pPr>
        <w:ind w:left="40" w:right="800"/>
        <w:spacing w:after="0" w:line="265" w:lineRule="auto"/>
        <w:rPr>
          <w:sz w:val="20"/>
          <w:szCs w:val="20"/>
          <w:color w:val="auto"/>
        </w:rPr>
      </w:pPr>
      <w:r>
        <w:rPr>
          <w:rFonts w:ascii="Arial" w:cs="Arial" w:eastAsia="Arial" w:hAnsi="Arial"/>
          <w:sz w:val="17"/>
          <w:szCs w:val="17"/>
          <w:color w:val="auto"/>
        </w:rPr>
        <w:t>GE Oil &amp; Gas. Prior to that, Mr. Saligram led the GE Oil &amp; Gas Contractual Services business based in Florence, Italy. Before his eight years in the oil and gas sector,</w:t>
      </w:r>
    </w:p>
    <w:p>
      <w:pPr>
        <w:ind w:left="40" w:right="320"/>
        <w:spacing w:after="0" w:line="266" w:lineRule="auto"/>
        <w:rPr>
          <w:sz w:val="20"/>
          <w:szCs w:val="20"/>
          <w:color w:val="auto"/>
        </w:rPr>
      </w:pPr>
      <w:r>
        <w:rPr>
          <w:rFonts w:ascii="Arial" w:cs="Arial" w:eastAsia="Arial" w:hAnsi="Arial"/>
          <w:sz w:val="18"/>
          <w:szCs w:val="18"/>
          <w:color w:val="auto"/>
        </w:rPr>
        <w:t>Mr. Saligram spent 12 years with GE Healthcare in engineering, services, operations, and other commercial roles.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Bangalore University, B.E, Computer Science &amp; Engineering</w:t>
      </w:r>
    </w:p>
    <w:p>
      <w:pPr>
        <w:spacing w:after="0" w:line="117" w:lineRule="exact"/>
        <w:rPr>
          <w:sz w:val="20"/>
          <w:szCs w:val="20"/>
          <w:color w:val="auto"/>
        </w:rPr>
      </w:pPr>
    </w:p>
    <w:p>
      <w:pPr>
        <w:jc w:val="both"/>
        <w:ind w:left="40" w:right="1500"/>
        <w:spacing w:after="0" w:line="451" w:lineRule="auto"/>
        <w:rPr>
          <w:sz w:val="20"/>
          <w:szCs w:val="20"/>
          <w:color w:val="auto"/>
        </w:rPr>
      </w:pPr>
      <w:r>
        <w:rPr>
          <w:rFonts w:ascii="Arial" w:cs="Arial" w:eastAsia="Arial" w:hAnsi="Arial"/>
          <w:sz w:val="17"/>
          <w:szCs w:val="17"/>
          <w:color w:val="auto"/>
        </w:rPr>
        <w:t>Virginia Polytechnic Institute and State University, M.S., Computer Science Northwestern University, Kellogg Graduate School of Management,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1131570</wp:posOffset>
            </wp:positionV>
            <wp:extent cx="6231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140"/>
            <w:col w:w="7460"/>
          </w:cols>
          <w:pgMar w:left="580" w:top="9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202"/>
        <w:spacing w:after="0"/>
        <w:tabs>
          <w:tab w:leader="none" w:pos="640" w:val="left"/>
        </w:tabs>
        <w:numPr>
          <w:ilvl w:val="0"/>
          <w:numId w:val="1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12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780" w:type="dxa"/>
            <w:vAlign w:val="bottom"/>
          </w:tcPr>
          <w:p>
            <w:pPr>
              <w:ind w:left="1580"/>
              <w:spacing w:after="0"/>
              <w:rPr>
                <w:sz w:val="20"/>
                <w:szCs w:val="20"/>
                <w:color w:val="auto"/>
              </w:rPr>
            </w:pPr>
            <w:r>
              <w:rPr>
                <w:rFonts w:ascii="Arial" w:cs="Arial" w:eastAsia="Arial" w:hAnsi="Arial"/>
                <w:sz w:val="14"/>
                <w:szCs w:val="14"/>
                <w:b w:val="1"/>
                <w:bCs w:val="1"/>
                <w:color w:val="666666"/>
              </w:rPr>
              <w:t>AGENDA ITEM 1</w:t>
            </w:r>
          </w:p>
        </w:tc>
      </w:tr>
      <w:tr>
        <w:trPr>
          <w:trHeight w:val="474"/>
        </w:trPr>
        <w:tc>
          <w:tcPr>
            <w:tcW w:w="1220" w:type="dxa"/>
            <w:vAlign w:val="bottom"/>
          </w:tcPr>
          <w:p>
            <w:pPr>
              <w:spacing w:after="0"/>
              <w:rPr>
                <w:sz w:val="20"/>
                <w:szCs w:val="20"/>
                <w:color w:val="auto"/>
              </w:rPr>
            </w:pPr>
            <w:r>
              <w:rPr>
                <w:rFonts w:ascii="Arial" w:cs="Arial" w:eastAsia="Arial" w:hAnsi="Arial"/>
                <w:sz w:val="18"/>
                <w:szCs w:val="18"/>
                <w:color w:val="auto"/>
              </w:rPr>
              <w:t>​</w:t>
            </w:r>
          </w:p>
        </w:tc>
        <w:tc>
          <w:tcPr>
            <w:tcW w:w="5840" w:type="dxa"/>
            <w:vAlign w:val="bottom"/>
          </w:tcPr>
          <w:p>
            <w:pPr>
              <w:ind w:left="116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9"/>
                <w:szCs w:val="29"/>
                <w:b w:val="1"/>
                <w:bCs w:val="1"/>
                <w:color w:val="BA0C2F"/>
              </w:rPr>
              <w:t>CHARLES M. SLEDGE</w:t>
            </w:r>
          </w:p>
        </w:tc>
        <w:tc>
          <w:tcPr>
            <w:tcW w:w="2780" w:type="dxa"/>
            <w:vAlign w:val="bottom"/>
          </w:tcPr>
          <w:p>
            <w:pPr>
              <w:ind w:left="2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-213360</wp:posOffset>
            </wp:positionV>
            <wp:extent cx="1508760" cy="1508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8760" cy="150876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ind w:left="2840"/>
        <w:spacing w:after="0" w:line="217"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Background</w:t>
      </w:r>
    </w:p>
    <w:p>
      <w:pPr>
        <w:spacing w:after="0" w:line="1" w:lineRule="exact"/>
        <w:rPr>
          <w:sz w:val="20"/>
          <w:szCs w:val="20"/>
          <w:color w:val="auto"/>
        </w:rPr>
      </w:pPr>
    </w:p>
    <w:p>
      <w:pPr>
        <w:ind w:left="2860"/>
        <w:spacing w:after="0" w:line="254" w:lineRule="auto"/>
        <w:rPr>
          <w:sz w:val="20"/>
          <w:szCs w:val="20"/>
          <w:color w:val="auto"/>
        </w:rPr>
      </w:pPr>
      <w:r>
        <w:rPr>
          <w:rFonts w:ascii="Arial" w:cs="Arial" w:eastAsia="Arial" w:hAnsi="Arial"/>
          <w:sz w:val="18"/>
          <w:szCs w:val="18"/>
          <w:color w:val="auto"/>
        </w:rPr>
        <w:t>Mr. Sledge previously served as the Chief Financial Officer of Cameron International Corporation, an oilfield services company, from 2008 until its sale to Schlumberger Limited 2016. Prior to that, he served as the Corporate Controller of Cameron International Corporation from 2001 until 2008. He currently serves on the boards of directors of Talos Energy Inc. and Noble Holding Corporation plc.</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Louisiana State University, B.S. in Accounting</w:t>
      </w:r>
    </w:p>
    <w:p>
      <w:pPr>
        <w:spacing w:after="0" w:line="104" w:lineRule="exact"/>
        <w:rPr>
          <w:sz w:val="20"/>
          <w:szCs w:val="20"/>
          <w:color w:val="auto"/>
        </w:rPr>
      </w:pPr>
    </w:p>
    <w:p>
      <w:pPr>
        <w:ind w:left="440"/>
        <w:spacing w:after="0"/>
        <w:tabs>
          <w:tab w:leader="none" w:pos="284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56</w:t>
      </w:r>
      <w:r>
        <w:rPr>
          <w:sz w:val="20"/>
          <w:szCs w:val="20"/>
          <w:color w:val="auto"/>
        </w:rPr>
        <w:tab/>
      </w:r>
      <w:r>
        <w:rPr>
          <w:rFonts w:ascii="Arial" w:cs="Arial" w:eastAsia="Arial" w:hAnsi="Arial"/>
          <w:sz w:val="17"/>
          <w:szCs w:val="17"/>
          <w:color w:val="auto"/>
        </w:rPr>
        <w:t>Harvard Business School, Advanced Management Program</w:t>
      </w:r>
    </w:p>
    <w:p>
      <w:pPr>
        <w:ind w:left="440"/>
        <w:spacing w:after="0" w:line="219" w:lineRule="auto"/>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ind w:left="440"/>
        <w:spacing w:after="0" w:line="203" w:lineRule="auto"/>
        <w:rPr>
          <w:sz w:val="20"/>
          <w:szCs w:val="20"/>
          <w:color w:val="auto"/>
        </w:rPr>
      </w:pPr>
      <w:r>
        <w:rPr>
          <w:rFonts w:ascii="Arial" w:cs="Arial" w:eastAsia="Arial" w:hAnsi="Arial"/>
          <w:sz w:val="18"/>
          <w:szCs w:val="18"/>
          <w:color w:val="auto"/>
        </w:rPr>
        <w:t>Dec. 2019</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ind w:left="540"/>
        <w:spacing w:after="0" w:line="213" w:lineRule="auto"/>
        <w:rPr>
          <w:sz w:val="20"/>
          <w:szCs w:val="20"/>
          <w:color w:val="auto"/>
        </w:rPr>
      </w:pPr>
      <w:r>
        <w:rPr>
          <w:rFonts w:ascii="Arial" w:cs="Arial" w:eastAsia="Arial" w:hAnsi="Arial"/>
          <w:sz w:val="18"/>
          <w:szCs w:val="18"/>
          <w:color w:val="auto"/>
        </w:rPr>
        <w:t>Chairperson of the Board</w:t>
      </w:r>
    </w:p>
    <w:p>
      <w:pPr>
        <w:ind w:left="540"/>
        <w:spacing w:after="0" w:line="204" w:lineRule="auto"/>
        <w:rPr>
          <w:sz w:val="20"/>
          <w:szCs w:val="20"/>
          <w:color w:val="auto"/>
        </w:rPr>
      </w:pPr>
      <w:r>
        <w:rPr>
          <w:rFonts w:ascii="Arial" w:cs="Arial" w:eastAsia="Arial" w:hAnsi="Arial"/>
          <w:sz w:val="18"/>
          <w:szCs w:val="18"/>
          <w:color w:val="auto"/>
        </w:rPr>
        <w:t>Audit (Chair)</w:t>
      </w:r>
    </w:p>
    <w:p>
      <w:pPr>
        <w:ind w:left="540"/>
        <w:spacing w:after="0" w:line="219" w:lineRule="auto"/>
        <w:rPr>
          <w:sz w:val="20"/>
          <w:szCs w:val="20"/>
          <w:color w:val="auto"/>
        </w:rPr>
      </w:pPr>
      <w:r>
        <w:rPr>
          <w:rFonts w:ascii="Arial" w:cs="Arial" w:eastAsia="Arial" w:hAnsi="Arial"/>
          <w:sz w:val="18"/>
          <w:szCs w:val="18"/>
          <w:color w:val="auto"/>
        </w:rPr>
        <w:t>Safety, Environment and</w:t>
      </w:r>
    </w:p>
    <w:p>
      <w:pPr>
        <w:ind w:left="540"/>
        <w:spacing w:after="0" w:line="235" w:lineRule="auto"/>
        <w:rPr>
          <w:sz w:val="20"/>
          <w:szCs w:val="20"/>
          <w:color w:val="auto"/>
        </w:rPr>
      </w:pPr>
      <w:r>
        <w:rPr>
          <w:rFonts w:ascii="Arial" w:cs="Arial" w:eastAsia="Arial" w:hAnsi="Arial"/>
          <w:sz w:val="18"/>
          <w:szCs w:val="18"/>
          <w:color w:val="auto"/>
        </w:rPr>
        <w:t>Sustainability</w:t>
      </w:r>
    </w:p>
    <w:p>
      <w:pPr>
        <w:ind w:left="440"/>
        <w:spacing w:after="0" w:line="203" w:lineRule="auto"/>
        <w:rPr>
          <w:sz w:val="20"/>
          <w:szCs w:val="20"/>
          <w:color w:val="auto"/>
        </w:rPr>
      </w:pPr>
      <w:r>
        <w:rPr>
          <w:rFonts w:ascii="Arial" w:cs="Arial" w:eastAsia="Arial" w:hAnsi="Arial"/>
          <w:sz w:val="18"/>
          <w:szCs w:val="18"/>
          <w:b w:val="1"/>
          <w:bCs w:val="1"/>
          <w:color w:val="auto"/>
        </w:rPr>
        <w:t>OTHER PUBLIC</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COMPANY BOARDS:</w:t>
      </w:r>
    </w:p>
    <w:p>
      <w:pPr>
        <w:ind w:left="540"/>
        <w:spacing w:after="0" w:line="213" w:lineRule="auto"/>
        <w:rPr>
          <w:sz w:val="20"/>
          <w:szCs w:val="20"/>
          <w:color w:val="auto"/>
        </w:rPr>
      </w:pPr>
      <w:r>
        <w:rPr>
          <w:rFonts w:ascii="Arial" w:cs="Arial" w:eastAsia="Arial" w:hAnsi="Arial"/>
          <w:sz w:val="18"/>
          <w:szCs w:val="18"/>
          <w:color w:val="auto"/>
        </w:rPr>
        <w:t>Noble Holding Corporation</w:t>
      </w:r>
    </w:p>
    <w:p>
      <w:pPr>
        <w:ind w:left="540"/>
        <w:spacing w:after="0" w:line="220" w:lineRule="auto"/>
        <w:rPr>
          <w:sz w:val="20"/>
          <w:szCs w:val="20"/>
          <w:color w:val="auto"/>
        </w:rPr>
      </w:pPr>
      <w:r>
        <w:rPr>
          <w:rFonts w:ascii="Arial" w:cs="Arial" w:eastAsia="Arial" w:hAnsi="Arial"/>
          <w:sz w:val="18"/>
          <w:szCs w:val="18"/>
          <w:color w:val="auto"/>
        </w:rPr>
        <w:t>plc</w:t>
      </w:r>
    </w:p>
    <w:p>
      <w:pPr>
        <w:ind w:left="540"/>
        <w:spacing w:after="0"/>
        <w:rPr>
          <w:sz w:val="20"/>
          <w:szCs w:val="20"/>
          <w:color w:val="auto"/>
        </w:rPr>
      </w:pPr>
      <w:r>
        <w:rPr>
          <w:rFonts w:ascii="Arial" w:cs="Arial" w:eastAsia="Arial" w:hAnsi="Arial"/>
          <w:sz w:val="18"/>
          <w:szCs w:val="18"/>
          <w:color w:val="auto"/>
        </w:rPr>
        <w:t>Talos Energy Inc.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4309745</wp:posOffset>
            </wp:positionV>
            <wp:extent cx="6231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4092" w:lineRule="exact"/>
        <w:rPr>
          <w:sz w:val="20"/>
          <w:szCs w:val="20"/>
          <w:color w:val="auto"/>
        </w:rPr>
      </w:pPr>
    </w:p>
    <w:p>
      <w:pPr>
        <w:sectPr>
          <w:pgSz w:w="11900" w:h="16838" w:orient="portrait"/>
          <w:cols w:equalWidth="0" w:num="2">
            <w:col w:w="10000" w:space="60"/>
            <w:col w:w="220"/>
          </w:cols>
          <w:pgMar w:left="580" w:top="9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OUR BOARD AND OUR BOARD COMMITTEES</w:t>
      </w:r>
    </w:p>
    <w:p>
      <w:pPr>
        <w:spacing w:after="0" w:line="48" w:lineRule="exact"/>
        <w:rPr>
          <w:sz w:val="20"/>
          <w:szCs w:val="20"/>
          <w:color w:val="auto"/>
        </w:rPr>
      </w:pPr>
    </w:p>
    <w:p>
      <w:pPr>
        <w:ind w:left="440" w:right="80"/>
        <w:spacing w:after="0" w:line="241" w:lineRule="auto"/>
        <w:rPr>
          <w:sz w:val="20"/>
          <w:szCs w:val="20"/>
          <w:color w:val="auto"/>
        </w:rPr>
      </w:pPr>
      <w:r>
        <w:rPr>
          <w:rFonts w:ascii="Arial" w:cs="Arial" w:eastAsia="Arial" w:hAnsi="Arial"/>
          <w:sz w:val="18"/>
          <w:szCs w:val="18"/>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86360</wp:posOffset>
            </wp:positionV>
            <wp:extent cx="1482725" cy="428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428625"/>
                    </a:xfrm>
                    <a:prstGeom prst="rect">
                      <a:avLst/>
                    </a:prstGeom>
                    <a:noFill/>
                  </pic:spPr>
                </pic:pic>
              </a:graphicData>
            </a:graphic>
          </wp:anchor>
        </w:drawing>
      </w:r>
    </w:p>
    <w:p>
      <w:pPr>
        <w:spacing w:after="0" w:line="116" w:lineRule="exact"/>
        <w:rPr>
          <w:sz w:val="20"/>
          <w:szCs w:val="20"/>
          <w:color w:val="auto"/>
        </w:rPr>
      </w:pPr>
    </w:p>
    <w:tbl>
      <w:tblPr>
        <w:tblLayout w:type="fixed"/>
        <w:tblInd w:w="440" w:type="dxa"/>
        <w:tblCellMar>
          <w:top w:w="0" w:type="dxa"/>
          <w:left w:w="0" w:type="dxa"/>
          <w:bottom w:w="0" w:type="dxa"/>
          <w:right w:w="0" w:type="dxa"/>
        </w:tblCellMar>
      </w:tblPr>
      <w:tr>
        <w:trPr>
          <w:trHeight w:val="274"/>
        </w:trPr>
        <w:tc>
          <w:tcPr>
            <w:tcW w:w="20" w:type="dxa"/>
            <w:vAlign w:val="bottom"/>
            <w:shd w:val="clear" w:color="auto" w:fill="BA0C2F"/>
          </w:tcPr>
          <w:p>
            <w:pPr>
              <w:spacing w:after="0"/>
              <w:rPr>
                <w:sz w:val="23"/>
                <w:szCs w:val="23"/>
                <w:color w:val="auto"/>
              </w:rPr>
            </w:pPr>
          </w:p>
        </w:tc>
        <w:tc>
          <w:tcPr>
            <w:tcW w:w="200" w:type="dxa"/>
            <w:vAlign w:val="bottom"/>
            <w:shd w:val="clear" w:color="auto" w:fill="BA0C2F"/>
          </w:tcPr>
          <w:p>
            <w:pPr>
              <w:spacing w:after="0"/>
              <w:rPr>
                <w:sz w:val="23"/>
                <w:szCs w:val="23"/>
                <w:color w:val="auto"/>
              </w:rPr>
            </w:pPr>
          </w:p>
        </w:tc>
        <w:tc>
          <w:tcPr>
            <w:tcW w:w="2140" w:type="dxa"/>
            <w:vAlign w:val="bottom"/>
            <w:shd w:val="clear" w:color="auto" w:fill="BA0C2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BA0C2F"/>
          </w:tcPr>
          <w:p>
            <w:pPr>
              <w:spacing w:after="0"/>
              <w:rPr>
                <w:sz w:val="23"/>
                <w:szCs w:val="23"/>
                <w:color w:val="auto"/>
              </w:rPr>
            </w:pPr>
          </w:p>
        </w:tc>
        <w:tc>
          <w:tcPr>
            <w:tcW w:w="60" w:type="dxa"/>
            <w:vAlign w:val="bottom"/>
            <w:shd w:val="clear" w:color="auto" w:fill="BA0C2F"/>
          </w:tcPr>
          <w:p>
            <w:pPr>
              <w:spacing w:after="0"/>
              <w:rPr>
                <w:sz w:val="23"/>
                <w:szCs w:val="23"/>
                <w:color w:val="auto"/>
              </w:rPr>
            </w:pPr>
          </w:p>
        </w:tc>
        <w:tc>
          <w:tcPr>
            <w:tcW w:w="1940" w:type="dxa"/>
            <w:vAlign w:val="bottom"/>
            <w:shd w:val="clear" w:color="auto" w:fill="BA0C2F"/>
          </w:tcPr>
          <w:p>
            <w:pPr>
              <w:ind w:left="240"/>
              <w:spacing w:after="0"/>
              <w:rPr>
                <w:sz w:val="20"/>
                <w:szCs w:val="20"/>
                <w:color w:val="auto"/>
              </w:rPr>
            </w:pPr>
            <w:r>
              <w:rPr>
                <w:rFonts w:ascii="Arial" w:cs="Arial" w:eastAsia="Arial" w:hAnsi="Arial"/>
                <w:sz w:val="14"/>
                <w:szCs w:val="14"/>
                <w:color w:val="FFFFFF"/>
              </w:rPr>
              <w:t>COMPENSATION AND</w:t>
            </w:r>
          </w:p>
        </w:tc>
        <w:tc>
          <w:tcPr>
            <w:tcW w:w="260" w:type="dxa"/>
            <w:vAlign w:val="bottom"/>
            <w:shd w:val="clear" w:color="auto" w:fill="BA0C2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BA0C2F"/>
          </w:tcPr>
          <w:p>
            <w:pPr>
              <w:spacing w:after="0"/>
              <w:rPr>
                <w:sz w:val="23"/>
                <w:szCs w:val="23"/>
                <w:color w:val="auto"/>
              </w:rPr>
            </w:pPr>
          </w:p>
        </w:tc>
        <w:tc>
          <w:tcPr>
            <w:tcW w:w="60" w:type="dxa"/>
            <w:vAlign w:val="bottom"/>
            <w:shd w:val="clear" w:color="auto" w:fill="BA0C2F"/>
          </w:tcPr>
          <w:p>
            <w:pPr>
              <w:spacing w:after="0"/>
              <w:rPr>
                <w:sz w:val="23"/>
                <w:szCs w:val="23"/>
                <w:color w:val="auto"/>
              </w:rPr>
            </w:pPr>
          </w:p>
        </w:tc>
        <w:tc>
          <w:tcPr>
            <w:tcW w:w="1940" w:type="dxa"/>
            <w:vAlign w:val="bottom"/>
            <w:shd w:val="clear" w:color="auto" w:fill="BA0C2F"/>
          </w:tcPr>
          <w:p>
            <w:pPr>
              <w:jc w:val="center"/>
              <w:spacing w:after="0"/>
              <w:rPr>
                <w:sz w:val="20"/>
                <w:szCs w:val="20"/>
                <w:color w:val="auto"/>
              </w:rPr>
            </w:pPr>
            <w:r>
              <w:rPr>
                <w:rFonts w:ascii="Arial" w:cs="Arial" w:eastAsia="Arial" w:hAnsi="Arial"/>
                <w:sz w:val="14"/>
                <w:szCs w:val="14"/>
                <w:color w:val="FFFFFF"/>
              </w:rPr>
              <w:t>NOMINATING AND</w:t>
            </w:r>
          </w:p>
        </w:tc>
        <w:tc>
          <w:tcPr>
            <w:tcW w:w="260" w:type="dxa"/>
            <w:vAlign w:val="bottom"/>
            <w:shd w:val="clear" w:color="auto" w:fill="BA0C2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FFFFFF"/>
              </w:rPr>
              <w:t>SAFETY, ENVIRONMENT</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BA0C2F"/>
          </w:tcPr>
          <w:p>
            <w:pPr>
              <w:spacing w:after="0"/>
              <w:rPr>
                <w:sz w:val="14"/>
                <w:szCs w:val="14"/>
                <w:color w:val="auto"/>
              </w:rPr>
            </w:pPr>
          </w:p>
        </w:tc>
        <w:tc>
          <w:tcPr>
            <w:tcW w:w="200" w:type="dxa"/>
            <w:vAlign w:val="bottom"/>
            <w:shd w:val="clear" w:color="auto" w:fill="BA0C2F"/>
          </w:tcPr>
          <w:p>
            <w:pPr>
              <w:spacing w:after="0"/>
              <w:rPr>
                <w:sz w:val="14"/>
                <w:szCs w:val="14"/>
                <w:color w:val="auto"/>
              </w:rPr>
            </w:pPr>
          </w:p>
        </w:tc>
        <w:tc>
          <w:tcPr>
            <w:tcW w:w="2140" w:type="dxa"/>
            <w:vAlign w:val="bottom"/>
            <w:shd w:val="clear" w:color="auto" w:fill="BA0C2F"/>
          </w:tcPr>
          <w:p>
            <w:pPr>
              <w:ind w:left="740"/>
              <w:spacing w:after="0"/>
              <w:rPr>
                <w:sz w:val="20"/>
                <w:szCs w:val="20"/>
                <w:color w:val="auto"/>
              </w:rPr>
            </w:pPr>
            <w:r>
              <w:rPr>
                <w:rFonts w:ascii="Arial" w:cs="Arial" w:eastAsia="Arial" w:hAnsi="Arial"/>
                <w:sz w:val="14"/>
                <w:szCs w:val="14"/>
                <w:color w:val="FFFFFF"/>
              </w:rPr>
              <w:t>AUDIT</w:t>
            </w:r>
          </w:p>
        </w:tc>
        <w:tc>
          <w:tcPr>
            <w:tcW w:w="100" w:type="dxa"/>
            <w:vAlign w:val="bottom"/>
          </w:tcPr>
          <w:p>
            <w:pPr>
              <w:spacing w:after="0"/>
              <w:rPr>
                <w:sz w:val="14"/>
                <w:szCs w:val="14"/>
                <w:color w:val="auto"/>
              </w:rPr>
            </w:pPr>
          </w:p>
        </w:tc>
        <w:tc>
          <w:tcPr>
            <w:tcW w:w="140" w:type="dxa"/>
            <w:vAlign w:val="bottom"/>
            <w:shd w:val="clear" w:color="auto" w:fill="BA0C2F"/>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1940" w:type="dxa"/>
            <w:vAlign w:val="bottom"/>
            <w:shd w:val="clear" w:color="auto" w:fill="BA0C2F"/>
          </w:tcPr>
          <w:p>
            <w:pPr>
              <w:ind w:left="240"/>
              <w:spacing w:after="0"/>
              <w:rPr>
                <w:sz w:val="20"/>
                <w:szCs w:val="20"/>
                <w:color w:val="auto"/>
              </w:rPr>
            </w:pPr>
            <w:r>
              <w:rPr>
                <w:rFonts w:ascii="Arial" w:cs="Arial" w:eastAsia="Arial" w:hAnsi="Arial"/>
                <w:sz w:val="14"/>
                <w:szCs w:val="14"/>
                <w:color w:val="FFFFFF"/>
              </w:rPr>
              <w:t>HUMAN RESOURCES</w:t>
            </w:r>
          </w:p>
        </w:tc>
        <w:tc>
          <w:tcPr>
            <w:tcW w:w="260" w:type="dxa"/>
            <w:vAlign w:val="bottom"/>
            <w:shd w:val="clear" w:color="auto" w:fill="BA0C2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BA0C2F"/>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1940" w:type="dxa"/>
            <w:vAlign w:val="bottom"/>
            <w:shd w:val="clear" w:color="auto" w:fill="BA0C2F"/>
          </w:tcPr>
          <w:p>
            <w:pPr>
              <w:jc w:val="center"/>
              <w:spacing w:after="0"/>
              <w:rPr>
                <w:sz w:val="20"/>
                <w:szCs w:val="20"/>
                <w:color w:val="auto"/>
              </w:rPr>
            </w:pPr>
            <w:r>
              <w:rPr>
                <w:rFonts w:ascii="Arial" w:cs="Arial" w:eastAsia="Arial" w:hAnsi="Arial"/>
                <w:sz w:val="14"/>
                <w:szCs w:val="14"/>
                <w:color w:val="FFFFFF"/>
              </w:rPr>
              <w:t>GOVERNANCE</w:t>
            </w:r>
          </w:p>
        </w:tc>
        <w:tc>
          <w:tcPr>
            <w:tcW w:w="260" w:type="dxa"/>
            <w:vAlign w:val="bottom"/>
            <w:shd w:val="clear" w:color="auto" w:fill="BA0C2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FFFFFF"/>
              </w:rPr>
              <w:t>AND SUSTAINABILITY</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20" w:type="dxa"/>
            <w:vAlign w:val="bottom"/>
            <w:gridSpan w:val="2"/>
            <w:shd w:val="clear" w:color="auto" w:fill="BA0C2F"/>
          </w:tcPr>
          <w:p>
            <w:pPr>
              <w:spacing w:after="0"/>
              <w:rPr>
                <w:sz w:val="20"/>
                <w:szCs w:val="20"/>
                <w:color w:val="auto"/>
              </w:rPr>
            </w:pPr>
            <w:r>
              <w:rPr>
                <w:rFonts w:ascii="Arial" w:cs="Arial" w:eastAsia="Arial" w:hAnsi="Arial"/>
                <w:sz w:val="14"/>
                <w:szCs w:val="14"/>
                <w:color w:val="FFFFFF"/>
              </w:rPr>
              <w:t>​</w:t>
            </w:r>
          </w:p>
        </w:tc>
        <w:tc>
          <w:tcPr>
            <w:tcW w:w="2140" w:type="dxa"/>
            <w:vAlign w:val="bottom"/>
            <w:shd w:val="clear" w:color="auto" w:fill="BA0C2F"/>
          </w:tcPr>
          <w:p>
            <w:pPr>
              <w:ind w:left="540"/>
              <w:spacing w:after="0"/>
              <w:rPr>
                <w:sz w:val="20"/>
                <w:szCs w:val="20"/>
                <w:color w:val="auto"/>
              </w:rPr>
            </w:pPr>
            <w:r>
              <w:rPr>
                <w:rFonts w:ascii="Arial" w:cs="Arial" w:eastAsia="Arial" w:hAnsi="Arial"/>
                <w:sz w:val="14"/>
                <w:szCs w:val="14"/>
                <w:color w:val="FFFFFF"/>
              </w:rPr>
              <w:t>COMMITTEE</w:t>
            </w:r>
          </w:p>
        </w:tc>
        <w:tc>
          <w:tcPr>
            <w:tcW w:w="100" w:type="dxa"/>
            <w:vAlign w:val="bottom"/>
          </w:tcPr>
          <w:p>
            <w:pPr>
              <w:spacing w:after="0"/>
              <w:rPr>
                <w:sz w:val="20"/>
                <w:szCs w:val="20"/>
                <w:color w:val="auto"/>
              </w:rPr>
            </w:pPr>
            <w:r>
              <w:rPr>
                <w:rFonts w:ascii="Arial" w:cs="Arial" w:eastAsia="Arial" w:hAnsi="Arial"/>
                <w:sz w:val="14"/>
                <w:szCs w:val="14"/>
                <w:color w:val="FFFFFF"/>
              </w:rPr>
              <w:t>​</w:t>
            </w:r>
          </w:p>
        </w:tc>
        <w:tc>
          <w:tcPr>
            <w:tcW w:w="140" w:type="dxa"/>
            <w:vAlign w:val="bottom"/>
            <w:shd w:val="clear" w:color="auto" w:fill="BA0C2F"/>
          </w:tcPr>
          <w:p>
            <w:pPr>
              <w:spacing w:after="0"/>
              <w:rPr>
                <w:sz w:val="20"/>
                <w:szCs w:val="20"/>
                <w:color w:val="auto"/>
              </w:rPr>
            </w:pPr>
            <w:r>
              <w:rPr>
                <w:rFonts w:ascii="Arial" w:cs="Arial" w:eastAsia="Arial" w:hAnsi="Arial"/>
                <w:sz w:val="14"/>
                <w:szCs w:val="14"/>
                <w:color w:val="FFFFFF"/>
              </w:rPr>
              <w:t>​</w:t>
            </w:r>
          </w:p>
        </w:tc>
        <w:tc>
          <w:tcPr>
            <w:tcW w:w="60" w:type="dxa"/>
            <w:vAlign w:val="bottom"/>
            <w:shd w:val="clear" w:color="auto" w:fill="BA0C2F"/>
          </w:tcPr>
          <w:p>
            <w:pPr>
              <w:spacing w:after="0"/>
              <w:rPr>
                <w:sz w:val="19"/>
                <w:szCs w:val="19"/>
                <w:color w:val="auto"/>
              </w:rPr>
            </w:pPr>
          </w:p>
        </w:tc>
        <w:tc>
          <w:tcPr>
            <w:tcW w:w="1940" w:type="dxa"/>
            <w:vAlign w:val="bottom"/>
            <w:shd w:val="clear" w:color="auto" w:fill="BA0C2F"/>
          </w:tcPr>
          <w:p>
            <w:pPr>
              <w:ind w:left="580"/>
              <w:spacing w:after="0"/>
              <w:rPr>
                <w:sz w:val="20"/>
                <w:szCs w:val="20"/>
                <w:color w:val="auto"/>
              </w:rPr>
            </w:pPr>
            <w:r>
              <w:rPr>
                <w:rFonts w:ascii="Arial" w:cs="Arial" w:eastAsia="Arial" w:hAnsi="Arial"/>
                <w:sz w:val="14"/>
                <w:szCs w:val="14"/>
                <w:color w:val="FFFFFF"/>
              </w:rPr>
              <w:t>COMMITTEE</w:t>
            </w:r>
          </w:p>
        </w:tc>
        <w:tc>
          <w:tcPr>
            <w:tcW w:w="260" w:type="dxa"/>
            <w:vAlign w:val="bottom"/>
            <w:shd w:val="clear" w:color="auto" w:fill="BA0C2F"/>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FFFFFF"/>
              </w:rPr>
              <w:t>​</w:t>
            </w:r>
          </w:p>
        </w:tc>
        <w:tc>
          <w:tcPr>
            <w:tcW w:w="140" w:type="dxa"/>
            <w:vAlign w:val="bottom"/>
            <w:shd w:val="clear" w:color="auto" w:fill="BA0C2F"/>
          </w:tcPr>
          <w:p>
            <w:pPr>
              <w:spacing w:after="0"/>
              <w:rPr>
                <w:sz w:val="20"/>
                <w:szCs w:val="20"/>
                <w:color w:val="auto"/>
              </w:rPr>
            </w:pPr>
            <w:r>
              <w:rPr>
                <w:rFonts w:ascii="Arial" w:cs="Arial" w:eastAsia="Arial" w:hAnsi="Arial"/>
                <w:sz w:val="14"/>
                <w:szCs w:val="14"/>
                <w:color w:val="FFFFFF"/>
              </w:rPr>
              <w:t>​</w:t>
            </w:r>
          </w:p>
        </w:tc>
        <w:tc>
          <w:tcPr>
            <w:tcW w:w="60" w:type="dxa"/>
            <w:vAlign w:val="bottom"/>
            <w:shd w:val="clear" w:color="auto" w:fill="BA0C2F"/>
          </w:tcPr>
          <w:p>
            <w:pPr>
              <w:spacing w:after="0"/>
              <w:rPr>
                <w:sz w:val="19"/>
                <w:szCs w:val="19"/>
                <w:color w:val="auto"/>
              </w:rPr>
            </w:pPr>
          </w:p>
        </w:tc>
        <w:tc>
          <w:tcPr>
            <w:tcW w:w="1940" w:type="dxa"/>
            <w:vAlign w:val="bottom"/>
            <w:shd w:val="clear" w:color="auto" w:fill="BA0C2F"/>
          </w:tcPr>
          <w:p>
            <w:pPr>
              <w:jc w:val="center"/>
              <w:ind w:left="8"/>
              <w:spacing w:after="0"/>
              <w:rPr>
                <w:sz w:val="20"/>
                <w:szCs w:val="20"/>
                <w:color w:val="auto"/>
              </w:rPr>
            </w:pPr>
            <w:r>
              <w:rPr>
                <w:rFonts w:ascii="Arial" w:cs="Arial" w:eastAsia="Arial" w:hAnsi="Arial"/>
                <w:sz w:val="14"/>
                <w:szCs w:val="14"/>
                <w:color w:val="FFFFFF"/>
              </w:rPr>
              <w:t>COMMITTEE</w:t>
            </w:r>
          </w:p>
        </w:tc>
        <w:tc>
          <w:tcPr>
            <w:tcW w:w="260" w:type="dxa"/>
            <w:vAlign w:val="bottom"/>
            <w:shd w:val="clear" w:color="auto" w:fill="BA0C2F"/>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FFFFFF"/>
              </w:rPr>
              <w:t>​</w:t>
            </w:r>
          </w:p>
        </w:tc>
        <w:tc>
          <w:tcPr>
            <w:tcW w:w="140" w:type="dxa"/>
            <w:vAlign w:val="bottom"/>
          </w:tcPr>
          <w:p>
            <w:pPr>
              <w:spacing w:after="0"/>
              <w:rPr>
                <w:sz w:val="20"/>
                <w:szCs w:val="20"/>
                <w:color w:val="auto"/>
              </w:rPr>
            </w:pPr>
            <w:r>
              <w:rPr>
                <w:rFonts w:ascii="Arial" w:cs="Arial" w:eastAsia="Arial" w:hAnsi="Arial"/>
                <w:sz w:val="14"/>
                <w:szCs w:val="14"/>
                <w:color w:val="FFFFFF"/>
              </w:rPr>
              <w:t>​</w:t>
            </w:r>
          </w:p>
        </w:tc>
        <w:tc>
          <w:tcPr>
            <w:tcW w:w="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FFFFFF"/>
              </w:rPr>
              <w:t>COMMITTEE</w:t>
            </w: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54"/>
        </w:trPr>
        <w:tc>
          <w:tcPr>
            <w:tcW w:w="20" w:type="dxa"/>
            <w:vAlign w:val="bottom"/>
            <w:tcBorders>
              <w:top w:val="single" w:sz="8" w:color="BA0C2F"/>
            </w:tcBorders>
            <w:vMerge w:val="restart"/>
          </w:tcPr>
          <w:p>
            <w:pPr>
              <w:spacing w:after="0"/>
              <w:rPr>
                <w:sz w:val="4"/>
                <w:szCs w:val="4"/>
                <w:color w:val="auto"/>
              </w:rPr>
            </w:pPr>
          </w:p>
        </w:tc>
        <w:tc>
          <w:tcPr>
            <w:tcW w:w="200" w:type="dxa"/>
            <w:vAlign w:val="bottom"/>
            <w:tcBorders>
              <w:top w:val="single" w:sz="8" w:color="CCCCCC"/>
            </w:tcBorders>
            <w:shd w:val="clear" w:color="auto" w:fill="CCCCCC"/>
          </w:tcPr>
          <w:p>
            <w:pPr>
              <w:spacing w:after="0"/>
              <w:rPr>
                <w:sz w:val="4"/>
                <w:szCs w:val="4"/>
                <w:color w:val="auto"/>
              </w:rPr>
            </w:pPr>
          </w:p>
        </w:tc>
        <w:tc>
          <w:tcPr>
            <w:tcW w:w="2140" w:type="dxa"/>
            <w:vAlign w:val="bottom"/>
            <w:tcBorders>
              <w:top w:val="single" w:sz="8" w:color="CCCCCC"/>
            </w:tcBorders>
            <w:shd w:val="clear" w:color="auto" w:fill="CCCCCC"/>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CCCC"/>
            </w:tcBorders>
            <w:shd w:val="clear" w:color="auto" w:fill="CCCCCC"/>
          </w:tcPr>
          <w:p>
            <w:pPr>
              <w:spacing w:after="0"/>
              <w:rPr>
                <w:sz w:val="4"/>
                <w:szCs w:val="4"/>
                <w:color w:val="auto"/>
              </w:rPr>
            </w:pPr>
          </w:p>
        </w:tc>
        <w:tc>
          <w:tcPr>
            <w:tcW w:w="60" w:type="dxa"/>
            <w:vAlign w:val="bottom"/>
            <w:tcBorders>
              <w:top w:val="single" w:sz="8" w:color="CCCCCC"/>
            </w:tcBorders>
            <w:shd w:val="clear" w:color="auto" w:fill="CCCCCC"/>
          </w:tcPr>
          <w:p>
            <w:pPr>
              <w:spacing w:after="0"/>
              <w:rPr>
                <w:sz w:val="4"/>
                <w:szCs w:val="4"/>
                <w:color w:val="auto"/>
              </w:rPr>
            </w:pPr>
          </w:p>
        </w:tc>
        <w:tc>
          <w:tcPr>
            <w:tcW w:w="1940" w:type="dxa"/>
            <w:vAlign w:val="bottom"/>
            <w:tcBorders>
              <w:top w:val="single" w:sz="8" w:color="CCCCCC"/>
            </w:tcBorders>
            <w:shd w:val="clear" w:color="auto" w:fill="CCCCCC"/>
          </w:tcPr>
          <w:p>
            <w:pPr>
              <w:spacing w:after="0"/>
              <w:rPr>
                <w:sz w:val="4"/>
                <w:szCs w:val="4"/>
                <w:color w:val="auto"/>
              </w:rPr>
            </w:pPr>
          </w:p>
        </w:tc>
        <w:tc>
          <w:tcPr>
            <w:tcW w:w="260" w:type="dxa"/>
            <w:vAlign w:val="bottom"/>
            <w:tcBorders>
              <w:top w:val="single" w:sz="8" w:color="CCCCCC"/>
            </w:tcBorders>
            <w:shd w:val="clear" w:color="auto" w:fill="CCCCCC"/>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CCCC"/>
            </w:tcBorders>
            <w:shd w:val="clear" w:color="auto" w:fill="CCCCCC"/>
          </w:tcPr>
          <w:p>
            <w:pPr>
              <w:spacing w:after="0"/>
              <w:rPr>
                <w:sz w:val="4"/>
                <w:szCs w:val="4"/>
                <w:color w:val="auto"/>
              </w:rPr>
            </w:pPr>
          </w:p>
        </w:tc>
        <w:tc>
          <w:tcPr>
            <w:tcW w:w="60" w:type="dxa"/>
            <w:vAlign w:val="bottom"/>
            <w:tcBorders>
              <w:top w:val="single" w:sz="8" w:color="CCCCCC"/>
            </w:tcBorders>
            <w:shd w:val="clear" w:color="auto" w:fill="CCCCCC"/>
          </w:tcPr>
          <w:p>
            <w:pPr>
              <w:spacing w:after="0"/>
              <w:rPr>
                <w:sz w:val="4"/>
                <w:szCs w:val="4"/>
                <w:color w:val="auto"/>
              </w:rPr>
            </w:pPr>
          </w:p>
        </w:tc>
        <w:tc>
          <w:tcPr>
            <w:tcW w:w="1940" w:type="dxa"/>
            <w:vAlign w:val="bottom"/>
            <w:tcBorders>
              <w:top w:val="single" w:sz="8" w:color="CCCCCC"/>
            </w:tcBorders>
            <w:shd w:val="clear" w:color="auto" w:fill="CCCCCC"/>
          </w:tcPr>
          <w:p>
            <w:pPr>
              <w:spacing w:after="0"/>
              <w:rPr>
                <w:sz w:val="4"/>
                <w:szCs w:val="4"/>
                <w:color w:val="auto"/>
              </w:rPr>
            </w:pPr>
          </w:p>
        </w:tc>
        <w:tc>
          <w:tcPr>
            <w:tcW w:w="260" w:type="dxa"/>
            <w:vAlign w:val="bottom"/>
            <w:tcBorders>
              <w:top w:val="single" w:sz="8" w:color="CCCCCC"/>
            </w:tcBorders>
            <w:shd w:val="clear" w:color="auto" w:fill="CCCCCC"/>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CCCC"/>
            </w:tcBorders>
            <w:shd w:val="clear" w:color="auto" w:fill="CCCCCC"/>
          </w:tcPr>
          <w:p>
            <w:pPr>
              <w:spacing w:after="0"/>
              <w:rPr>
                <w:sz w:val="4"/>
                <w:szCs w:val="4"/>
                <w:color w:val="auto"/>
              </w:rPr>
            </w:pPr>
          </w:p>
        </w:tc>
        <w:tc>
          <w:tcPr>
            <w:tcW w:w="60" w:type="dxa"/>
            <w:vAlign w:val="bottom"/>
            <w:tcBorders>
              <w:top w:val="single" w:sz="8" w:color="CCCCCC"/>
            </w:tcBorders>
            <w:shd w:val="clear" w:color="auto" w:fill="CCCCCC"/>
          </w:tcPr>
          <w:p>
            <w:pPr>
              <w:spacing w:after="0"/>
              <w:rPr>
                <w:sz w:val="4"/>
                <w:szCs w:val="4"/>
                <w:color w:val="auto"/>
              </w:rPr>
            </w:pPr>
          </w:p>
        </w:tc>
        <w:tc>
          <w:tcPr>
            <w:tcW w:w="1940" w:type="dxa"/>
            <w:vAlign w:val="bottom"/>
            <w:tcBorders>
              <w:top w:val="single" w:sz="8" w:color="CCCCCC"/>
            </w:tcBorders>
            <w:shd w:val="clear" w:color="auto" w:fill="CCCCCC"/>
          </w:tcPr>
          <w:p>
            <w:pPr>
              <w:spacing w:after="0"/>
              <w:rPr>
                <w:sz w:val="4"/>
                <w:szCs w:val="4"/>
                <w:color w:val="auto"/>
              </w:rPr>
            </w:pPr>
          </w:p>
        </w:tc>
        <w:tc>
          <w:tcPr>
            <w:tcW w:w="180" w:type="dxa"/>
            <w:vAlign w:val="bottom"/>
            <w:tcBorders>
              <w:top w:val="single" w:sz="8" w:color="CCCCCC"/>
            </w:tcBorders>
            <w:shd w:val="clear" w:color="auto" w:fill="CCCCCC"/>
          </w:tcPr>
          <w:p>
            <w:pPr>
              <w:spacing w:after="0"/>
              <w:rPr>
                <w:sz w:val="4"/>
                <w:szCs w:val="4"/>
                <w:color w:val="auto"/>
              </w:rPr>
            </w:pPr>
          </w:p>
        </w:tc>
        <w:tc>
          <w:tcPr>
            <w:tcW w:w="40" w:type="dxa"/>
            <w:vAlign w:val="bottom"/>
            <w:tcBorders>
              <w:left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00" w:type="dxa"/>
            <w:vAlign w:val="bottom"/>
          </w:tcPr>
          <w:p>
            <w:pPr>
              <w:jc w:val="center"/>
              <w:spacing w:after="0" w:line="153" w:lineRule="exact"/>
              <w:rPr>
                <w:sz w:val="20"/>
                <w:szCs w:val="20"/>
                <w:color w:val="auto"/>
              </w:rPr>
            </w:pPr>
            <w:r>
              <w:rPr>
                <w:rFonts w:ascii="Arial" w:cs="Arial" w:eastAsia="Arial" w:hAnsi="Arial"/>
                <w:sz w:val="14"/>
                <w:szCs w:val="14"/>
                <w:color w:val="auto"/>
              </w:rPr>
              <w:t>​ ​​</w:t>
            </w:r>
          </w:p>
        </w:tc>
        <w:tc>
          <w:tcPr>
            <w:tcW w:w="2140" w:type="dxa"/>
            <w:vAlign w:val="bottom"/>
          </w:tcPr>
          <w:p>
            <w:pPr>
              <w:ind w:left="1880"/>
              <w:spacing w:after="0" w:line="153"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3"/>
                <w:szCs w:val="13"/>
                <w:color w:val="auto"/>
              </w:rPr>
            </w:pPr>
          </w:p>
        </w:tc>
        <w:tc>
          <w:tcPr>
            <w:tcW w:w="1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20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3"/>
                <w:szCs w:val="13"/>
                <w:color w:val="auto"/>
              </w:rPr>
            </w:pPr>
          </w:p>
        </w:tc>
        <w:tc>
          <w:tcPr>
            <w:tcW w:w="1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20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3"/>
                <w:szCs w:val="13"/>
                <w:color w:val="auto"/>
              </w:rPr>
            </w:pPr>
          </w:p>
        </w:tc>
        <w:tc>
          <w:tcPr>
            <w:tcW w:w="1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20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ind w:left="120"/>
              <w:spacing w:after="0"/>
              <w:rPr>
                <w:sz w:val="20"/>
                <w:szCs w:val="20"/>
                <w:color w:val="auto"/>
              </w:rPr>
            </w:pPr>
            <w:r>
              <w:rPr>
                <w:rFonts w:ascii="Arial" w:cs="Arial" w:eastAsia="Arial" w:hAnsi="Arial"/>
                <w:sz w:val="14"/>
                <w:szCs w:val="14"/>
                <w:b w:val="1"/>
                <w:bCs w:val="1"/>
                <w:color w:val="auto"/>
              </w:rPr>
              <w:t>Members: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b w:val="1"/>
                <w:bCs w:val="1"/>
                <w:color w:val="auto"/>
              </w:rPr>
              <w:t>Members: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b w:val="1"/>
                <w:bCs w:val="1"/>
                <w:color w:val="auto"/>
              </w:rPr>
              <w:t>Members: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Members: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Mr. Duster,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 Duster (Chair),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 Duster,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Mrs. Mutschler (Chair),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ind w:left="120"/>
              <w:spacing w:after="0"/>
              <w:rPr>
                <w:sz w:val="20"/>
                <w:szCs w:val="20"/>
                <w:color w:val="auto"/>
              </w:rPr>
            </w:pPr>
            <w:r>
              <w:rPr>
                <w:rFonts w:ascii="Arial" w:cs="Arial" w:eastAsia="Arial" w:hAnsi="Arial"/>
                <w:sz w:val="14"/>
                <w:szCs w:val="14"/>
                <w:color w:val="auto"/>
              </w:rPr>
              <w:t>Mr. Goldman (Vice Chair),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 Goldman,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 Goldman (Chair),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Mr. Saligram,</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140" w:type="dxa"/>
            <w:vAlign w:val="bottom"/>
          </w:tcPr>
          <w:p>
            <w:pPr>
              <w:ind w:left="120"/>
              <w:spacing w:after="0"/>
              <w:rPr>
                <w:sz w:val="20"/>
                <w:szCs w:val="20"/>
                <w:color w:val="auto"/>
              </w:rPr>
            </w:pPr>
            <w:r>
              <w:rPr>
                <w:rFonts w:ascii="Arial" w:cs="Arial" w:eastAsia="Arial" w:hAnsi="Arial"/>
                <w:sz w:val="14"/>
                <w:szCs w:val="14"/>
                <w:color w:val="auto"/>
              </w:rPr>
              <w:t>Mr. Sledge (Chair)</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Mrs. Mutschler</w:t>
            </w:r>
          </w:p>
        </w:tc>
        <w:tc>
          <w:tcPr>
            <w:tcW w:w="26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Mrs. Mutschler</w:t>
            </w:r>
          </w:p>
        </w:tc>
        <w:tc>
          <w:tcPr>
            <w:tcW w:w="26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Mr. Sledge</w:t>
            </w:r>
          </w:p>
        </w:tc>
        <w:tc>
          <w:tcPr>
            <w:tcW w:w="18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shd w:val="clear" w:color="auto" w:fill="CCCCCC"/>
          </w:tcPr>
          <w:p>
            <w:pPr>
              <w:spacing w:after="0" w:line="143" w:lineRule="exact"/>
              <w:rPr>
                <w:sz w:val="20"/>
                <w:szCs w:val="20"/>
                <w:color w:val="auto"/>
              </w:rPr>
            </w:pPr>
            <w:r>
              <w:rPr>
                <w:rFonts w:ascii="Arial" w:cs="Arial" w:eastAsia="Arial" w:hAnsi="Arial"/>
                <w:sz w:val="14"/>
                <w:szCs w:val="14"/>
                <w:color w:val="auto"/>
              </w:rPr>
              <w:t>​</w:t>
            </w:r>
          </w:p>
        </w:tc>
        <w:tc>
          <w:tcPr>
            <w:tcW w:w="2000" w:type="dxa"/>
            <w:vAlign w:val="bottom"/>
            <w:gridSpan w:val="2"/>
            <w:vMerge w:val="restart"/>
            <w:shd w:val="clear" w:color="auto" w:fill="CCCCCC"/>
          </w:tcPr>
          <w:p>
            <w:pPr>
              <w:ind w:left="40"/>
              <w:spacing w:after="0"/>
              <w:rPr>
                <w:sz w:val="20"/>
                <w:szCs w:val="20"/>
                <w:color w:val="auto"/>
              </w:rPr>
            </w:pPr>
            <w:r>
              <w:rPr>
                <w:rFonts w:ascii="Arial" w:cs="Arial" w:eastAsia="Arial" w:hAnsi="Arial"/>
                <w:sz w:val="14"/>
                <w:szCs w:val="14"/>
                <w:b w:val="1"/>
                <w:bCs w:val="1"/>
                <w:color w:val="auto"/>
              </w:rPr>
              <w:t>Primary Responsibilities:</w:t>
            </w:r>
          </w:p>
        </w:tc>
        <w:tc>
          <w:tcPr>
            <w:tcW w:w="260" w:type="dxa"/>
            <w:vAlign w:val="bottom"/>
            <w:shd w:val="clear" w:color="auto" w:fill="CCCCCC"/>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shd w:val="clear" w:color="auto" w:fill="CCCCCC"/>
          </w:tcPr>
          <w:p>
            <w:pPr>
              <w:spacing w:after="0" w:line="143" w:lineRule="exact"/>
              <w:rPr>
                <w:sz w:val="20"/>
                <w:szCs w:val="20"/>
                <w:color w:val="auto"/>
              </w:rPr>
            </w:pPr>
            <w:r>
              <w:rPr>
                <w:rFonts w:ascii="Arial" w:cs="Arial" w:eastAsia="Arial" w:hAnsi="Arial"/>
                <w:sz w:val="14"/>
                <w:szCs w:val="14"/>
                <w:color w:val="auto"/>
              </w:rPr>
              <w:t>​</w:t>
            </w:r>
          </w:p>
        </w:tc>
        <w:tc>
          <w:tcPr>
            <w:tcW w:w="20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b w:val="1"/>
                <w:bCs w:val="1"/>
                <w:color w:val="auto"/>
              </w:rPr>
              <w:t>Primary Responsibilities:</w:t>
            </w:r>
          </w:p>
        </w:tc>
        <w:tc>
          <w:tcPr>
            <w:tcW w:w="260" w:type="dxa"/>
            <w:vAlign w:val="bottom"/>
            <w:shd w:val="clear" w:color="auto" w:fill="CCCCCC"/>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shd w:val="clear" w:color="auto" w:fill="CCCCCC"/>
          </w:tcPr>
          <w:p>
            <w:pPr>
              <w:spacing w:after="0" w:line="143" w:lineRule="exact"/>
              <w:rPr>
                <w:sz w:val="20"/>
                <w:szCs w:val="20"/>
                <w:color w:val="auto"/>
              </w:rPr>
            </w:pPr>
            <w:r>
              <w:rPr>
                <w:rFonts w:ascii="Arial" w:cs="Arial" w:eastAsia="Arial" w:hAnsi="Arial"/>
                <w:sz w:val="14"/>
                <w:szCs w:val="14"/>
                <w:color w:val="auto"/>
              </w:rPr>
              <w:t>​</w:t>
            </w:r>
          </w:p>
        </w:tc>
        <w:tc>
          <w:tcPr>
            <w:tcW w:w="20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b w:val="1"/>
                <w:bCs w:val="1"/>
                <w:color w:val="auto"/>
              </w:rPr>
              <w:t>Primary Responsibilities:</w:t>
            </w:r>
          </w:p>
        </w:tc>
        <w:tc>
          <w:tcPr>
            <w:tcW w:w="180" w:type="dxa"/>
            <w:vAlign w:val="bottom"/>
            <w:shd w:val="clear" w:color="auto" w:fill="CCCCCC"/>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Primary Responsibilities:</w:t>
            </w:r>
          </w:p>
        </w:tc>
        <w:tc>
          <w:tcPr>
            <w:tcW w:w="100" w:type="dxa"/>
            <w:vAlign w:val="bottom"/>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2000" w:type="dxa"/>
            <w:vAlign w:val="bottom"/>
            <w:gridSpan w:val="2"/>
            <w:vMerge w:val="continue"/>
            <w:shd w:val="clear" w:color="auto" w:fill="CCCCCC"/>
          </w:tcPr>
          <w:p>
            <w:pPr>
              <w:spacing w:after="0"/>
              <w:rPr>
                <w:sz w:val="17"/>
                <w:szCs w:val="17"/>
                <w:color w:val="auto"/>
              </w:rPr>
            </w:pPr>
          </w:p>
        </w:tc>
        <w:tc>
          <w:tcPr>
            <w:tcW w:w="260" w:type="dxa"/>
            <w:vAlign w:val="bottom"/>
            <w:shd w:val="clear" w:color="auto" w:fill="CCCCCC"/>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2000" w:type="dxa"/>
            <w:vAlign w:val="bottom"/>
            <w:gridSpan w:val="2"/>
            <w:vMerge w:val="continue"/>
            <w:shd w:val="clear" w:color="auto" w:fill="CCCCCC"/>
          </w:tcPr>
          <w:p>
            <w:pPr>
              <w:spacing w:after="0"/>
              <w:rPr>
                <w:sz w:val="17"/>
                <w:szCs w:val="17"/>
                <w:color w:val="auto"/>
              </w:rPr>
            </w:pPr>
          </w:p>
        </w:tc>
        <w:tc>
          <w:tcPr>
            <w:tcW w:w="260" w:type="dxa"/>
            <w:vAlign w:val="bottom"/>
            <w:shd w:val="clear" w:color="auto" w:fill="CCCCCC"/>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2000" w:type="dxa"/>
            <w:vAlign w:val="bottom"/>
            <w:gridSpan w:val="2"/>
            <w:vMerge w:val="continue"/>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4"/>
                <w:szCs w:val="14"/>
                <w:color w:val="BA0C2F"/>
              </w:rPr>
              <w:t>•</w:t>
            </w:r>
          </w:p>
        </w:tc>
        <w:tc>
          <w:tcPr>
            <w:tcW w:w="2140" w:type="dxa"/>
            <w:vAlign w:val="bottom"/>
          </w:tcPr>
          <w:p>
            <w:pPr>
              <w:spacing w:after="0"/>
              <w:rPr>
                <w:sz w:val="20"/>
                <w:szCs w:val="20"/>
                <w:color w:val="auto"/>
              </w:rPr>
            </w:pPr>
            <w:r>
              <w:rPr>
                <w:rFonts w:ascii="Arial" w:cs="Arial" w:eastAsia="Arial" w:hAnsi="Arial"/>
                <w:sz w:val="14"/>
                <w:szCs w:val="14"/>
                <w:color w:val="auto"/>
              </w:rPr>
              <w:t>Overseeing the integrity of our</w:t>
            </w:r>
          </w:p>
        </w:tc>
        <w:tc>
          <w:tcPr>
            <w:tcW w:w="100" w:type="dxa"/>
            <w:vAlign w:val="bottom"/>
          </w:tcPr>
          <w:p>
            <w:pPr>
              <w:spacing w:after="0"/>
              <w:rPr>
                <w:sz w:val="18"/>
                <w:szCs w:val="18"/>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Monitoring and reviewing the</w:t>
            </w:r>
          </w:p>
        </w:tc>
        <w:tc>
          <w:tcPr>
            <w:tcW w:w="260" w:type="dxa"/>
            <w:vAlign w:val="bottom"/>
            <w:shd w:val="clear" w:color="auto" w:fill="CCCCC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8"/>
                <w:szCs w:val="18"/>
                <w:color w:val="auto"/>
              </w:rPr>
            </w:pPr>
          </w:p>
        </w:tc>
        <w:tc>
          <w:tcPr>
            <w:tcW w:w="2200" w:type="dxa"/>
            <w:vAlign w:val="bottom"/>
            <w:gridSpan w:val="2"/>
            <w:shd w:val="clear" w:color="auto" w:fill="CCCCCC"/>
          </w:tcPr>
          <w:p>
            <w:pPr>
              <w:ind w:left="20"/>
              <w:spacing w:after="0"/>
              <w:rPr>
                <w:sz w:val="20"/>
                <w:szCs w:val="20"/>
                <w:color w:val="auto"/>
              </w:rPr>
            </w:pPr>
            <w:r>
              <w:rPr>
                <w:rFonts w:ascii="Arial" w:cs="Arial" w:eastAsia="Arial" w:hAnsi="Arial"/>
                <w:sz w:val="14"/>
                <w:szCs w:val="14"/>
                <w:color w:val="auto"/>
              </w:rPr>
              <w:t>Identifying individuals qualified to</w:t>
            </w:r>
          </w:p>
        </w:tc>
        <w:tc>
          <w:tcPr>
            <w:tcW w:w="100" w:type="dxa"/>
            <w:vAlign w:val="bottom"/>
          </w:tcPr>
          <w:p>
            <w:pPr>
              <w:spacing w:after="0"/>
              <w:rPr>
                <w:sz w:val="18"/>
                <w:szCs w:val="18"/>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Reviewing the Company’s</w:t>
            </w:r>
          </w:p>
        </w:tc>
        <w:tc>
          <w:tcPr>
            <w:tcW w:w="180" w:type="dxa"/>
            <w:vAlign w:val="bottom"/>
            <w:shd w:val="clear" w:color="auto" w:fill="CCCCC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financial reporting process and</w:t>
            </w: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Company’s overall</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serve as Board members;</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policies relating to quality,</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systems of internal accounting</w:t>
            </w: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5"/>
                <w:szCs w:val="1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Recommending director</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health, safety, security,</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and financial controls;</w:t>
            </w: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program design to ensure the</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environmental (“QHSSE”)</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nominees for each AGM, to fill</w:t>
            </w: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program discourages excessive</w:t>
            </w: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stewardship, and corporate</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BA0C2F"/>
              </w:rPr>
              <w:t>•</w:t>
            </w:r>
          </w:p>
        </w:tc>
        <w:tc>
          <w:tcPr>
            <w:tcW w:w="2140" w:type="dxa"/>
            <w:vAlign w:val="bottom"/>
            <w:vMerge w:val="restart"/>
          </w:tcPr>
          <w:p>
            <w:pPr>
              <w:spacing w:after="0"/>
              <w:rPr>
                <w:sz w:val="20"/>
                <w:szCs w:val="20"/>
                <w:color w:val="auto"/>
              </w:rPr>
            </w:pPr>
            <w:r>
              <w:rPr>
                <w:rFonts w:ascii="Arial" w:cs="Arial" w:eastAsia="Arial" w:hAnsi="Arial"/>
                <w:sz w:val="14"/>
                <w:szCs w:val="14"/>
                <w:color w:val="auto"/>
              </w:rPr>
              <w:t>Reviewing our financial</w:t>
            </w: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2200" w:type="dxa"/>
            <w:vAlign w:val="bottom"/>
            <w:gridSpan w:val="2"/>
            <w:vMerge w:val="continue"/>
            <w:shd w:val="clear" w:color="auto" w:fill="CCCCCC"/>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any vacancies, and</w:t>
            </w:r>
          </w:p>
        </w:tc>
        <w:tc>
          <w:tcPr>
            <w:tcW w:w="260" w:type="dxa"/>
            <w:vAlign w:val="bottom"/>
            <w:shd w:val="clear" w:color="auto" w:fill="CCCCCC"/>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continue"/>
            <w:shd w:val="clear" w:color="auto" w:fill="CCCCCC"/>
          </w:tcPr>
          <w:p>
            <w:pPr>
              <w:spacing w:after="0"/>
              <w:rPr>
                <w:sz w:val="11"/>
                <w:szCs w:val="11"/>
                <w:color w:val="auto"/>
              </w:rPr>
            </w:pPr>
          </w:p>
        </w:tc>
        <w:tc>
          <w:tcPr>
            <w:tcW w:w="180" w:type="dxa"/>
            <w:vAlign w:val="bottom"/>
            <w:shd w:val="clear" w:color="auto" w:fill="CCCCC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risk taking;</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responsibility, including</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statements;</w:t>
            </w: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recommending directors for each</w:t>
            </w: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sustainability, socially</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BA0C2F"/>
              </w:rPr>
              <w:t>•</w:t>
            </w:r>
          </w:p>
        </w:tc>
        <w:tc>
          <w:tcPr>
            <w:tcW w:w="2140" w:type="dxa"/>
            <w:vAlign w:val="bottom"/>
            <w:vMerge w:val="restart"/>
          </w:tcPr>
          <w:p>
            <w:pPr>
              <w:spacing w:after="0"/>
              <w:rPr>
                <w:sz w:val="20"/>
                <w:szCs w:val="20"/>
                <w:color w:val="auto"/>
              </w:rPr>
            </w:pPr>
            <w:r>
              <w:rPr>
                <w:rFonts w:ascii="Arial" w:cs="Arial" w:eastAsia="Arial" w:hAnsi="Arial"/>
                <w:sz w:val="14"/>
                <w:szCs w:val="14"/>
                <w:color w:val="auto"/>
              </w:rPr>
              <w:t>Overseeing our compliance with</w:t>
            </w:r>
          </w:p>
        </w:tc>
        <w:tc>
          <w:tcPr>
            <w:tcW w:w="100" w:type="dxa"/>
            <w:vAlign w:val="bottom"/>
          </w:tcPr>
          <w:p>
            <w:pPr>
              <w:spacing w:after="0"/>
              <w:rPr>
                <w:sz w:val="10"/>
                <w:szCs w:val="10"/>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Assessing the compensation</w:t>
            </w: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committee;</w:t>
            </w: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responsible engagement,</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program’s continued</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legal and regulatory</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5"/>
                <w:szCs w:val="5"/>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Reviewing and recommending</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security, ethics and quality</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competitiveness and consistency</w:t>
            </w: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requirements;</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continue"/>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changes to the Company’s</w:t>
            </w: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assurance and overseeing</w:t>
            </w: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with compensation philosophy,</w:t>
            </w: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BA0C2F"/>
              </w:rPr>
              <w:t>•</w:t>
            </w:r>
          </w:p>
        </w:tc>
        <w:tc>
          <w:tcPr>
            <w:tcW w:w="2140" w:type="dxa"/>
            <w:vAlign w:val="bottom"/>
            <w:vMerge w:val="restart"/>
          </w:tcPr>
          <w:p>
            <w:pPr>
              <w:spacing w:after="0"/>
              <w:rPr>
                <w:sz w:val="20"/>
                <w:szCs w:val="20"/>
                <w:color w:val="auto"/>
              </w:rPr>
            </w:pPr>
            <w:r>
              <w:rPr>
                <w:rFonts w:ascii="Arial" w:cs="Arial" w:eastAsia="Arial" w:hAnsi="Arial"/>
                <w:sz w:val="14"/>
                <w:szCs w:val="14"/>
                <w:color w:val="auto"/>
              </w:rPr>
              <w:t>Authorizing and being</w:t>
            </w: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2200" w:type="dxa"/>
            <w:vAlign w:val="bottom"/>
            <w:gridSpan w:val="2"/>
            <w:vMerge w:val="continue"/>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Corporate Governance</w:t>
            </w: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continue"/>
            <w:shd w:val="clear" w:color="auto" w:fill="CCCCCC"/>
          </w:tcPr>
          <w:p>
            <w:pPr>
              <w:spacing w:after="0"/>
              <w:rPr>
                <w:sz w:val="7"/>
                <w:szCs w:val="7"/>
                <w:color w:val="auto"/>
              </w:rPr>
            </w:pPr>
          </w:p>
        </w:tc>
        <w:tc>
          <w:tcPr>
            <w:tcW w:w="180" w:type="dxa"/>
            <w:vAlign w:val="bottom"/>
            <w:shd w:val="clear" w:color="auto" w:fill="CCCCCC"/>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12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adherence and enforcement of</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corporate strategy and</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120" w:type="dxa"/>
            <w:vAlign w:val="bottom"/>
            <w:gridSpan w:val="2"/>
            <w:vMerge w:val="continue"/>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Principles for Board approval;</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120" w:type="dxa"/>
            <w:vAlign w:val="bottom"/>
            <w:gridSpan w:val="2"/>
            <w:vMerge w:val="continue"/>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responsible for the appointment,</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these policies and related</w:t>
            </w: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objectives;</w:t>
            </w: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shd w:val="clear" w:color="auto" w:fill="CCCCCC"/>
          </w:tcPr>
          <w:p>
            <w:pPr>
              <w:spacing w:after="0"/>
              <w:rPr>
                <w:sz w:val="3"/>
                <w:szCs w:val="3"/>
                <w:color w:val="auto"/>
              </w:rPr>
            </w:pP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180" w:type="dxa"/>
            <w:vAlign w:val="bottom"/>
            <w:shd w:val="clear" w:color="auto" w:fill="CCCCC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compensation, retention, and</w:t>
            </w: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continue"/>
            <w:shd w:val="clear" w:color="auto" w:fill="CCCCCC"/>
          </w:tcPr>
          <w:p>
            <w:pPr>
              <w:spacing w:after="0"/>
              <w:rPr>
                <w:sz w:val="7"/>
                <w:szCs w:val="7"/>
                <w:color w:val="auto"/>
              </w:rPr>
            </w:pP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7"/>
                <w:szCs w:val="7"/>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Overseeing the Board in its</w:t>
            </w: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programs;</w:t>
            </w:r>
          </w:p>
        </w:tc>
        <w:tc>
          <w:tcPr>
            <w:tcW w:w="180" w:type="dxa"/>
            <w:vAlign w:val="bottom"/>
            <w:shd w:val="clear" w:color="auto" w:fill="CCCCCC"/>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8"/>
                <w:szCs w:val="8"/>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Reviewing and approving</w:t>
            </w:r>
          </w:p>
        </w:tc>
        <w:tc>
          <w:tcPr>
            <w:tcW w:w="260" w:type="dxa"/>
            <w:vAlign w:val="bottom"/>
            <w:shd w:val="clear" w:color="auto" w:fill="CCCCCC"/>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shd w:val="clear" w:color="auto" w:fill="CCCCCC"/>
          </w:tcPr>
          <w:p>
            <w:pPr>
              <w:spacing w:after="0"/>
              <w:rPr>
                <w:sz w:val="8"/>
                <w:szCs w:val="8"/>
                <w:color w:val="auto"/>
              </w:rPr>
            </w:pPr>
          </w:p>
        </w:tc>
        <w:tc>
          <w:tcPr>
            <w:tcW w:w="60" w:type="dxa"/>
            <w:vAlign w:val="bottom"/>
            <w:shd w:val="clear" w:color="auto" w:fill="CCCCCC"/>
          </w:tcPr>
          <w:p>
            <w:pPr>
              <w:spacing w:after="0"/>
              <w:rPr>
                <w:sz w:val="8"/>
                <w:szCs w:val="8"/>
                <w:color w:val="auto"/>
              </w:rPr>
            </w:pPr>
          </w:p>
        </w:tc>
        <w:tc>
          <w:tcPr>
            <w:tcW w:w="1940" w:type="dxa"/>
            <w:vAlign w:val="bottom"/>
            <w:vMerge w:val="continue"/>
            <w:shd w:val="clear" w:color="auto" w:fill="CCCCCC"/>
          </w:tcPr>
          <w:p>
            <w:pPr>
              <w:spacing w:after="0"/>
              <w:rPr>
                <w:sz w:val="8"/>
                <w:szCs w:val="8"/>
                <w:color w:val="auto"/>
              </w:rPr>
            </w:pPr>
          </w:p>
        </w:tc>
        <w:tc>
          <w:tcPr>
            <w:tcW w:w="260" w:type="dxa"/>
            <w:vAlign w:val="bottom"/>
            <w:shd w:val="clear" w:color="auto" w:fill="CCCCCC"/>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shd w:val="clear" w:color="auto" w:fill="CCCCCC"/>
          </w:tcPr>
          <w:p>
            <w:pPr>
              <w:spacing w:after="0"/>
              <w:rPr>
                <w:sz w:val="8"/>
                <w:szCs w:val="8"/>
                <w:color w:val="auto"/>
              </w:rPr>
            </w:pPr>
          </w:p>
        </w:tc>
        <w:tc>
          <w:tcPr>
            <w:tcW w:w="60" w:type="dxa"/>
            <w:vAlign w:val="bottom"/>
            <w:shd w:val="clear" w:color="auto" w:fill="CCCCCC"/>
          </w:tcPr>
          <w:p>
            <w:pPr>
              <w:spacing w:after="0"/>
              <w:rPr>
                <w:sz w:val="8"/>
                <w:szCs w:val="8"/>
                <w:color w:val="auto"/>
              </w:rPr>
            </w:pPr>
          </w:p>
        </w:tc>
        <w:tc>
          <w:tcPr>
            <w:tcW w:w="1940" w:type="dxa"/>
            <w:vAlign w:val="bottom"/>
            <w:vMerge w:val="continue"/>
            <w:shd w:val="clear" w:color="auto" w:fill="CCCCCC"/>
          </w:tcPr>
          <w:p>
            <w:pPr>
              <w:spacing w:after="0"/>
              <w:rPr>
                <w:sz w:val="8"/>
                <w:szCs w:val="8"/>
                <w:color w:val="auto"/>
              </w:rPr>
            </w:pPr>
          </w:p>
        </w:tc>
        <w:tc>
          <w:tcPr>
            <w:tcW w:w="180" w:type="dxa"/>
            <w:vAlign w:val="bottom"/>
            <w:shd w:val="clear" w:color="auto" w:fill="CCCCCC"/>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oversight of our independent</w:t>
            </w:r>
          </w:p>
        </w:tc>
        <w:tc>
          <w:tcPr>
            <w:tcW w:w="100" w:type="dxa"/>
            <w:vAlign w:val="bottom"/>
          </w:tcPr>
          <w:p>
            <w:pPr>
              <w:spacing w:after="0"/>
              <w:rPr>
                <w:sz w:val="10"/>
                <w:szCs w:val="10"/>
                <w:color w:val="auto"/>
              </w:rPr>
            </w:pPr>
          </w:p>
        </w:tc>
        <w:tc>
          <w:tcPr>
            <w:tcW w:w="140" w:type="dxa"/>
            <w:vAlign w:val="bottom"/>
            <w:vMerge w:val="continue"/>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annual review of the Board’s and</w:t>
            </w:r>
          </w:p>
        </w:tc>
        <w:tc>
          <w:tcPr>
            <w:tcW w:w="100" w:type="dxa"/>
            <w:vAlign w:val="bottom"/>
          </w:tcPr>
          <w:p>
            <w:pPr>
              <w:spacing w:after="0"/>
              <w:rPr>
                <w:sz w:val="10"/>
                <w:szCs w:val="10"/>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Overseeing the Company’s</w:t>
            </w: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corporate goals and objectives;</w:t>
            </w: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auditor;</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continue"/>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management’s performance;</w:t>
            </w: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continue"/>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initiatives to promote safety</w:t>
            </w: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Reviewing, with the CEO, and</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color w:val="BA0C2F"/>
              </w:rPr>
              <w:t>•</w:t>
            </w:r>
          </w:p>
        </w:tc>
        <w:tc>
          <w:tcPr>
            <w:tcW w:w="2140" w:type="dxa"/>
            <w:vAlign w:val="bottom"/>
            <w:vMerge w:val="restart"/>
          </w:tcPr>
          <w:p>
            <w:pPr>
              <w:spacing w:after="0"/>
              <w:rPr>
                <w:sz w:val="20"/>
                <w:szCs w:val="20"/>
                <w:color w:val="auto"/>
              </w:rPr>
            </w:pPr>
            <w:r>
              <w:rPr>
                <w:rFonts w:ascii="Arial" w:cs="Arial" w:eastAsia="Arial" w:hAnsi="Arial"/>
                <w:sz w:val="14"/>
                <w:szCs w:val="14"/>
                <w:color w:val="auto"/>
              </w:rPr>
              <w:t>Overseeing our independent</w:t>
            </w:r>
          </w:p>
        </w:tc>
        <w:tc>
          <w:tcPr>
            <w:tcW w:w="100" w:type="dxa"/>
            <w:vAlign w:val="bottom"/>
          </w:tcPr>
          <w:p>
            <w:pPr>
              <w:spacing w:after="0"/>
              <w:rPr>
                <w:sz w:val="5"/>
                <w:szCs w:val="5"/>
                <w:color w:val="auto"/>
              </w:rPr>
            </w:pPr>
          </w:p>
        </w:tc>
        <w:tc>
          <w:tcPr>
            <w:tcW w:w="140" w:type="dxa"/>
            <w:vAlign w:val="bottom"/>
            <w:vMerge w:val="continue"/>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5"/>
                <w:szCs w:val="5"/>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Reviewing and recommending</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continue"/>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2200" w:type="dxa"/>
            <w:vAlign w:val="bottom"/>
            <w:gridSpan w:val="2"/>
            <w:vMerge w:val="continue"/>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restart"/>
            <w:shd w:val="clear" w:color="auto" w:fill="CCCCCC"/>
          </w:tcPr>
          <w:p>
            <w:pPr>
              <w:ind w:left="20"/>
              <w:spacing w:after="0" w:line="149" w:lineRule="exact"/>
              <w:rPr>
                <w:sz w:val="20"/>
                <w:szCs w:val="20"/>
                <w:color w:val="auto"/>
              </w:rPr>
            </w:pPr>
            <w:r>
              <w:rPr>
                <w:rFonts w:ascii="Arial" w:cs="Arial" w:eastAsia="Arial" w:hAnsi="Arial"/>
                <w:sz w:val="14"/>
                <w:szCs w:val="14"/>
                <w:color w:val="auto"/>
              </w:rPr>
              <w:t>awareness among all</w:t>
            </w:r>
          </w:p>
        </w:tc>
        <w:tc>
          <w:tcPr>
            <w:tcW w:w="180" w:type="dxa"/>
            <w:vAlign w:val="bottom"/>
            <w:shd w:val="clear" w:color="auto" w:fill="CCCCCC"/>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approving each component of</w:t>
            </w: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vMerge w:val="continue"/>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2200" w:type="dxa"/>
            <w:vAlign w:val="bottom"/>
            <w:gridSpan w:val="2"/>
            <w:vMerge w:val="continue"/>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180" w:type="dxa"/>
            <w:vAlign w:val="bottom"/>
            <w:shd w:val="clear" w:color="auto" w:fill="CCCCC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auditor’s qualifications and</w:t>
            </w:r>
          </w:p>
        </w:tc>
        <w:tc>
          <w:tcPr>
            <w:tcW w:w="100" w:type="dxa"/>
            <w:vAlign w:val="bottom"/>
          </w:tcPr>
          <w:p>
            <w:pPr>
              <w:spacing w:after="0"/>
              <w:rPr>
                <w:sz w:val="14"/>
                <w:szCs w:val="14"/>
                <w:color w:val="auto"/>
              </w:rPr>
            </w:pPr>
          </w:p>
        </w:tc>
        <w:tc>
          <w:tcPr>
            <w:tcW w:w="140" w:type="dxa"/>
            <w:vAlign w:val="bottom"/>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1940" w:type="dxa"/>
            <w:vAlign w:val="bottom"/>
            <w:vMerge w:val="continue"/>
            <w:shd w:val="clear" w:color="auto" w:fill="CCCCCC"/>
          </w:tcPr>
          <w:p>
            <w:pPr>
              <w:spacing w:after="0"/>
              <w:rPr>
                <w:sz w:val="14"/>
                <w:szCs w:val="14"/>
                <w:color w:val="auto"/>
              </w:rPr>
            </w:pPr>
          </w:p>
        </w:tc>
        <w:tc>
          <w:tcPr>
            <w:tcW w:w="260" w:type="dxa"/>
            <w:vAlign w:val="bottom"/>
            <w:shd w:val="clear" w:color="auto" w:fill="CCCCC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responses to shareholder</w:t>
            </w:r>
          </w:p>
        </w:tc>
        <w:tc>
          <w:tcPr>
            <w:tcW w:w="260" w:type="dxa"/>
            <w:vAlign w:val="bottom"/>
            <w:shd w:val="clear" w:color="auto" w:fill="CCCCC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employees;</w:t>
            </w:r>
          </w:p>
        </w:tc>
        <w:tc>
          <w:tcPr>
            <w:tcW w:w="180" w:type="dxa"/>
            <w:vAlign w:val="bottom"/>
            <w:shd w:val="clear" w:color="auto" w:fill="CCCCC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independence; and</w:t>
            </w:r>
          </w:p>
        </w:tc>
        <w:tc>
          <w:tcPr>
            <w:tcW w:w="100" w:type="dxa"/>
            <w:vAlign w:val="bottom"/>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2200" w:type="dxa"/>
            <w:vAlign w:val="bottom"/>
            <w:gridSpan w:val="2"/>
            <w:shd w:val="clear" w:color="auto" w:fill="CCCCCC"/>
          </w:tcPr>
          <w:p>
            <w:pPr>
              <w:ind w:left="20"/>
              <w:spacing w:after="0" w:line="139" w:lineRule="exact"/>
              <w:rPr>
                <w:sz w:val="20"/>
                <w:szCs w:val="20"/>
                <w:color w:val="auto"/>
              </w:rPr>
            </w:pPr>
            <w:r>
              <w:rPr>
                <w:rFonts w:ascii="Arial" w:cs="Arial" w:eastAsia="Arial" w:hAnsi="Arial"/>
                <w:sz w:val="14"/>
                <w:szCs w:val="14"/>
                <w:color w:val="auto"/>
              </w:rPr>
              <w:t>compensation of our executive</w:t>
            </w:r>
          </w:p>
        </w:tc>
        <w:tc>
          <w:tcPr>
            <w:tcW w:w="100" w:type="dxa"/>
            <w:vAlign w:val="bottom"/>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proposals (other than those</w:t>
            </w:r>
          </w:p>
        </w:tc>
        <w:tc>
          <w:tcPr>
            <w:tcW w:w="260" w:type="dxa"/>
            <w:vAlign w:val="bottom"/>
            <w:shd w:val="clear" w:color="auto" w:fill="CCCCCC"/>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2"/>
                <w:szCs w:val="12"/>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Reviewing strategy and</w:t>
            </w:r>
          </w:p>
        </w:tc>
        <w:tc>
          <w:tcPr>
            <w:tcW w:w="180" w:type="dxa"/>
            <w:vAlign w:val="bottom"/>
            <w:shd w:val="clear" w:color="auto" w:fill="CCCCC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officers;</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40" w:type="dxa"/>
            <w:vAlign w:val="bottom"/>
            <w:gridSpan w:val="2"/>
            <w:vMerge w:val="restart"/>
          </w:tcPr>
          <w:p>
            <w:pPr>
              <w:ind w:left="6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Overseeing the performance of</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related to compensation) to the</w:t>
            </w:r>
          </w:p>
        </w:tc>
        <w:tc>
          <w:tcPr>
            <w:tcW w:w="100" w:type="dxa"/>
            <w:vAlign w:val="bottom"/>
          </w:tcPr>
          <w:p>
            <w:pPr>
              <w:spacing w:after="0"/>
              <w:rPr>
                <w:sz w:val="5"/>
                <w:szCs w:val="5"/>
                <w:color w:val="auto"/>
              </w:rPr>
            </w:pPr>
          </w:p>
        </w:tc>
        <w:tc>
          <w:tcPr>
            <w:tcW w:w="140" w:type="dxa"/>
            <w:vAlign w:val="bottom"/>
            <w:vMerge w:val="continue"/>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continue"/>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continue"/>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resources of the Company’s</w:t>
            </w: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shd w:val="clear" w:color="auto" w:fill="CCCCCC"/>
          </w:tcPr>
          <w:p>
            <w:pPr>
              <w:spacing w:after="0"/>
              <w:rPr>
                <w:sz w:val="3"/>
                <w:szCs w:val="3"/>
                <w:color w:val="auto"/>
              </w:rPr>
            </w:pP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2200" w:type="dxa"/>
            <w:vAlign w:val="bottom"/>
            <w:gridSpan w:val="2"/>
            <w:vMerge w:val="continue"/>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180" w:type="dxa"/>
            <w:vAlign w:val="bottom"/>
            <w:shd w:val="clear" w:color="auto" w:fill="CCCCC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23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Selecting appropriate</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Board;</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our internal assurance function,</w:t>
            </w:r>
          </w:p>
        </w:tc>
        <w:tc>
          <w:tcPr>
            <w:tcW w:w="100" w:type="dxa"/>
            <w:vAlign w:val="bottom"/>
          </w:tcPr>
          <w:p>
            <w:pPr>
              <w:spacing w:after="0"/>
              <w:rPr>
                <w:sz w:val="10"/>
                <w:szCs w:val="10"/>
                <w:color w:val="auto"/>
              </w:rPr>
            </w:pPr>
          </w:p>
        </w:tc>
        <w:tc>
          <w:tcPr>
            <w:tcW w:w="140" w:type="dxa"/>
            <w:vAlign w:val="bottom"/>
            <w:vMerge w:val="continue"/>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continue"/>
            <w:shd w:val="clear" w:color="auto" w:fill="CCCCCC"/>
          </w:tcPr>
          <w:p>
            <w:pPr>
              <w:spacing w:after="0"/>
              <w:rPr>
                <w:sz w:val="10"/>
                <w:szCs w:val="10"/>
                <w:color w:val="auto"/>
              </w:rPr>
            </w:pPr>
          </w:p>
        </w:tc>
        <w:tc>
          <w:tcPr>
            <w:tcW w:w="260" w:type="dxa"/>
            <w:vAlign w:val="bottom"/>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QHSSE organization and</w:t>
            </w: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compensation peer groups;</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including internal audits and</w:t>
            </w: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continue"/>
            <w:shd w:val="clear" w:color="auto" w:fill="CCCCCC"/>
          </w:tcPr>
          <w:p>
            <w:pPr>
              <w:spacing w:after="0"/>
              <w:rPr>
                <w:sz w:val="11"/>
                <w:szCs w:val="11"/>
                <w:color w:val="auto"/>
              </w:rPr>
            </w:pPr>
          </w:p>
        </w:tc>
        <w:tc>
          <w:tcPr>
            <w:tcW w:w="260" w:type="dxa"/>
            <w:vAlign w:val="bottom"/>
            <w:shd w:val="clear" w:color="auto" w:fill="CCCCCC"/>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1"/>
                <w:szCs w:val="11"/>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Reviewing and providing</w:t>
            </w:r>
          </w:p>
        </w:tc>
        <w:tc>
          <w:tcPr>
            <w:tcW w:w="260" w:type="dxa"/>
            <w:vAlign w:val="bottom"/>
            <w:shd w:val="clear" w:color="auto" w:fill="CCCCCC"/>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approving the annual QHSSE</w:t>
            </w:r>
          </w:p>
        </w:tc>
        <w:tc>
          <w:tcPr>
            <w:tcW w:w="180" w:type="dxa"/>
            <w:vAlign w:val="bottom"/>
            <w:shd w:val="clear" w:color="auto" w:fill="CCCCC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shd w:val="clear" w:color="auto" w:fill="CCCCCC"/>
          </w:tcPr>
          <w:p>
            <w:pPr>
              <w:spacing w:after="0"/>
              <w:rPr>
                <w:sz w:val="3"/>
                <w:szCs w:val="3"/>
                <w:color w:val="auto"/>
              </w:rPr>
            </w:pP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vMerge w:val="continue"/>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260" w:type="dxa"/>
            <w:vAlign w:val="bottom"/>
            <w:shd w:val="clear" w:color="auto" w:fill="CCCCCC"/>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1940" w:type="dxa"/>
            <w:vAlign w:val="bottom"/>
            <w:vMerge w:val="continue"/>
            <w:shd w:val="clear" w:color="auto" w:fill="CCCCCC"/>
          </w:tcPr>
          <w:p>
            <w:pPr>
              <w:spacing w:after="0"/>
              <w:rPr>
                <w:sz w:val="3"/>
                <w:szCs w:val="3"/>
                <w:color w:val="auto"/>
              </w:rPr>
            </w:pPr>
          </w:p>
        </w:tc>
        <w:tc>
          <w:tcPr>
            <w:tcW w:w="180" w:type="dxa"/>
            <w:vAlign w:val="bottom"/>
            <w:shd w:val="clear" w:color="auto" w:fill="CCCCC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investigations, and our</w:t>
            </w:r>
          </w:p>
        </w:tc>
        <w:tc>
          <w:tcPr>
            <w:tcW w:w="100" w:type="dxa"/>
            <w:vAlign w:val="bottom"/>
          </w:tcPr>
          <w:p>
            <w:pPr>
              <w:spacing w:after="0"/>
              <w:rPr>
                <w:sz w:val="16"/>
                <w:szCs w:val="16"/>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Making decisions regarding</w:t>
            </w: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guidance to management and</w:t>
            </w: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plan, including related</w:t>
            </w:r>
          </w:p>
        </w:tc>
        <w:tc>
          <w:tcPr>
            <w:tcW w:w="180" w:type="dxa"/>
            <w:vAlign w:val="bottom"/>
            <w:shd w:val="clear" w:color="auto" w:fill="CCCCC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independent auditor.</w:t>
            </w: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severance, executive</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2200" w:type="dxa"/>
            <w:vAlign w:val="bottom"/>
            <w:gridSpan w:val="2"/>
            <w:shd w:val="clear" w:color="auto" w:fill="CCCCCC"/>
          </w:tcPr>
          <w:p>
            <w:pPr>
              <w:ind w:left="20"/>
              <w:spacing w:after="0"/>
              <w:rPr>
                <w:sz w:val="20"/>
                <w:szCs w:val="20"/>
                <w:color w:val="auto"/>
              </w:rPr>
            </w:pPr>
            <w:r>
              <w:rPr>
                <w:rFonts w:ascii="Arial" w:cs="Arial" w:eastAsia="Arial" w:hAnsi="Arial"/>
                <w:sz w:val="14"/>
                <w:szCs w:val="14"/>
                <w:color w:val="auto"/>
              </w:rPr>
              <w:t>the Board regarding shareholder</w:t>
            </w: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processes;</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compensation plans, incentive</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engagement; and</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5"/>
                <w:szCs w:val="15"/>
                <w:color w:val="auto"/>
              </w:rPr>
            </w:pPr>
          </w:p>
        </w:tc>
        <w:tc>
          <w:tcPr>
            <w:tcW w:w="212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Reviewing periodic updates 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compensation plans and equity-</w:t>
            </w:r>
          </w:p>
        </w:tc>
        <w:tc>
          <w:tcPr>
            <w:tcW w:w="100" w:type="dxa"/>
            <w:vAlign w:val="bottom"/>
          </w:tcPr>
          <w:p>
            <w:pPr>
              <w:spacing w:after="0"/>
              <w:rPr>
                <w:sz w:val="5"/>
                <w:szCs w:val="5"/>
                <w:color w:val="auto"/>
              </w:rPr>
            </w:pPr>
          </w:p>
        </w:tc>
        <w:tc>
          <w:tcPr>
            <w:tcW w:w="140" w:type="dxa"/>
            <w:vAlign w:val="bottom"/>
            <w:vMerge w:val="restart"/>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Succession planning for the</w:t>
            </w: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120" w:type="dxa"/>
            <w:vAlign w:val="bottom"/>
            <w:gridSpan w:val="2"/>
            <w:vMerge w:val="continue"/>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2200" w:type="dxa"/>
            <w:vAlign w:val="bottom"/>
            <w:gridSpan w:val="2"/>
            <w:vMerge w:val="continue"/>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continue"/>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significant health, safety,</w:t>
            </w:r>
          </w:p>
        </w:tc>
        <w:tc>
          <w:tcPr>
            <w:tcW w:w="180" w:type="dxa"/>
            <w:vAlign w:val="bottom"/>
            <w:shd w:val="clear" w:color="auto" w:fill="CCCCCC"/>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based plans and administering</w:t>
            </w:r>
          </w:p>
        </w:tc>
        <w:tc>
          <w:tcPr>
            <w:tcW w:w="100" w:type="dxa"/>
            <w:vAlign w:val="bottom"/>
          </w:tcPr>
          <w:p>
            <w:pPr>
              <w:spacing w:after="0"/>
              <w:rPr>
                <w:sz w:val="4"/>
                <w:szCs w:val="4"/>
                <w:color w:val="auto"/>
              </w:rPr>
            </w:pPr>
          </w:p>
        </w:tc>
        <w:tc>
          <w:tcPr>
            <w:tcW w:w="140" w:type="dxa"/>
            <w:vAlign w:val="bottom"/>
            <w:vMerge w:val="continue"/>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2200" w:type="dxa"/>
            <w:vAlign w:val="bottom"/>
            <w:gridSpan w:val="2"/>
            <w:vMerge w:val="continue"/>
            <w:shd w:val="clear" w:color="auto" w:fill="CCCCCC"/>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Company’s CEO and reviewing</w:t>
            </w:r>
          </w:p>
        </w:tc>
        <w:tc>
          <w:tcPr>
            <w:tcW w:w="100" w:type="dxa"/>
            <w:vAlign w:val="bottom"/>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60" w:type="dxa"/>
            <w:vAlign w:val="bottom"/>
            <w:shd w:val="clear" w:color="auto" w:fill="CCCCCC"/>
          </w:tcPr>
          <w:p>
            <w:pPr>
              <w:spacing w:after="0"/>
              <w:rPr>
                <w:sz w:val="10"/>
                <w:szCs w:val="10"/>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security, environmental</w:t>
            </w:r>
          </w:p>
        </w:tc>
        <w:tc>
          <w:tcPr>
            <w:tcW w:w="180" w:type="dxa"/>
            <w:vAlign w:val="bottom"/>
            <w:shd w:val="clear" w:color="auto" w:fill="CCCCC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such plans; and</w:t>
            </w: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continue"/>
            <w:shd w:val="clear" w:color="auto" w:fill="CCCCCC"/>
          </w:tcPr>
          <w:p>
            <w:pPr>
              <w:spacing w:after="0"/>
              <w:rPr>
                <w:sz w:val="11"/>
                <w:szCs w:val="11"/>
                <w:color w:val="auto"/>
              </w:rPr>
            </w:pPr>
          </w:p>
        </w:tc>
        <w:tc>
          <w:tcPr>
            <w:tcW w:w="260" w:type="dxa"/>
            <w:vAlign w:val="bottom"/>
            <w:shd w:val="clear" w:color="auto" w:fill="CCCCCC"/>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CEO’s succession planning for</w:t>
            </w:r>
          </w:p>
        </w:tc>
        <w:tc>
          <w:tcPr>
            <w:tcW w:w="100" w:type="dxa"/>
            <w:vAlign w:val="bottom"/>
          </w:tcPr>
          <w:p>
            <w:pPr>
              <w:spacing w:after="0"/>
              <w:rPr>
                <w:sz w:val="11"/>
                <w:szCs w:val="11"/>
                <w:color w:val="auto"/>
              </w:rPr>
            </w:pPr>
          </w:p>
        </w:tc>
        <w:tc>
          <w:tcPr>
            <w:tcW w:w="1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sustainable-development and</w:t>
            </w:r>
          </w:p>
        </w:tc>
        <w:tc>
          <w:tcPr>
            <w:tcW w:w="180" w:type="dxa"/>
            <w:vAlign w:val="bottom"/>
            <w:shd w:val="clear" w:color="auto" w:fill="CCCCC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c>
          <w:tcPr>
            <w:tcW w:w="260" w:type="dxa"/>
            <w:vAlign w:val="bottom"/>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2200" w:type="dxa"/>
            <w:vAlign w:val="bottom"/>
            <w:gridSpan w:val="2"/>
            <w:vMerge w:val="continue"/>
            <w:shd w:val="clear" w:color="auto" w:fill="CCCCCC"/>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shd w:val="clear" w:color="auto" w:fill="CCCCCC"/>
          </w:tcPr>
          <w:p>
            <w:pPr>
              <w:spacing w:after="0"/>
              <w:rPr>
                <w:sz w:val="4"/>
                <w:szCs w:val="4"/>
                <w:color w:val="auto"/>
              </w:rPr>
            </w:pPr>
          </w:p>
        </w:tc>
        <w:tc>
          <w:tcPr>
            <w:tcW w:w="60" w:type="dxa"/>
            <w:vAlign w:val="bottom"/>
            <w:shd w:val="clear" w:color="auto" w:fill="CCCCCC"/>
          </w:tcPr>
          <w:p>
            <w:pPr>
              <w:spacing w:after="0"/>
              <w:rPr>
                <w:sz w:val="4"/>
                <w:szCs w:val="4"/>
                <w:color w:val="auto"/>
              </w:rPr>
            </w:pPr>
          </w:p>
        </w:tc>
        <w:tc>
          <w:tcPr>
            <w:tcW w:w="1940" w:type="dxa"/>
            <w:vAlign w:val="bottom"/>
            <w:vMerge w:val="continue"/>
            <w:shd w:val="clear" w:color="auto" w:fill="CCCCCC"/>
          </w:tcPr>
          <w:p>
            <w:pPr>
              <w:spacing w:after="0"/>
              <w:rPr>
                <w:sz w:val="4"/>
                <w:szCs w:val="4"/>
                <w:color w:val="auto"/>
              </w:rPr>
            </w:pPr>
          </w:p>
        </w:tc>
        <w:tc>
          <w:tcPr>
            <w:tcW w:w="180" w:type="dxa"/>
            <w:vAlign w:val="bottom"/>
            <w:shd w:val="clear" w:color="auto" w:fill="CCCCCC"/>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Reviewing and making</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other executive officers.</w:t>
            </w: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2120" w:type="dxa"/>
            <w:vAlign w:val="bottom"/>
            <w:gridSpan w:val="2"/>
            <w:shd w:val="clear" w:color="auto" w:fill="CCCCCC"/>
          </w:tcPr>
          <w:p>
            <w:pPr>
              <w:ind w:left="20"/>
              <w:spacing w:after="0"/>
              <w:rPr>
                <w:sz w:val="20"/>
                <w:szCs w:val="20"/>
                <w:color w:val="auto"/>
              </w:rPr>
            </w:pPr>
            <w:r>
              <w:rPr>
                <w:rFonts w:ascii="Arial" w:cs="Arial" w:eastAsia="Arial" w:hAnsi="Arial"/>
                <w:sz w:val="14"/>
                <w:szCs w:val="14"/>
                <w:color w:val="auto"/>
              </w:rPr>
              <w:t>social and public policy issues;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2200" w:type="dxa"/>
            <w:vAlign w:val="bottom"/>
            <w:gridSpan w:val="2"/>
            <w:shd w:val="clear" w:color="auto" w:fill="CCCCCC"/>
          </w:tcPr>
          <w:p>
            <w:pPr>
              <w:ind w:left="20"/>
              <w:spacing w:after="0"/>
              <w:rPr>
                <w:sz w:val="20"/>
                <w:szCs w:val="20"/>
                <w:color w:val="auto"/>
              </w:rPr>
            </w:pPr>
            <w:r>
              <w:rPr>
                <w:rFonts w:ascii="Arial" w:cs="Arial" w:eastAsia="Arial" w:hAnsi="Arial"/>
                <w:sz w:val="14"/>
                <w:szCs w:val="14"/>
                <w:color w:val="auto"/>
              </w:rPr>
              <w:t>recommendations to the Board</w:t>
            </w: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3"/>
            <w:vMerge w:val="restart"/>
            <w:shd w:val="clear" w:color="auto" w:fill="CCCCCC"/>
          </w:tcPr>
          <w:p>
            <w:pPr>
              <w:ind w:left="8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Reviewing findings related to</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20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with respect to the compensation</w:t>
            </w: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3"/>
            <w:vMerge w:val="continue"/>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2200" w:type="dxa"/>
            <w:vAlign w:val="bottom"/>
            <w:gridSpan w:val="2"/>
            <w:vMerge w:val="continue"/>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2120" w:type="dxa"/>
            <w:vAlign w:val="bottom"/>
            <w:gridSpan w:val="2"/>
            <w:vMerge w:val="restart"/>
            <w:shd w:val="clear" w:color="auto" w:fill="CCCCCC"/>
          </w:tcPr>
          <w:p>
            <w:pPr>
              <w:ind w:left="20"/>
              <w:spacing w:after="0"/>
              <w:rPr>
                <w:sz w:val="20"/>
                <w:szCs w:val="20"/>
                <w:color w:val="auto"/>
              </w:rPr>
            </w:pPr>
            <w:r>
              <w:rPr>
                <w:rFonts w:ascii="Arial" w:cs="Arial" w:eastAsia="Arial" w:hAnsi="Arial"/>
                <w:sz w:val="14"/>
                <w:szCs w:val="14"/>
                <w:color w:val="auto"/>
              </w:rPr>
              <w:t>any significant QHSSE incident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of our independent, non-</w:t>
            </w: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1940" w:type="dxa"/>
            <w:vAlign w:val="bottom"/>
            <w:shd w:val="clear" w:color="auto" w:fill="CCCCCC"/>
          </w:tcPr>
          <w:p>
            <w:pPr>
              <w:spacing w:after="0"/>
              <w:rPr>
                <w:sz w:val="5"/>
                <w:szCs w:val="5"/>
                <w:color w:val="auto"/>
              </w:rPr>
            </w:pPr>
          </w:p>
        </w:tc>
        <w:tc>
          <w:tcPr>
            <w:tcW w:w="260" w:type="dxa"/>
            <w:vAlign w:val="bottom"/>
            <w:shd w:val="clear" w:color="auto" w:fill="CCCCCC"/>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2120" w:type="dxa"/>
            <w:vAlign w:val="bottom"/>
            <w:gridSpan w:val="2"/>
            <w:vMerge w:val="continue"/>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continue"/>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and making periodic facility</w:t>
            </w:r>
          </w:p>
        </w:tc>
        <w:tc>
          <w:tcPr>
            <w:tcW w:w="180" w:type="dxa"/>
            <w:vAlign w:val="bottom"/>
            <w:shd w:val="clear" w:color="auto" w:fill="CCCCCC"/>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employee directors.</w:t>
            </w: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shd w:val="clear" w:color="auto" w:fill="CCCCCC"/>
          </w:tcPr>
          <w:p>
            <w:pPr>
              <w:spacing w:after="0"/>
              <w:rPr>
                <w:sz w:val="7"/>
                <w:szCs w:val="7"/>
                <w:color w:val="auto"/>
              </w:rPr>
            </w:pP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continue"/>
            <w:shd w:val="clear" w:color="auto" w:fill="CCCCCC"/>
          </w:tcPr>
          <w:p>
            <w:pPr>
              <w:spacing w:after="0"/>
              <w:rPr>
                <w:sz w:val="7"/>
                <w:szCs w:val="7"/>
                <w:color w:val="auto"/>
              </w:rPr>
            </w:pPr>
          </w:p>
        </w:tc>
        <w:tc>
          <w:tcPr>
            <w:tcW w:w="180" w:type="dxa"/>
            <w:vAlign w:val="bottom"/>
            <w:shd w:val="clear" w:color="auto" w:fill="CCCCCC"/>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continue"/>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shd w:val="clear" w:color="auto" w:fill="CCCCCC"/>
          </w:tcPr>
          <w:p>
            <w:pPr>
              <w:spacing w:after="0"/>
              <w:rPr>
                <w:sz w:val="9"/>
                <w:szCs w:val="9"/>
                <w:color w:val="auto"/>
              </w:rPr>
            </w:pPr>
          </w:p>
        </w:tc>
        <w:tc>
          <w:tcPr>
            <w:tcW w:w="260" w:type="dxa"/>
            <w:vAlign w:val="bottom"/>
            <w:shd w:val="clear" w:color="auto" w:fill="CCCCCC"/>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CCCC"/>
          </w:tcPr>
          <w:p>
            <w:pPr>
              <w:spacing w:after="0"/>
              <w:rPr>
                <w:sz w:val="9"/>
                <w:szCs w:val="9"/>
                <w:color w:val="auto"/>
              </w:rPr>
            </w:pPr>
          </w:p>
        </w:tc>
        <w:tc>
          <w:tcPr>
            <w:tcW w:w="60" w:type="dxa"/>
            <w:vAlign w:val="bottom"/>
            <w:shd w:val="clear" w:color="auto" w:fill="CCCCCC"/>
          </w:tcPr>
          <w:p>
            <w:pPr>
              <w:spacing w:after="0"/>
              <w:rPr>
                <w:sz w:val="9"/>
                <w:szCs w:val="9"/>
                <w:color w:val="auto"/>
              </w:rPr>
            </w:pPr>
          </w:p>
        </w:tc>
        <w:tc>
          <w:tcPr>
            <w:tcW w:w="1940" w:type="dxa"/>
            <w:vAlign w:val="bottom"/>
            <w:vMerge w:val="restart"/>
            <w:shd w:val="clear" w:color="auto" w:fill="CCCCCC"/>
          </w:tcPr>
          <w:p>
            <w:pPr>
              <w:ind w:left="20"/>
              <w:spacing w:after="0"/>
              <w:rPr>
                <w:sz w:val="20"/>
                <w:szCs w:val="20"/>
                <w:color w:val="auto"/>
              </w:rPr>
            </w:pPr>
            <w:r>
              <w:rPr>
                <w:rFonts w:ascii="Arial" w:cs="Arial" w:eastAsia="Arial" w:hAnsi="Arial"/>
                <w:sz w:val="14"/>
                <w:szCs w:val="14"/>
                <w:color w:val="auto"/>
              </w:rPr>
              <w:t>visits;</w:t>
            </w:r>
          </w:p>
        </w:tc>
        <w:tc>
          <w:tcPr>
            <w:tcW w:w="180" w:type="dxa"/>
            <w:vAlign w:val="bottom"/>
            <w:shd w:val="clear" w:color="auto" w:fill="CCCCCC"/>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shd w:val="clear" w:color="auto" w:fill="CCCCCC"/>
          </w:tcPr>
          <w:p>
            <w:pPr>
              <w:spacing w:after="0"/>
              <w:rPr>
                <w:sz w:val="7"/>
                <w:szCs w:val="7"/>
                <w:color w:val="auto"/>
              </w:rPr>
            </w:pP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shd w:val="clear" w:color="auto" w:fill="CCCCCC"/>
          </w:tcPr>
          <w:p>
            <w:pPr>
              <w:spacing w:after="0"/>
              <w:rPr>
                <w:sz w:val="7"/>
                <w:szCs w:val="7"/>
                <w:color w:val="auto"/>
              </w:rPr>
            </w:pPr>
          </w:p>
        </w:tc>
        <w:tc>
          <w:tcPr>
            <w:tcW w:w="260" w:type="dxa"/>
            <w:vAlign w:val="bottom"/>
            <w:shd w:val="clear" w:color="auto" w:fill="CCCCCC"/>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1940" w:type="dxa"/>
            <w:vAlign w:val="bottom"/>
            <w:vMerge w:val="continue"/>
            <w:shd w:val="clear" w:color="auto" w:fill="CCCCCC"/>
          </w:tcPr>
          <w:p>
            <w:pPr>
              <w:spacing w:after="0"/>
              <w:rPr>
                <w:sz w:val="7"/>
                <w:szCs w:val="7"/>
                <w:color w:val="auto"/>
              </w:rPr>
            </w:pPr>
          </w:p>
        </w:tc>
        <w:tc>
          <w:tcPr>
            <w:tcW w:w="180" w:type="dxa"/>
            <w:vAlign w:val="bottom"/>
            <w:shd w:val="clear" w:color="auto" w:fill="CCCCCC"/>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ind w:left="80"/>
              <w:spacing w:after="0"/>
              <w:rPr>
                <w:sz w:val="20"/>
                <w:szCs w:val="20"/>
                <w:color w:val="auto"/>
              </w:rPr>
            </w:pPr>
            <w:r>
              <w:rPr>
                <w:rFonts w:ascii="Arial" w:cs="Arial" w:eastAsia="Arial" w:hAnsi="Arial"/>
                <w:sz w:val="14"/>
                <w:szCs w:val="14"/>
                <w:color w:val="BA0C2F"/>
                <w:w w:val="80"/>
              </w:rPr>
              <w:t>•</w:t>
            </w: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Ensuring annual preparation</w:t>
            </w:r>
          </w:p>
        </w:tc>
        <w:tc>
          <w:tcPr>
            <w:tcW w:w="180" w:type="dxa"/>
            <w:vAlign w:val="bottom"/>
            <w:shd w:val="clear" w:color="auto" w:fill="CCCCC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and review of a sustainability</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report; and</w:t>
            </w:r>
          </w:p>
        </w:tc>
        <w:tc>
          <w:tcPr>
            <w:tcW w:w="180" w:type="dxa"/>
            <w:vAlign w:val="bottom"/>
            <w:shd w:val="clear" w:color="auto" w:fill="CCCCC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194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shd w:val="clear" w:color="auto" w:fill="CCCCCC"/>
          </w:tcPr>
          <w:p>
            <w:pPr>
              <w:ind w:left="8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Assisting the Board with</w:t>
            </w:r>
          </w:p>
        </w:tc>
        <w:tc>
          <w:tcPr>
            <w:tcW w:w="180" w:type="dxa"/>
            <w:vAlign w:val="bottom"/>
            <w:shd w:val="clear" w:color="auto" w:fill="CCCCC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oversight of the Company’s</w:t>
            </w:r>
          </w:p>
        </w:tc>
        <w:tc>
          <w:tcPr>
            <w:tcW w:w="180" w:type="dxa"/>
            <w:vAlign w:val="bottom"/>
            <w:shd w:val="clear" w:color="auto" w:fill="CCCCC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risk-management and security</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spacing w:after="0"/>
              <w:rPr>
                <w:sz w:val="15"/>
                <w:szCs w:val="15"/>
                <w:color w:val="auto"/>
              </w:rPr>
            </w:pPr>
          </w:p>
        </w:tc>
        <w:tc>
          <w:tcPr>
            <w:tcW w:w="260" w:type="dxa"/>
            <w:vAlign w:val="bottom"/>
            <w:shd w:val="clear" w:color="auto" w:fill="CCCCCC"/>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processes in relation to</w:t>
            </w:r>
          </w:p>
        </w:tc>
        <w:tc>
          <w:tcPr>
            <w:tcW w:w="180" w:type="dxa"/>
            <w:vAlign w:val="bottom"/>
            <w:shd w:val="clear" w:color="auto" w:fill="CCCCC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214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vMerge w:val="restart"/>
            <w:shd w:val="clear" w:color="auto" w:fill="CCCCCC"/>
          </w:tcPr>
          <w:p>
            <w:pPr>
              <w:spacing w:after="0"/>
              <w:rPr>
                <w:sz w:val="20"/>
                <w:szCs w:val="20"/>
                <w:color w:val="auto"/>
              </w:rPr>
            </w:pPr>
            <w:r>
              <w:rPr>
                <w:rFonts w:ascii="Arial" w:cs="Arial" w:eastAsia="Arial" w:hAnsi="Arial"/>
                <w:sz w:val="18"/>
                <w:szCs w:val="18"/>
                <w:color w:val="FFFFFF"/>
              </w:rPr>
              <w:t>​</w:t>
            </w: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vMerge w:val="restart"/>
            <w:shd w:val="clear" w:color="auto" w:fill="CCCCCC"/>
          </w:tcPr>
          <w:p>
            <w:pPr>
              <w:spacing w:after="0"/>
              <w:rPr>
                <w:sz w:val="20"/>
                <w:szCs w:val="20"/>
                <w:color w:val="auto"/>
              </w:rPr>
            </w:pPr>
            <w:r>
              <w:rPr>
                <w:rFonts w:ascii="Arial" w:cs="Arial" w:eastAsia="Arial" w:hAnsi="Arial"/>
                <w:sz w:val="18"/>
                <w:szCs w:val="18"/>
                <w:color w:val="FFFFFF"/>
              </w:rPr>
              <w:t>​</w:t>
            </w: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spacing w:after="0"/>
              <w:rPr>
                <w:sz w:val="16"/>
                <w:szCs w:val="16"/>
                <w:color w:val="auto"/>
              </w:rPr>
            </w:pPr>
          </w:p>
        </w:tc>
        <w:tc>
          <w:tcPr>
            <w:tcW w:w="260" w:type="dxa"/>
            <w:vAlign w:val="bottom"/>
            <w:shd w:val="clear" w:color="auto" w:fill="CCCCCC"/>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vMerge w:val="restart"/>
            <w:shd w:val="clear" w:color="auto" w:fill="CCCCCC"/>
          </w:tcPr>
          <w:p>
            <w:pPr>
              <w:spacing w:after="0"/>
              <w:rPr>
                <w:sz w:val="20"/>
                <w:szCs w:val="20"/>
                <w:color w:val="auto"/>
              </w:rPr>
            </w:pPr>
            <w:r>
              <w:rPr>
                <w:rFonts w:ascii="Arial" w:cs="Arial" w:eastAsia="Arial" w:hAnsi="Arial"/>
                <w:sz w:val="18"/>
                <w:szCs w:val="18"/>
                <w:color w:val="FFFFFF"/>
              </w:rPr>
              <w:t>​</w:t>
            </w:r>
          </w:p>
        </w:tc>
        <w:tc>
          <w:tcPr>
            <w:tcW w:w="60" w:type="dxa"/>
            <w:vAlign w:val="bottom"/>
            <w:shd w:val="clear" w:color="auto" w:fill="CCCCCC"/>
          </w:tcPr>
          <w:p>
            <w:pPr>
              <w:spacing w:after="0"/>
              <w:rPr>
                <w:sz w:val="16"/>
                <w:szCs w:val="16"/>
                <w:color w:val="auto"/>
              </w:rPr>
            </w:pPr>
          </w:p>
        </w:tc>
        <w:tc>
          <w:tcPr>
            <w:tcW w:w="1940" w:type="dxa"/>
            <w:vAlign w:val="bottom"/>
            <w:shd w:val="clear" w:color="auto" w:fill="CCCCCC"/>
          </w:tcPr>
          <w:p>
            <w:pPr>
              <w:ind w:left="20"/>
              <w:spacing w:after="0"/>
              <w:rPr>
                <w:sz w:val="20"/>
                <w:szCs w:val="20"/>
                <w:color w:val="auto"/>
              </w:rPr>
            </w:pPr>
            <w:r>
              <w:rPr>
                <w:rFonts w:ascii="Arial" w:cs="Arial" w:eastAsia="Arial" w:hAnsi="Arial"/>
                <w:sz w:val="14"/>
                <w:szCs w:val="14"/>
                <w:color w:val="auto"/>
              </w:rPr>
              <w:t>QHSSE.</w:t>
            </w:r>
          </w:p>
        </w:tc>
        <w:tc>
          <w:tcPr>
            <w:tcW w:w="180" w:type="dxa"/>
            <w:vAlign w:val="bottom"/>
            <w:shd w:val="clear" w:color="auto" w:fill="CCCCCC"/>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9"/>
        </w:trPr>
        <w:tc>
          <w:tcPr>
            <w:tcW w:w="22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CCCCCC"/>
            </w:tcBorders>
            <w:vMerge w:val="continue"/>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18"/>
                <w:szCs w:val="18"/>
                <w:color w:val="auto"/>
              </w:rPr>
            </w:pPr>
          </w:p>
        </w:tc>
        <w:tc>
          <w:tcPr>
            <w:tcW w:w="1940" w:type="dxa"/>
            <w:vAlign w:val="bottom"/>
            <w:tcBorders>
              <w:bottom w:val="single" w:sz="8" w:color="CCCCCC"/>
            </w:tcBorders>
            <w:shd w:val="clear" w:color="auto" w:fill="CCCCCC"/>
          </w:tcPr>
          <w:p>
            <w:pPr>
              <w:spacing w:after="0"/>
              <w:rPr>
                <w:sz w:val="18"/>
                <w:szCs w:val="18"/>
                <w:color w:val="auto"/>
              </w:rPr>
            </w:pPr>
          </w:p>
        </w:tc>
        <w:tc>
          <w:tcPr>
            <w:tcW w:w="260" w:type="dxa"/>
            <w:vAlign w:val="bottom"/>
            <w:tcBorders>
              <w:bottom w:val="single" w:sz="8" w:color="CCCCCC"/>
            </w:tcBorders>
            <w:shd w:val="clear" w:color="auto" w:fill="CCCCCC"/>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CCCCCC"/>
            </w:tcBorders>
            <w:vMerge w:val="continue"/>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18"/>
                <w:szCs w:val="18"/>
                <w:color w:val="auto"/>
              </w:rPr>
            </w:pPr>
          </w:p>
        </w:tc>
        <w:tc>
          <w:tcPr>
            <w:tcW w:w="1940" w:type="dxa"/>
            <w:vAlign w:val="bottom"/>
            <w:tcBorders>
              <w:bottom w:val="single" w:sz="8" w:color="CCCCCC"/>
            </w:tcBorders>
            <w:shd w:val="clear" w:color="auto" w:fill="CCCCCC"/>
          </w:tcPr>
          <w:p>
            <w:pPr>
              <w:spacing w:after="0"/>
              <w:rPr>
                <w:sz w:val="18"/>
                <w:szCs w:val="18"/>
                <w:color w:val="auto"/>
              </w:rPr>
            </w:pPr>
          </w:p>
        </w:tc>
        <w:tc>
          <w:tcPr>
            <w:tcW w:w="260" w:type="dxa"/>
            <w:vAlign w:val="bottom"/>
            <w:tcBorders>
              <w:bottom w:val="single" w:sz="8" w:color="CCCCCC"/>
            </w:tcBorders>
            <w:shd w:val="clear" w:color="auto" w:fill="CCCCCC"/>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CCCCCC"/>
            </w:tcBorders>
            <w:vMerge w:val="continue"/>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18"/>
                <w:szCs w:val="18"/>
                <w:color w:val="auto"/>
              </w:rPr>
            </w:pPr>
          </w:p>
        </w:tc>
        <w:tc>
          <w:tcPr>
            <w:tcW w:w="1940" w:type="dxa"/>
            <w:vAlign w:val="bottom"/>
            <w:tcBorders>
              <w:bottom w:val="single" w:sz="8" w:color="CCCCCC"/>
            </w:tcBorders>
            <w:shd w:val="clear" w:color="auto" w:fill="CCCCCC"/>
          </w:tcPr>
          <w:p>
            <w:pPr>
              <w:spacing w:after="0"/>
              <w:rPr>
                <w:sz w:val="18"/>
                <w:szCs w:val="18"/>
                <w:color w:val="auto"/>
              </w:rPr>
            </w:pPr>
          </w:p>
        </w:tc>
        <w:tc>
          <w:tcPr>
            <w:tcW w:w="180" w:type="dxa"/>
            <w:vAlign w:val="bottom"/>
            <w:tcBorders>
              <w:bottom w:val="single" w:sz="8" w:color="CCCCCC"/>
            </w:tcBorders>
            <w:shd w:val="clear" w:color="auto" w:fill="CCCCCC"/>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0" w:type="dxa"/>
            <w:vAlign w:val="bottom"/>
            <w:gridSpan w:val="2"/>
            <w:shd w:val="clear" w:color="auto" w:fill="B2B2B2"/>
          </w:tcPr>
          <w:p>
            <w:pPr>
              <w:spacing w:after="0"/>
              <w:rPr>
                <w:sz w:val="20"/>
                <w:szCs w:val="20"/>
                <w:color w:val="auto"/>
              </w:rPr>
            </w:pPr>
            <w:r>
              <w:rPr>
                <w:rFonts w:ascii="Arial" w:cs="Arial" w:eastAsia="Arial" w:hAnsi="Arial"/>
                <w:sz w:val="14"/>
                <w:szCs w:val="14"/>
                <w:b w:val="1"/>
                <w:bCs w:val="1"/>
                <w:color w:val="auto"/>
              </w:rPr>
              <w:t>​</w:t>
            </w:r>
          </w:p>
        </w:tc>
        <w:tc>
          <w:tcPr>
            <w:tcW w:w="2140" w:type="dxa"/>
            <w:vAlign w:val="bottom"/>
            <w:vMerge w:val="restart"/>
            <w:shd w:val="clear" w:color="auto" w:fill="B2B2B2"/>
          </w:tcPr>
          <w:p>
            <w:pPr>
              <w:ind w:left="280"/>
              <w:spacing w:after="0"/>
              <w:rPr>
                <w:sz w:val="20"/>
                <w:szCs w:val="20"/>
                <w:color w:val="auto"/>
              </w:rPr>
            </w:pPr>
            <w:r>
              <w:rPr>
                <w:rFonts w:ascii="Arial" w:cs="Arial" w:eastAsia="Arial" w:hAnsi="Arial"/>
                <w:sz w:val="14"/>
                <w:szCs w:val="14"/>
                <w:b w:val="1"/>
                <w:bCs w:val="1"/>
                <w:color w:val="auto"/>
              </w:rPr>
              <w:t xml:space="preserve">Meetings in 2021: </w:t>
            </w:r>
            <w:r>
              <w:rPr>
                <w:rFonts w:ascii="Arial" w:cs="Arial" w:eastAsia="Arial" w:hAnsi="Arial"/>
                <w:sz w:val="14"/>
                <w:szCs w:val="14"/>
                <w:color w:val="auto"/>
              </w:rPr>
              <w:t>10</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B2B2B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B2B2B2"/>
          </w:tcPr>
          <w:p>
            <w:pPr>
              <w:spacing w:after="0"/>
              <w:rPr>
                <w:sz w:val="15"/>
                <w:szCs w:val="15"/>
                <w:color w:val="auto"/>
              </w:rPr>
            </w:pPr>
          </w:p>
        </w:tc>
        <w:tc>
          <w:tcPr>
            <w:tcW w:w="1940" w:type="dxa"/>
            <w:vAlign w:val="bottom"/>
            <w:vMerge w:val="restart"/>
            <w:shd w:val="clear" w:color="auto" w:fill="B2B2B2"/>
          </w:tcPr>
          <w:p>
            <w:pPr>
              <w:ind w:left="300"/>
              <w:spacing w:after="0"/>
              <w:rPr>
                <w:sz w:val="20"/>
                <w:szCs w:val="20"/>
                <w:color w:val="auto"/>
              </w:rPr>
            </w:pPr>
            <w:r>
              <w:rPr>
                <w:rFonts w:ascii="Arial" w:cs="Arial" w:eastAsia="Arial" w:hAnsi="Arial"/>
                <w:sz w:val="14"/>
                <w:szCs w:val="14"/>
                <w:b w:val="1"/>
                <w:bCs w:val="1"/>
                <w:color w:val="auto"/>
              </w:rPr>
              <w:t xml:space="preserve">Meetings in 2021: </w:t>
            </w:r>
            <w:r>
              <w:rPr>
                <w:rFonts w:ascii="Arial" w:cs="Arial" w:eastAsia="Arial" w:hAnsi="Arial"/>
                <w:sz w:val="14"/>
                <w:szCs w:val="14"/>
                <w:color w:val="auto"/>
              </w:rPr>
              <w:t>10</w:t>
            </w:r>
          </w:p>
        </w:tc>
        <w:tc>
          <w:tcPr>
            <w:tcW w:w="260" w:type="dxa"/>
            <w:vAlign w:val="bottom"/>
            <w:shd w:val="clear" w:color="auto" w:fill="B2B2B2"/>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B2B2B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B2B2B2"/>
          </w:tcPr>
          <w:p>
            <w:pPr>
              <w:spacing w:after="0"/>
              <w:rPr>
                <w:sz w:val="15"/>
                <w:szCs w:val="15"/>
                <w:color w:val="auto"/>
              </w:rPr>
            </w:pPr>
          </w:p>
        </w:tc>
        <w:tc>
          <w:tcPr>
            <w:tcW w:w="1940" w:type="dxa"/>
            <w:vAlign w:val="bottom"/>
            <w:vMerge w:val="restart"/>
            <w:shd w:val="clear" w:color="auto" w:fill="B2B2B2"/>
          </w:tcPr>
          <w:p>
            <w:pPr>
              <w:jc w:val="center"/>
              <w:spacing w:after="0"/>
              <w:rPr>
                <w:sz w:val="20"/>
                <w:szCs w:val="20"/>
                <w:color w:val="auto"/>
              </w:rPr>
            </w:pPr>
            <w:r>
              <w:rPr>
                <w:rFonts w:ascii="Arial" w:cs="Arial" w:eastAsia="Arial" w:hAnsi="Arial"/>
                <w:sz w:val="14"/>
                <w:szCs w:val="14"/>
                <w:b w:val="1"/>
                <w:bCs w:val="1"/>
                <w:color w:val="auto"/>
              </w:rPr>
              <w:t xml:space="preserve">Meetings in 2021: </w:t>
            </w:r>
            <w:r>
              <w:rPr>
                <w:rFonts w:ascii="Arial" w:cs="Arial" w:eastAsia="Arial" w:hAnsi="Arial"/>
                <w:sz w:val="14"/>
                <w:szCs w:val="14"/>
                <w:color w:val="auto"/>
              </w:rPr>
              <w:t>6</w:t>
            </w:r>
          </w:p>
        </w:tc>
        <w:tc>
          <w:tcPr>
            <w:tcW w:w="260" w:type="dxa"/>
            <w:vAlign w:val="bottom"/>
            <w:shd w:val="clear" w:color="auto" w:fill="B2B2B2"/>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Meetings in 2021: </w:t>
            </w: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B2B2B2"/>
          </w:tcPr>
          <w:p>
            <w:pPr>
              <w:spacing w:after="0"/>
              <w:rPr>
                <w:sz w:val="2"/>
                <w:szCs w:val="2"/>
                <w:color w:val="auto"/>
              </w:rPr>
            </w:pPr>
          </w:p>
        </w:tc>
        <w:tc>
          <w:tcPr>
            <w:tcW w:w="200" w:type="dxa"/>
            <w:vAlign w:val="bottom"/>
            <w:shd w:val="clear" w:color="auto" w:fill="B2B2B2"/>
          </w:tcPr>
          <w:p>
            <w:pPr>
              <w:spacing w:after="0"/>
              <w:rPr>
                <w:sz w:val="2"/>
                <w:szCs w:val="2"/>
                <w:color w:val="auto"/>
              </w:rPr>
            </w:pPr>
          </w:p>
        </w:tc>
        <w:tc>
          <w:tcPr>
            <w:tcW w:w="2140" w:type="dxa"/>
            <w:vAlign w:val="bottom"/>
            <w:vMerge w:val="continue"/>
            <w:shd w:val="clear" w:color="auto" w:fill="B2B2B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B2B2B2"/>
          </w:tcPr>
          <w:p>
            <w:pPr>
              <w:spacing w:after="0"/>
              <w:rPr>
                <w:sz w:val="2"/>
                <w:szCs w:val="2"/>
                <w:color w:val="auto"/>
              </w:rPr>
            </w:pPr>
          </w:p>
        </w:tc>
        <w:tc>
          <w:tcPr>
            <w:tcW w:w="60" w:type="dxa"/>
            <w:vAlign w:val="bottom"/>
            <w:shd w:val="clear" w:color="auto" w:fill="B2B2B2"/>
          </w:tcPr>
          <w:p>
            <w:pPr>
              <w:spacing w:after="0"/>
              <w:rPr>
                <w:sz w:val="2"/>
                <w:szCs w:val="2"/>
                <w:color w:val="auto"/>
              </w:rPr>
            </w:pPr>
          </w:p>
        </w:tc>
        <w:tc>
          <w:tcPr>
            <w:tcW w:w="1940" w:type="dxa"/>
            <w:vAlign w:val="bottom"/>
            <w:vMerge w:val="continue"/>
            <w:shd w:val="clear" w:color="auto" w:fill="B2B2B2"/>
          </w:tcPr>
          <w:p>
            <w:pPr>
              <w:spacing w:after="0"/>
              <w:rPr>
                <w:sz w:val="2"/>
                <w:szCs w:val="2"/>
                <w:color w:val="auto"/>
              </w:rPr>
            </w:pPr>
          </w:p>
        </w:tc>
        <w:tc>
          <w:tcPr>
            <w:tcW w:w="260" w:type="dxa"/>
            <w:vAlign w:val="bottom"/>
            <w:shd w:val="clear" w:color="auto" w:fill="B2B2B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B2B2B2"/>
          </w:tcPr>
          <w:p>
            <w:pPr>
              <w:spacing w:after="0"/>
              <w:rPr>
                <w:sz w:val="2"/>
                <w:szCs w:val="2"/>
                <w:color w:val="auto"/>
              </w:rPr>
            </w:pPr>
          </w:p>
        </w:tc>
        <w:tc>
          <w:tcPr>
            <w:tcW w:w="60" w:type="dxa"/>
            <w:vAlign w:val="bottom"/>
            <w:shd w:val="clear" w:color="auto" w:fill="B2B2B2"/>
          </w:tcPr>
          <w:p>
            <w:pPr>
              <w:spacing w:after="0"/>
              <w:rPr>
                <w:sz w:val="2"/>
                <w:szCs w:val="2"/>
                <w:color w:val="auto"/>
              </w:rPr>
            </w:pPr>
          </w:p>
        </w:tc>
        <w:tc>
          <w:tcPr>
            <w:tcW w:w="1940" w:type="dxa"/>
            <w:vAlign w:val="bottom"/>
            <w:vMerge w:val="continue"/>
            <w:shd w:val="clear" w:color="auto" w:fill="B2B2B2"/>
          </w:tcPr>
          <w:p>
            <w:pPr>
              <w:spacing w:after="0"/>
              <w:rPr>
                <w:sz w:val="2"/>
                <w:szCs w:val="2"/>
                <w:color w:val="auto"/>
              </w:rPr>
            </w:pPr>
          </w:p>
        </w:tc>
        <w:tc>
          <w:tcPr>
            <w:tcW w:w="260" w:type="dxa"/>
            <w:vAlign w:val="bottom"/>
            <w:shd w:val="clear" w:color="auto" w:fill="B2B2B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-5862955</wp:posOffset>
            </wp:positionV>
            <wp:extent cx="6231890" cy="6017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31890" cy="6017895"/>
                    </a:xfrm>
                    <a:prstGeom prst="rect">
                      <a:avLst/>
                    </a:prstGeom>
                    <a:noFill/>
                  </pic:spPr>
                </pic:pic>
              </a:graphicData>
            </a:graphic>
          </wp:anchor>
        </w:drawing>
      </w:r>
    </w:p>
    <w:p>
      <w:pPr>
        <w:spacing w:after="0" w:line="241" w:lineRule="exact"/>
        <w:rPr>
          <w:sz w:val="20"/>
          <w:szCs w:val="20"/>
          <w:color w:val="auto"/>
        </w:rPr>
      </w:pPr>
    </w:p>
    <w:p>
      <w:pPr>
        <w:ind w:left="720" w:hanging="282"/>
        <w:spacing w:after="0"/>
        <w:tabs>
          <w:tab w:leader="none" w:pos="720" w:val="left"/>
        </w:tabs>
        <w:numPr>
          <w:ilvl w:val="0"/>
          <w:numId w:val="1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666666"/>
        </w:rPr>
        <w:t>AGENDA ITEM 1</w:t>
      </w:r>
    </w:p>
    <w:p>
      <w:pPr>
        <w:spacing w:after="0" w:line="153" w:lineRule="exact"/>
        <w:rPr>
          <w:sz w:val="20"/>
          <w:szCs w:val="20"/>
          <w:color w:val="auto"/>
        </w:rPr>
      </w:pPr>
    </w:p>
    <w:p>
      <w:pPr>
        <w:ind w:left="440" w:right="220"/>
        <w:spacing w:after="0" w:line="268" w:lineRule="auto"/>
        <w:rPr>
          <w:sz w:val="20"/>
          <w:szCs w:val="20"/>
          <w:color w:val="auto"/>
        </w:rPr>
      </w:pPr>
      <w:r>
        <w:rPr>
          <w:rFonts w:ascii="Arial" w:cs="Arial" w:eastAsia="Arial" w:hAnsi="Arial"/>
          <w:sz w:val="18"/>
          <w:szCs w:val="18"/>
          <w:b w:val="1"/>
          <w:bCs w:val="1"/>
          <w:color w:val="auto"/>
        </w:rPr>
        <w:t>Board Meetings</w:t>
      </w:r>
      <w:r>
        <w:rPr>
          <w:rFonts w:ascii="Arial" w:cs="Arial" w:eastAsia="Arial" w:hAnsi="Arial"/>
          <w:sz w:val="18"/>
          <w:szCs w:val="18"/>
          <w:color w:val="auto"/>
        </w:rPr>
        <w:t>: During 2021, the Board met 14 times; all of the directors of the Company participated in at least 75%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Board and its respective Committee meetings conducted during their respective tenures. It is our policy that directors are expected to attend each AGM.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ADDITIONAL BOARD INFORMATION</w:t>
      </w:r>
    </w:p>
    <w:p>
      <w:pPr>
        <w:spacing w:after="0" w:line="114"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b w:val="1"/>
          <w:bCs w:val="1"/>
          <w:color w:val="auto"/>
        </w:rPr>
        <w:t xml:space="preserve">Committee Charters: </w:t>
      </w:r>
      <w:r>
        <w:rPr>
          <w:rFonts w:ascii="Arial" w:cs="Arial" w:eastAsia="Arial" w:hAnsi="Arial"/>
          <w:sz w:val="18"/>
          <w:szCs w:val="18"/>
          <w:color w:val="auto"/>
        </w:rPr>
        <w:t>The charter for each Committee of our Board is available on our website at www.weatherford.com,</w:t>
      </w:r>
      <w:r>
        <w:rPr>
          <w:rFonts w:ascii="Arial" w:cs="Arial" w:eastAsia="Arial" w:hAnsi="Arial"/>
          <w:sz w:val="18"/>
          <w:szCs w:val="18"/>
          <w:b w:val="1"/>
          <w:bCs w:val="1"/>
          <w:color w:val="auto"/>
        </w:rPr>
        <w:t xml:space="preserve"> </w:t>
      </w:r>
      <w:r>
        <w:rPr>
          <w:rFonts w:ascii="Arial" w:cs="Arial" w:eastAsia="Arial" w:hAnsi="Arial"/>
          <w:sz w:val="18"/>
          <w:szCs w:val="18"/>
          <w:color w:val="auto"/>
        </w:rPr>
        <w:t>by clicking on“Investor Relations,” then “Company Information,” then “Corporate Governance,” then “Corporate Documents,” then the name of the applicable committee charter.</w:t>
      </w:r>
    </w:p>
    <w:p>
      <w:pPr>
        <w:spacing w:after="0" w:line="63" w:lineRule="exact"/>
        <w:rPr>
          <w:sz w:val="20"/>
          <w:szCs w:val="20"/>
          <w:color w:val="auto"/>
        </w:rPr>
      </w:pPr>
    </w:p>
    <w:p>
      <w:pPr>
        <w:ind w:left="440" w:right="740"/>
        <w:spacing w:after="0" w:line="287"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composed entirely of independent directors.</w:t>
      </w:r>
    </w:p>
    <w:p>
      <w:pPr>
        <w:spacing w:after="0" w:line="45" w:lineRule="exact"/>
        <w:rPr>
          <w:sz w:val="20"/>
          <w:szCs w:val="20"/>
          <w:color w:val="auto"/>
        </w:rPr>
      </w:pPr>
    </w:p>
    <w:p>
      <w:pPr>
        <w:jc w:val="both"/>
        <w:ind w:left="440" w:right="240"/>
        <w:spacing w:after="0" w:line="291" w:lineRule="auto"/>
        <w:rPr>
          <w:sz w:val="20"/>
          <w:szCs w:val="20"/>
          <w:color w:val="auto"/>
        </w:rPr>
      </w:pPr>
      <w:r>
        <w:rPr>
          <w:rFonts w:ascii="Arial" w:cs="Arial" w:eastAsia="Arial" w:hAnsi="Arial"/>
          <w:sz w:val="17"/>
          <w:szCs w:val="17"/>
          <w:b w:val="1"/>
          <w:bCs w:val="1"/>
          <w:color w:val="auto"/>
        </w:rPr>
        <w:t xml:space="preserve">Committee Member Qualifications: </w:t>
      </w:r>
      <w:r>
        <w:rPr>
          <w:rFonts w:ascii="Arial" w:cs="Arial" w:eastAsia="Arial" w:hAnsi="Arial"/>
          <w:sz w:val="17"/>
          <w:szCs w:val="17"/>
          <w:color w:val="auto"/>
        </w:rPr>
        <w:t>The Board has determined that each member of the Audit Committee is “financially</w:t>
      </w:r>
      <w:r>
        <w:rPr>
          <w:rFonts w:ascii="Arial" w:cs="Arial" w:eastAsia="Arial" w:hAnsi="Arial"/>
          <w:sz w:val="17"/>
          <w:szCs w:val="17"/>
          <w:b w:val="1"/>
          <w:bCs w:val="1"/>
          <w:color w:val="auto"/>
        </w:rPr>
        <w:t xml:space="preserve"> </w:t>
      </w:r>
      <w:r>
        <w:rPr>
          <w:rFonts w:ascii="Arial" w:cs="Arial" w:eastAsia="Arial" w:hAnsi="Arial"/>
          <w:sz w:val="17"/>
          <w:szCs w:val="17"/>
          <w:color w:val="auto"/>
        </w:rPr>
        <w:t>literate” pursuant to the listing standards of Nasdaq and that Messrs. Sledge and Goldman are each an “audit committee financial expert,” as defined by applicable SEC rules, due to each of their individual extensive financial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5535295</wp:posOffset>
            </wp:positionV>
            <wp:extent cx="6231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56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CORPORATE GOVERNANCE MATTERS</w:t>
      </w:r>
    </w:p>
    <w:p>
      <w:pPr>
        <w:spacing w:after="0" w:line="124"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Our Board believes sound corporate governance processes and practices, as well as high ethical standards, are critical to appropriately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35"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3820" w:type="dxa"/>
            <w:vAlign w:val="bottom"/>
            <w:tcBorders>
              <w:bottom w:val="single" w:sz="8" w:color="auto"/>
            </w:tcBorders>
            <w:gridSpan w:val="2"/>
            <w:shd w:val="clear" w:color="auto" w:fill="BA0C2F"/>
          </w:tcPr>
          <w:p>
            <w:pPr>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HIGHLIGHTS</w:t>
            </w:r>
          </w:p>
        </w:tc>
        <w:tc>
          <w:tcPr>
            <w:tcW w:w="1240" w:type="dxa"/>
            <w:vAlign w:val="bottom"/>
            <w:tcBorders>
              <w:bottom w:val="single" w:sz="8" w:color="auto"/>
            </w:tcBorders>
            <w:gridSpan w:val="3"/>
            <w:shd w:val="clear" w:color="auto" w:fill="BA0C2F"/>
          </w:tcPr>
          <w:p>
            <w:pPr>
              <w:ind w:left="860"/>
              <w:spacing w:after="0"/>
              <w:rPr>
                <w:sz w:val="20"/>
                <w:szCs w:val="20"/>
                <w:color w:val="auto"/>
              </w:rPr>
            </w:pPr>
            <w:r>
              <w:rPr>
                <w:rFonts w:ascii="Arial" w:cs="Arial" w:eastAsia="Arial" w:hAnsi="Arial"/>
                <w:sz w:val="14"/>
                <w:szCs w:val="14"/>
                <w:b w:val="1"/>
                <w:bCs w:val="1"/>
                <w:color w:val="FFFFFF"/>
              </w:rPr>
              <w:t xml:space="preserve">​ ​ </w:t>
            </w:r>
            <w:r>
              <w:rPr>
                <w:rFonts w:ascii="Arial" w:cs="Arial" w:eastAsia="Arial" w:hAnsi="Arial"/>
                <w:sz w:val="28"/>
                <w:szCs w:val="28"/>
                <w:b w:val="1"/>
                <w:bCs w:val="1"/>
                <w:color w:val="FFFFFF"/>
                <w:vertAlign w:val="superscript"/>
              </w:rPr>
              <w:t>​</w:t>
            </w:r>
          </w:p>
        </w:tc>
        <w:tc>
          <w:tcPr>
            <w:tcW w:w="300" w:type="dxa"/>
            <w:vAlign w:val="bottom"/>
            <w:tcBorders>
              <w:bottom w:val="single" w:sz="8" w:color="auto"/>
            </w:tcBorders>
            <w:shd w:val="clear" w:color="auto" w:fill="BA0C2F"/>
          </w:tcPr>
          <w:p>
            <w:pPr>
              <w:ind w:left="60"/>
              <w:spacing w:after="0"/>
              <w:rPr>
                <w:sz w:val="20"/>
                <w:szCs w:val="20"/>
                <w:color w:val="auto"/>
              </w:rPr>
            </w:pPr>
            <w:r>
              <w:rPr>
                <w:rFonts w:ascii="Arial" w:cs="Arial" w:eastAsia="Arial" w:hAnsi="Arial"/>
                <w:sz w:val="14"/>
                <w:szCs w:val="14"/>
                <w:b w:val="1"/>
                <w:bCs w:val="1"/>
                <w:color w:val="FFFFFF"/>
              </w:rPr>
              <w:t>​</w:t>
            </w:r>
          </w:p>
        </w:tc>
        <w:tc>
          <w:tcPr>
            <w:tcW w:w="4360" w:type="dxa"/>
            <w:vAlign w:val="bottom"/>
            <w:tcBorders>
              <w:bottom w:val="single" w:sz="8" w:color="auto"/>
            </w:tcBorders>
            <w:shd w:val="clear" w:color="auto" w:fill="BA0C2F"/>
          </w:tcPr>
          <w:p>
            <w:pPr>
              <w:spacing w:after="0"/>
              <w:rPr>
                <w:sz w:val="24"/>
                <w:szCs w:val="24"/>
                <w:color w:val="auto"/>
              </w:rPr>
            </w:pPr>
          </w:p>
        </w:tc>
        <w:tc>
          <w:tcPr>
            <w:tcW w:w="80" w:type="dxa"/>
            <w:vAlign w:val="bottom"/>
            <w:tcBorders>
              <w:bottom w:val="single" w:sz="8" w:color="auto"/>
            </w:tcBorders>
            <w:shd w:val="clear" w:color="auto" w:fill="BA0C2F"/>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5"/>
        </w:trPr>
        <w:tc>
          <w:tcPr>
            <w:tcW w:w="60" w:type="dxa"/>
            <w:vAlign w:val="bottom"/>
          </w:tcPr>
          <w:p>
            <w:pPr>
              <w:spacing w:after="0" w:line="115" w:lineRule="exact"/>
              <w:rPr>
                <w:sz w:val="20"/>
                <w:szCs w:val="20"/>
                <w:color w:val="auto"/>
              </w:rPr>
            </w:pPr>
            <w:r>
              <w:rPr>
                <w:rFonts w:ascii="Arial" w:cs="Arial" w:eastAsia="Arial" w:hAnsi="Arial"/>
                <w:sz w:val="13"/>
                <w:szCs w:val="13"/>
                <w:color w:val="BA0C2F"/>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Director Independence</w:t>
            </w:r>
          </w:p>
        </w:tc>
        <w:tc>
          <w:tcPr>
            <w:tcW w:w="940" w:type="dxa"/>
            <w:vAlign w:val="bottom"/>
          </w:tcPr>
          <w:p>
            <w:pPr>
              <w:ind w:left="860"/>
              <w:spacing w:after="0" w:line="115" w:lineRule="exact"/>
              <w:rPr>
                <w:sz w:val="20"/>
                <w:szCs w:val="20"/>
                <w:color w:val="auto"/>
              </w:rPr>
            </w:pPr>
            <w:r>
              <w:rPr>
                <w:rFonts w:ascii="Arial" w:cs="Arial" w:eastAsia="Arial" w:hAnsi="Arial"/>
                <w:sz w:val="13"/>
                <w:szCs w:val="13"/>
                <w:color w:val="BA0C2F"/>
              </w:rPr>
              <w:t>​</w:t>
            </w:r>
          </w:p>
        </w:tc>
        <w:tc>
          <w:tcPr>
            <w:tcW w:w="100" w:type="dxa"/>
            <w:vAlign w:val="bottom"/>
          </w:tcPr>
          <w:p>
            <w:pPr>
              <w:ind w:left="40"/>
              <w:spacing w:after="0" w:line="115" w:lineRule="exact"/>
              <w:rPr>
                <w:sz w:val="20"/>
                <w:szCs w:val="20"/>
                <w:color w:val="auto"/>
              </w:rPr>
            </w:pPr>
            <w:r>
              <w:rPr>
                <w:rFonts w:ascii="Arial" w:cs="Arial" w:eastAsia="Arial" w:hAnsi="Arial"/>
                <w:sz w:val="13"/>
                <w:szCs w:val="13"/>
                <w:color w:val="BA0C2F"/>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15" w:lineRule="exact"/>
              <w:rPr>
                <w:sz w:val="20"/>
                <w:szCs w:val="20"/>
                <w:color w:val="auto"/>
              </w:rPr>
            </w:pPr>
            <w:r>
              <w:rPr>
                <w:rFonts w:ascii="Arial" w:cs="Arial" w:eastAsia="Arial" w:hAnsi="Arial"/>
                <w:sz w:val="13"/>
                <w:szCs w:val="13"/>
                <w:color w:val="BA0C2F"/>
              </w:rPr>
              <w:t>​</w:t>
            </w:r>
          </w:p>
        </w:tc>
        <w:tc>
          <w:tcPr>
            <w:tcW w:w="436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Arial" w:cs="Arial" w:eastAsia="Arial" w:hAnsi="Arial"/>
                <w:sz w:val="13"/>
                <w:szCs w:val="13"/>
                <w:color w:val="BA0C2F"/>
              </w:rPr>
              <w:t>​</w:t>
            </w:r>
          </w:p>
        </w:tc>
        <w:tc>
          <w:tcPr>
            <w:tcW w:w="0" w:type="dxa"/>
            <w:vAlign w:val="bottom"/>
          </w:tcPr>
          <w:p>
            <w:pPr>
              <w:spacing w:after="0"/>
              <w:rPr>
                <w:sz w:val="1"/>
                <w:szCs w:val="1"/>
                <w:color w:val="auto"/>
              </w:rPr>
            </w:pPr>
          </w:p>
        </w:tc>
      </w:tr>
      <w:tr>
        <w:trPr>
          <w:trHeight w:val="149"/>
        </w:trPr>
        <w:tc>
          <w:tcPr>
            <w:tcW w:w="60" w:type="dxa"/>
            <w:vAlign w:val="bottom"/>
            <w:tcBorders>
              <w:bottom w:val="single" w:sz="8" w:color="666666"/>
            </w:tcBorders>
          </w:tcPr>
          <w:p>
            <w:pPr>
              <w:spacing w:after="0"/>
              <w:rPr>
                <w:sz w:val="12"/>
                <w:szCs w:val="12"/>
                <w:color w:val="auto"/>
              </w:rPr>
            </w:pPr>
          </w:p>
        </w:tc>
        <w:tc>
          <w:tcPr>
            <w:tcW w:w="3760" w:type="dxa"/>
            <w:vAlign w:val="bottom"/>
            <w:tcBorders>
              <w:bottom w:val="single" w:sz="8" w:color="666666"/>
            </w:tcBorders>
            <w:vMerge w:val="continue"/>
          </w:tcPr>
          <w:p>
            <w:pPr>
              <w:spacing w:after="0"/>
              <w:rPr>
                <w:sz w:val="12"/>
                <w:szCs w:val="12"/>
                <w:color w:val="auto"/>
              </w:rPr>
            </w:pPr>
          </w:p>
        </w:tc>
        <w:tc>
          <w:tcPr>
            <w:tcW w:w="940" w:type="dxa"/>
            <w:vAlign w:val="bottom"/>
            <w:tcBorders>
              <w:bottom w:val="single" w:sz="8" w:color="666666"/>
            </w:tcBorders>
          </w:tcPr>
          <w:p>
            <w:pPr>
              <w:spacing w:after="0"/>
              <w:rPr>
                <w:sz w:val="12"/>
                <w:szCs w:val="12"/>
                <w:color w:val="auto"/>
              </w:rPr>
            </w:pPr>
          </w:p>
        </w:tc>
        <w:tc>
          <w:tcPr>
            <w:tcW w:w="100" w:type="dxa"/>
            <w:vAlign w:val="bottom"/>
            <w:tcBorders>
              <w:bottom w:val="single" w:sz="8" w:color="666666"/>
            </w:tcBorders>
          </w:tcPr>
          <w:p>
            <w:pPr>
              <w:spacing w:after="0"/>
              <w:rPr>
                <w:sz w:val="12"/>
                <w:szCs w:val="12"/>
                <w:color w:val="auto"/>
              </w:rPr>
            </w:pPr>
          </w:p>
        </w:tc>
        <w:tc>
          <w:tcPr>
            <w:tcW w:w="200" w:type="dxa"/>
            <w:vAlign w:val="bottom"/>
            <w:tcBorders>
              <w:bottom w:val="single" w:sz="8" w:color="666666"/>
            </w:tcBorders>
            <w:vMerge w:val="continue"/>
          </w:tcPr>
          <w:p>
            <w:pPr>
              <w:spacing w:after="0"/>
              <w:rPr>
                <w:sz w:val="12"/>
                <w:szCs w:val="12"/>
                <w:color w:val="auto"/>
              </w:rPr>
            </w:pPr>
          </w:p>
        </w:tc>
        <w:tc>
          <w:tcPr>
            <w:tcW w:w="4660" w:type="dxa"/>
            <w:vAlign w:val="bottom"/>
            <w:tcBorders>
              <w:bottom w:val="single" w:sz="8" w:color="666666"/>
            </w:tcBorders>
            <w:gridSpan w:val="2"/>
          </w:tcPr>
          <w:p>
            <w:pPr>
              <w:ind w:left="60"/>
              <w:spacing w:after="0" w:line="149" w:lineRule="exact"/>
              <w:rPr>
                <w:sz w:val="20"/>
                <w:szCs w:val="20"/>
                <w:color w:val="auto"/>
              </w:rPr>
            </w:pPr>
            <w:r>
              <w:rPr>
                <w:rFonts w:ascii="Arial" w:cs="Arial" w:eastAsia="Arial" w:hAnsi="Arial"/>
                <w:sz w:val="14"/>
                <w:szCs w:val="14"/>
                <w:color w:val="auto"/>
              </w:rPr>
              <w:t>4 out of 5 of our directors are independent.</w:t>
            </w:r>
          </w:p>
        </w:tc>
        <w:tc>
          <w:tcPr>
            <w:tcW w:w="8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Director Diversity</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3 out of 5 of our directors are “diverse” under the new Nasdaq diversity</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definitions.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Chairperson of the Board</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We have an independent Chairperson of the Board who, among other</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items: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BA0C2F"/>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reviews Board meeting schedules and agendas to assure there is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an adequate number of scheduled meetings and that sufficient time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for discussion of all agenda items and all topics deemed important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by the independent directors are included;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presides at all meetings of the Board, including executive sessions,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and can call for executive sessions of the Board’s independent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directors, if and when deemed appropriate;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leads the Board’s annual evaluation of the CEO;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BA0C2F"/>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monitors and collaborates with management regarding corporate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governance matters; and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BA0C2F"/>
              </w:rPr>
              <w:t xml:space="preserve">• </w:t>
            </w:r>
            <w:r>
              <w:rPr>
                <w:rFonts w:ascii="Arial" w:cs="Arial" w:eastAsia="Arial" w:hAnsi="Arial"/>
                <w:sz w:val="14"/>
                <w:szCs w:val="14"/>
                <w:color w:val="000000"/>
              </w:rPr>
              <w:t>is available for communication with shareholders, in coordination</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with management, when appropriate.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666666"/>
            </w:tcBorders>
          </w:tcPr>
          <w:p>
            <w:pPr>
              <w:spacing w:after="0"/>
              <w:rPr>
                <w:sz w:val="4"/>
                <w:szCs w:val="4"/>
                <w:color w:val="auto"/>
              </w:rPr>
            </w:pPr>
          </w:p>
        </w:tc>
        <w:tc>
          <w:tcPr>
            <w:tcW w:w="3760" w:type="dxa"/>
            <w:vAlign w:val="bottom"/>
            <w:tcBorders>
              <w:bottom w:val="single" w:sz="8" w:color="666666"/>
            </w:tcBorders>
          </w:tcPr>
          <w:p>
            <w:pPr>
              <w:spacing w:after="0"/>
              <w:rPr>
                <w:sz w:val="4"/>
                <w:szCs w:val="4"/>
                <w:color w:val="auto"/>
              </w:rPr>
            </w:pPr>
          </w:p>
        </w:tc>
        <w:tc>
          <w:tcPr>
            <w:tcW w:w="940" w:type="dxa"/>
            <w:vAlign w:val="bottom"/>
            <w:tcBorders>
              <w:bottom w:val="single" w:sz="8" w:color="666666"/>
            </w:tcBorders>
          </w:tcPr>
          <w:p>
            <w:pPr>
              <w:spacing w:after="0"/>
              <w:rPr>
                <w:sz w:val="4"/>
                <w:szCs w:val="4"/>
                <w:color w:val="auto"/>
              </w:rPr>
            </w:pPr>
          </w:p>
        </w:tc>
        <w:tc>
          <w:tcPr>
            <w:tcW w:w="100" w:type="dxa"/>
            <w:vAlign w:val="bottom"/>
            <w:tcBorders>
              <w:bottom w:val="single" w:sz="8" w:color="666666"/>
            </w:tcBorders>
          </w:tcPr>
          <w:p>
            <w:pPr>
              <w:spacing w:after="0"/>
              <w:rPr>
                <w:sz w:val="4"/>
                <w:szCs w:val="4"/>
                <w:color w:val="auto"/>
              </w:rPr>
            </w:pPr>
          </w:p>
        </w:tc>
        <w:tc>
          <w:tcPr>
            <w:tcW w:w="20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tcPr>
          <w:p>
            <w:pPr>
              <w:spacing w:after="0"/>
              <w:rPr>
                <w:sz w:val="4"/>
                <w:szCs w:val="4"/>
                <w:color w:val="auto"/>
              </w:rPr>
            </w:pPr>
          </w:p>
        </w:tc>
        <w:tc>
          <w:tcPr>
            <w:tcW w:w="4360" w:type="dxa"/>
            <w:vAlign w:val="bottom"/>
            <w:tcBorders>
              <w:bottom w:val="single" w:sz="8" w:color="666666"/>
            </w:tcBorders>
          </w:tcPr>
          <w:p>
            <w:pPr>
              <w:spacing w:after="0"/>
              <w:rPr>
                <w:sz w:val="4"/>
                <w:szCs w:val="4"/>
                <w:color w:val="auto"/>
              </w:rPr>
            </w:pPr>
          </w:p>
        </w:tc>
        <w:tc>
          <w:tcPr>
            <w:tcW w:w="8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Committee Structure</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Our Committees, other than the Safety, Environment and Sustainability</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Committee, are composed entirely of independent directors.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20" w:type="dxa"/>
            <w:vAlign w:val="bottom"/>
            <w:tcBorders>
              <w:bottom w:val="single" w:sz="8" w:color="666666"/>
            </w:tcBorders>
            <w:gridSpan w:val="2"/>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spacing w:after="0" w:line="129" w:lineRule="exact"/>
              <w:rPr>
                <w:sz w:val="20"/>
                <w:szCs w:val="20"/>
                <w:color w:val="auto"/>
              </w:rPr>
            </w:pPr>
            <w:r>
              <w:rPr>
                <w:rFonts w:ascii="Arial" w:cs="Arial" w:eastAsia="Arial" w:hAnsi="Arial"/>
                <w:sz w:val="14"/>
                <w:szCs w:val="14"/>
                <w:color w:val="auto"/>
              </w:rPr>
              <w:t>​ ​</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On an annual basis, the Nominating and Governance Committee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evaluates and recommends Committee chairs to the Board and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assesses the appropriateness of any chair or Committee rotations.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Executive Sessions</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Independent directors meet regularly in executive session, including at</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all regularly scheduled meetings.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Annual Voting</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Each member of our Board is elected annually with a majority voting</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standard for uncontested elections.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line="115" w:lineRule="exact"/>
              <w:rPr>
                <w:sz w:val="20"/>
                <w:szCs w:val="20"/>
                <w:color w:val="auto"/>
              </w:rPr>
            </w:pPr>
            <w:r>
              <w:rPr>
                <w:rFonts w:ascii="Arial" w:cs="Arial" w:eastAsia="Arial" w:hAnsi="Arial"/>
                <w:sz w:val="13"/>
                <w:szCs w:val="13"/>
                <w:color w:val="BA0C2F"/>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Annual Board and Committee Self Evaluation</w:t>
            </w:r>
          </w:p>
        </w:tc>
        <w:tc>
          <w:tcPr>
            <w:tcW w:w="940" w:type="dxa"/>
            <w:vAlign w:val="bottom"/>
          </w:tcPr>
          <w:p>
            <w:pPr>
              <w:ind w:left="860"/>
              <w:spacing w:after="0" w:line="115" w:lineRule="exact"/>
              <w:rPr>
                <w:sz w:val="20"/>
                <w:szCs w:val="20"/>
                <w:color w:val="auto"/>
              </w:rPr>
            </w:pPr>
            <w:r>
              <w:rPr>
                <w:rFonts w:ascii="Arial" w:cs="Arial" w:eastAsia="Arial" w:hAnsi="Arial"/>
                <w:sz w:val="13"/>
                <w:szCs w:val="13"/>
                <w:color w:val="BA0C2F"/>
              </w:rPr>
              <w:t>​</w:t>
            </w:r>
          </w:p>
        </w:tc>
        <w:tc>
          <w:tcPr>
            <w:tcW w:w="100" w:type="dxa"/>
            <w:vAlign w:val="bottom"/>
          </w:tcPr>
          <w:p>
            <w:pPr>
              <w:ind w:left="40"/>
              <w:spacing w:after="0" w:line="115" w:lineRule="exact"/>
              <w:rPr>
                <w:sz w:val="20"/>
                <w:szCs w:val="20"/>
                <w:color w:val="auto"/>
              </w:rPr>
            </w:pPr>
            <w:r>
              <w:rPr>
                <w:rFonts w:ascii="Arial" w:cs="Arial" w:eastAsia="Arial" w:hAnsi="Arial"/>
                <w:sz w:val="13"/>
                <w:szCs w:val="13"/>
                <w:color w:val="BA0C2F"/>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15" w:lineRule="exact"/>
              <w:rPr>
                <w:sz w:val="20"/>
                <w:szCs w:val="20"/>
                <w:color w:val="auto"/>
              </w:rPr>
            </w:pPr>
            <w:r>
              <w:rPr>
                <w:rFonts w:ascii="Arial" w:cs="Arial" w:eastAsia="Arial" w:hAnsi="Arial"/>
                <w:sz w:val="13"/>
                <w:szCs w:val="13"/>
                <w:color w:val="BA0C2F"/>
              </w:rPr>
              <w:t>​</w:t>
            </w:r>
          </w:p>
        </w:tc>
        <w:tc>
          <w:tcPr>
            <w:tcW w:w="436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Arial" w:cs="Arial" w:eastAsia="Arial" w:hAnsi="Arial"/>
                <w:sz w:val="13"/>
                <w:szCs w:val="13"/>
                <w:color w:val="BA0C2F"/>
              </w:rPr>
              <w:t>​</w:t>
            </w:r>
          </w:p>
        </w:tc>
        <w:tc>
          <w:tcPr>
            <w:tcW w:w="0" w:type="dxa"/>
            <w:vAlign w:val="bottom"/>
          </w:tcPr>
          <w:p>
            <w:pPr>
              <w:spacing w:after="0"/>
              <w:rPr>
                <w:sz w:val="1"/>
                <w:szCs w:val="1"/>
                <w:color w:val="auto"/>
              </w:rPr>
            </w:pPr>
          </w:p>
        </w:tc>
      </w:tr>
      <w:tr>
        <w:trPr>
          <w:trHeight w:val="148"/>
        </w:trPr>
        <w:tc>
          <w:tcPr>
            <w:tcW w:w="60" w:type="dxa"/>
            <w:vAlign w:val="bottom"/>
            <w:tcBorders>
              <w:bottom w:val="single" w:sz="8" w:color="666666"/>
            </w:tcBorders>
          </w:tcPr>
          <w:p>
            <w:pPr>
              <w:spacing w:after="0"/>
              <w:rPr>
                <w:sz w:val="12"/>
                <w:szCs w:val="12"/>
                <w:color w:val="auto"/>
              </w:rPr>
            </w:pPr>
          </w:p>
        </w:tc>
        <w:tc>
          <w:tcPr>
            <w:tcW w:w="3760" w:type="dxa"/>
            <w:vAlign w:val="bottom"/>
            <w:tcBorders>
              <w:bottom w:val="single" w:sz="8" w:color="666666"/>
            </w:tcBorders>
            <w:vMerge w:val="continue"/>
          </w:tcPr>
          <w:p>
            <w:pPr>
              <w:spacing w:after="0"/>
              <w:rPr>
                <w:sz w:val="12"/>
                <w:szCs w:val="12"/>
                <w:color w:val="auto"/>
              </w:rPr>
            </w:pPr>
          </w:p>
        </w:tc>
        <w:tc>
          <w:tcPr>
            <w:tcW w:w="940" w:type="dxa"/>
            <w:vAlign w:val="bottom"/>
            <w:tcBorders>
              <w:bottom w:val="single" w:sz="8" w:color="666666"/>
            </w:tcBorders>
          </w:tcPr>
          <w:p>
            <w:pPr>
              <w:spacing w:after="0"/>
              <w:rPr>
                <w:sz w:val="12"/>
                <w:szCs w:val="12"/>
                <w:color w:val="auto"/>
              </w:rPr>
            </w:pPr>
          </w:p>
        </w:tc>
        <w:tc>
          <w:tcPr>
            <w:tcW w:w="100" w:type="dxa"/>
            <w:vAlign w:val="bottom"/>
            <w:tcBorders>
              <w:bottom w:val="single" w:sz="8" w:color="666666"/>
            </w:tcBorders>
          </w:tcPr>
          <w:p>
            <w:pPr>
              <w:spacing w:after="0"/>
              <w:rPr>
                <w:sz w:val="12"/>
                <w:szCs w:val="12"/>
                <w:color w:val="auto"/>
              </w:rPr>
            </w:pPr>
          </w:p>
        </w:tc>
        <w:tc>
          <w:tcPr>
            <w:tcW w:w="200" w:type="dxa"/>
            <w:vAlign w:val="bottom"/>
            <w:tcBorders>
              <w:bottom w:val="single" w:sz="8" w:color="666666"/>
            </w:tcBorders>
            <w:vMerge w:val="continue"/>
          </w:tcPr>
          <w:p>
            <w:pPr>
              <w:spacing w:after="0"/>
              <w:rPr>
                <w:sz w:val="12"/>
                <w:szCs w:val="12"/>
                <w:color w:val="auto"/>
              </w:rPr>
            </w:pPr>
          </w:p>
        </w:tc>
        <w:tc>
          <w:tcPr>
            <w:tcW w:w="4660" w:type="dxa"/>
            <w:vAlign w:val="bottom"/>
            <w:tcBorders>
              <w:bottom w:val="single" w:sz="8" w:color="666666"/>
            </w:tcBorders>
            <w:gridSpan w:val="2"/>
          </w:tcPr>
          <w:p>
            <w:pPr>
              <w:ind w:left="60"/>
              <w:spacing w:after="0" w:line="149" w:lineRule="exact"/>
              <w:rPr>
                <w:sz w:val="20"/>
                <w:szCs w:val="20"/>
                <w:color w:val="auto"/>
              </w:rPr>
            </w:pPr>
            <w:r>
              <w:rPr>
                <w:rFonts w:ascii="Arial" w:cs="Arial" w:eastAsia="Arial" w:hAnsi="Arial"/>
                <w:sz w:val="14"/>
                <w:szCs w:val="14"/>
                <w:color w:val="auto"/>
              </w:rPr>
              <w:t>The Board and each Committee conduct annual self-evaluations.</w:t>
            </w:r>
          </w:p>
        </w:tc>
        <w:tc>
          <w:tcPr>
            <w:tcW w:w="8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Share Ownership Guidelines</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Subject to a five-year transition period, our directors are required to own</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at least five times their annual cash retainers; our CEO is required to</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own at least six times his annual base salary; and our other named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executive officers (“NEOs”) are required to own three times their annual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base salaries.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Risk Oversight</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Our entire Board is responsible for risk management of the Company,</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and our Committees have particular oversight of certain key risks,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including those that are identified in the Company’s enterprise risk</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management program.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Succession Planning</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CEO succession planning is reviewed and discussed at least annually;</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additionally, the CEO reports to the Board on at least an annual basis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concerning management development and succession planning for all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other key positions.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Code of Business Conduct</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We have a robust and comprehensive Code of Business Conduct that</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applies to all employees and each director.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No Hedging of Company Securities</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660" w:type="dxa"/>
            <w:vAlign w:val="bottom"/>
            <w:gridSpan w:val="2"/>
          </w:tcPr>
          <w:p>
            <w:pPr>
              <w:ind w:left="60"/>
              <w:spacing w:after="0" w:line="72" w:lineRule="exact"/>
              <w:rPr>
                <w:sz w:val="20"/>
                <w:szCs w:val="20"/>
                <w:color w:val="auto"/>
              </w:rPr>
            </w:pPr>
            <w:r>
              <w:rPr>
                <w:rFonts w:ascii="Arial" w:cs="Arial" w:eastAsia="Arial" w:hAnsi="Arial"/>
                <w:sz w:val="8"/>
                <w:szCs w:val="8"/>
                <w:color w:val="auto"/>
              </w:rPr>
              <w:t>We prohibit our directors and executives from engaging in hedging or</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2"/>
          </w:tcPr>
          <w:p>
            <w:pPr>
              <w:ind w:left="60"/>
              <w:spacing w:after="0"/>
              <w:rPr>
                <w:sz w:val="20"/>
                <w:szCs w:val="20"/>
                <w:color w:val="auto"/>
              </w:rPr>
            </w:pPr>
            <w:r>
              <w:rPr>
                <w:rFonts w:ascii="Arial" w:cs="Arial" w:eastAsia="Arial" w:hAnsi="Arial"/>
                <w:sz w:val="14"/>
                <w:szCs w:val="14"/>
                <w:color w:val="auto"/>
              </w:rPr>
              <w:t>derivative transactions involving our 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666666"/>
            </w:tcBorders>
          </w:tcPr>
          <w:p>
            <w:pPr>
              <w:spacing w:after="0" w:line="20" w:lineRule="exact"/>
              <w:rPr>
                <w:sz w:val="1"/>
                <w:szCs w:val="1"/>
                <w:color w:val="auto"/>
              </w:rPr>
            </w:pPr>
          </w:p>
        </w:tc>
        <w:tc>
          <w:tcPr>
            <w:tcW w:w="3760" w:type="dxa"/>
            <w:vAlign w:val="bottom"/>
            <w:tcBorders>
              <w:bottom w:val="single" w:sz="8" w:color="666666"/>
            </w:tcBorders>
          </w:tcPr>
          <w:p>
            <w:pPr>
              <w:spacing w:after="0" w:line="20" w:lineRule="exact"/>
              <w:rPr>
                <w:sz w:val="1"/>
                <w:szCs w:val="1"/>
                <w:color w:val="auto"/>
              </w:rPr>
            </w:pPr>
          </w:p>
        </w:tc>
        <w:tc>
          <w:tcPr>
            <w:tcW w:w="940" w:type="dxa"/>
            <w:vAlign w:val="bottom"/>
            <w:tcBorders>
              <w:bottom w:val="single" w:sz="8" w:color="666666"/>
            </w:tcBorders>
          </w:tcPr>
          <w:p>
            <w:pPr>
              <w:spacing w:after="0" w:line="20" w:lineRule="exact"/>
              <w:rPr>
                <w:sz w:val="1"/>
                <w:szCs w:val="1"/>
                <w:color w:val="auto"/>
              </w:rPr>
            </w:pPr>
          </w:p>
        </w:tc>
        <w:tc>
          <w:tcPr>
            <w:tcW w:w="100" w:type="dxa"/>
            <w:vAlign w:val="bottom"/>
            <w:tcBorders>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00" w:type="dxa"/>
            <w:vAlign w:val="bottom"/>
            <w:tcBorders>
              <w:bottom w:val="single" w:sz="8" w:color="666666"/>
            </w:tcBorders>
          </w:tcPr>
          <w:p>
            <w:pPr>
              <w:spacing w:after="0" w:line="20" w:lineRule="exact"/>
              <w:rPr>
                <w:sz w:val="1"/>
                <w:szCs w:val="1"/>
                <w:color w:val="auto"/>
              </w:rPr>
            </w:pPr>
          </w:p>
        </w:tc>
        <w:tc>
          <w:tcPr>
            <w:tcW w:w="4360" w:type="dxa"/>
            <w:vAlign w:val="bottom"/>
            <w:tcBorders>
              <w:bottom w:val="single" w:sz="8" w:color="666666"/>
            </w:tcBorders>
          </w:tcPr>
          <w:p>
            <w:pPr>
              <w:spacing w:after="0" w:line="20" w:lineRule="exact"/>
              <w:rPr>
                <w:sz w:val="1"/>
                <w:szCs w:val="1"/>
                <w:color w:val="auto"/>
              </w:rPr>
            </w:pPr>
          </w:p>
        </w:tc>
        <w:tc>
          <w:tcPr>
            <w:tcW w:w="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3760" w:type="dxa"/>
            <w:vAlign w:val="bottom"/>
            <w:vMerge w:val="restart"/>
          </w:tcPr>
          <w:p>
            <w:pPr>
              <w:spacing w:after="0"/>
              <w:rPr>
                <w:sz w:val="20"/>
                <w:szCs w:val="20"/>
                <w:color w:val="auto"/>
              </w:rPr>
            </w:pPr>
            <w:r>
              <w:rPr>
                <w:rFonts w:ascii="Arial" w:cs="Arial" w:eastAsia="Arial" w:hAnsi="Arial"/>
                <w:sz w:val="14"/>
                <w:szCs w:val="14"/>
                <w:color w:val="BA0C2F"/>
              </w:rPr>
              <w:t>No Pledging of Company Securities</w:t>
            </w:r>
          </w:p>
        </w:tc>
        <w:tc>
          <w:tcPr>
            <w:tcW w:w="940" w:type="dxa"/>
            <w:vAlign w:val="bottom"/>
          </w:tcPr>
          <w:p>
            <w:pPr>
              <w:ind w:left="86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9"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BA0C2F"/>
                <w:w w:val="99"/>
              </w:rPr>
              <w:t>✓</w:t>
            </w:r>
          </w:p>
        </w:tc>
        <w:tc>
          <w:tcPr>
            <w:tcW w:w="30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4360" w:type="dxa"/>
            <w:vAlign w:val="bottom"/>
          </w:tcPr>
          <w:p>
            <w:pPr>
              <w:spacing w:after="0"/>
              <w:rPr>
                <w:sz w:val="11"/>
                <w:szCs w:val="11"/>
                <w:color w:val="auto"/>
              </w:rPr>
            </w:pPr>
          </w:p>
        </w:tc>
        <w:tc>
          <w:tcPr>
            <w:tcW w:w="80" w:type="dxa"/>
            <w:vAlign w:val="bottom"/>
          </w:tcPr>
          <w:p>
            <w:pPr>
              <w:ind w:left="2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60" w:type="dxa"/>
            <w:vAlign w:val="bottom"/>
            <w:gridSpan w:val="2"/>
          </w:tcPr>
          <w:p>
            <w:pPr>
              <w:ind w:left="60"/>
              <w:spacing w:after="0" w:line="86" w:lineRule="exact"/>
              <w:rPr>
                <w:sz w:val="20"/>
                <w:szCs w:val="20"/>
                <w:color w:val="auto"/>
              </w:rPr>
            </w:pPr>
            <w:r>
              <w:rPr>
                <w:rFonts w:ascii="Arial" w:cs="Arial" w:eastAsia="Arial" w:hAnsi="Arial"/>
                <w:sz w:val="9"/>
                <w:szCs w:val="9"/>
                <w:color w:val="auto"/>
              </w:rPr>
              <w:t>We prohibit our directors and executives from pledging our securities. No</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560"/>
        <w:spacing w:after="0"/>
        <w:rPr>
          <w:sz w:val="20"/>
          <w:szCs w:val="20"/>
          <w:color w:val="auto"/>
        </w:rPr>
      </w:pPr>
      <w:r>
        <w:rPr>
          <w:rFonts w:ascii="Arial" w:cs="Arial" w:eastAsia="Arial" w:hAnsi="Arial"/>
          <w:sz w:val="14"/>
          <w:szCs w:val="14"/>
          <w:color w:val="auto"/>
        </w:rPr>
        <w:t>director nominees or executives currently pledge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6223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173" w:lineRule="exact"/>
        <w:rPr>
          <w:sz w:val="20"/>
          <w:szCs w:val="20"/>
          <w:color w:val="auto"/>
        </w:rPr>
      </w:pPr>
    </w:p>
    <w:p>
      <w:pPr>
        <w:ind w:left="440" w:right="1020"/>
        <w:spacing w:after="0" w:line="296" w:lineRule="auto"/>
        <w:rPr>
          <w:sz w:val="20"/>
          <w:szCs w:val="20"/>
          <w:color w:val="auto"/>
        </w:rPr>
      </w:pPr>
      <w:r>
        <w:rPr>
          <w:rFonts w:ascii="Arial" w:cs="Arial" w:eastAsia="Arial" w:hAnsi="Arial"/>
          <w:sz w:val="18"/>
          <w:szCs w:val="18"/>
          <w:b w:val="1"/>
          <w:bCs w:val="1"/>
          <w:color w:val="BA0C2F"/>
        </w:rPr>
        <w:t xml:space="preserve">Additional information regarding Corporate Governance at Weatherford can be found on our website at </w:t>
      </w:r>
      <w:r>
        <w:rPr>
          <w:rFonts w:ascii="Arial" w:cs="Arial" w:eastAsia="Arial" w:hAnsi="Arial"/>
          <w:sz w:val="18"/>
          <w:szCs w:val="18"/>
          <w:b w:val="1"/>
          <w:bCs w:val="1"/>
          <w:i w:val="1"/>
          <w:iCs w:val="1"/>
          <w:color w:val="BA0C2F"/>
        </w:rPr>
        <w:t xml:space="preserve">www.weatherford.com </w:t>
      </w:r>
      <w:r>
        <w:rPr>
          <w:rFonts w:ascii="Arial" w:cs="Arial" w:eastAsia="Arial" w:hAnsi="Arial"/>
          <w:sz w:val="18"/>
          <w:szCs w:val="18"/>
          <w:b w:val="1"/>
          <w:bCs w:val="1"/>
          <w:color w:val="BA0C2F"/>
        </w:rPr>
        <w:t>in the “Investor Relations”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90805</wp:posOffset>
            </wp:positionV>
            <wp:extent cx="6231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54" w:lineRule="exact"/>
        <w:rPr>
          <w:sz w:val="20"/>
          <w:szCs w:val="20"/>
          <w:color w:val="auto"/>
        </w:rPr>
      </w:pPr>
    </w:p>
    <w:p>
      <w:pPr>
        <w:ind w:left="720" w:hanging="282"/>
        <w:spacing w:after="0"/>
        <w:tabs>
          <w:tab w:leader="none" w:pos="720" w:val="left"/>
        </w:tabs>
        <w:numPr>
          <w:ilvl w:val="0"/>
          <w:numId w:val="1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RISK MANAGEMENT OVERSIGHT</w:t>
      </w:r>
    </w:p>
    <w:p>
      <w:pPr>
        <w:spacing w:after="0" w:line="124" w:lineRule="exact"/>
        <w:rPr>
          <w:sz w:val="20"/>
          <w:szCs w:val="20"/>
          <w:color w:val="auto"/>
        </w:rPr>
      </w:pPr>
    </w:p>
    <w:p>
      <w:pPr>
        <w:ind w:left="440" w:right="280"/>
        <w:spacing w:after="0" w:line="245" w:lineRule="auto"/>
        <w:rPr>
          <w:sz w:val="20"/>
          <w:szCs w:val="20"/>
          <w:color w:val="auto"/>
        </w:rPr>
      </w:pPr>
      <w:r>
        <w:rPr>
          <w:rFonts w:ascii="Arial" w:cs="Arial" w:eastAsia="Arial" w:hAnsi="Arial"/>
          <w:sz w:val="18"/>
          <w:szCs w:val="18"/>
          <w:color w:val="auto"/>
        </w:rPr>
        <w:t>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risk management program. In order to maintain effective oversight, the Board has delegated to its standing Committees oversight of risks within their areas of responsibility and expertise as further described below.</w:t>
      </w:r>
    </w:p>
    <w:p>
      <w:pPr>
        <w:spacing w:after="0" w:line="82" w:lineRule="exact"/>
        <w:rPr>
          <w:sz w:val="20"/>
          <w:szCs w:val="20"/>
          <w:color w:val="auto"/>
        </w:rPr>
      </w:pPr>
    </w:p>
    <w:p>
      <w:pPr>
        <w:ind w:left="440" w:right="180"/>
        <w:spacing w:after="0" w:line="252" w:lineRule="auto"/>
        <w:rPr>
          <w:sz w:val="20"/>
          <w:szCs w:val="20"/>
          <w:color w:val="auto"/>
        </w:rPr>
      </w:pPr>
      <w:r>
        <w:rPr>
          <w:rFonts w:ascii="Arial" w:cs="Arial" w:eastAsia="Arial" w:hAnsi="Arial"/>
          <w:sz w:val="18"/>
          <w:szCs w:val="18"/>
          <w:color w:val="auto"/>
        </w:rPr>
        <w:t>Due to recent changes impacting the Company, including changes to senior management and the continued impact of COVID-19 on personnel, logistics and operations, in 2021 the Company conducted a full enterprise risk assessment to re-evaluate critical risks and its ability to mitigate those risks. The results of this risk assessment were presented to the Audit Committee in late 2021.</w:t>
      </w:r>
    </w:p>
    <w:p>
      <w:pPr>
        <w:spacing w:after="0" w:line="62" w:lineRule="exact"/>
        <w:rPr>
          <w:sz w:val="20"/>
          <w:szCs w:val="20"/>
          <w:color w:val="auto"/>
        </w:rPr>
      </w:pPr>
    </w:p>
    <w:p>
      <w:pPr>
        <w:ind w:left="440"/>
        <w:spacing w:after="0" w:line="258" w:lineRule="auto"/>
        <w:rPr>
          <w:sz w:val="20"/>
          <w:szCs w:val="20"/>
          <w:color w:val="auto"/>
        </w:rPr>
      </w:pPr>
      <w:r>
        <w:rPr>
          <w:rFonts w:ascii="Arial" w:cs="Arial" w:eastAsia="Arial" w:hAnsi="Arial"/>
          <w:sz w:val="17"/>
          <w:szCs w:val="17"/>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certain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Business Conduct and other matters.</w:t>
      </w:r>
    </w:p>
    <w:p>
      <w:pPr>
        <w:spacing w:after="0" w:line="78" w:lineRule="exact"/>
        <w:rPr>
          <w:sz w:val="20"/>
          <w:szCs w:val="20"/>
          <w:color w:val="auto"/>
        </w:rPr>
      </w:pPr>
    </w:p>
    <w:p>
      <w:pPr>
        <w:ind w:left="440" w:right="160"/>
        <w:spacing w:after="0" w:line="245" w:lineRule="auto"/>
        <w:rPr>
          <w:sz w:val="20"/>
          <w:szCs w:val="20"/>
          <w:color w:val="auto"/>
        </w:rPr>
      </w:pPr>
      <w:r>
        <w:rPr>
          <w:rFonts w:ascii="Arial" w:cs="Arial" w:eastAsia="Arial" w:hAnsi="Arial"/>
          <w:sz w:val="18"/>
          <w:szCs w:val="18"/>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and compliance with our Minimum Share Ownership Guidelines. The results of those evaluations are also considered as part of the Nominating and Governance Committee’s recommendations for Committee service and rotation, as appropriate.</w:t>
      </w:r>
    </w:p>
    <w:p>
      <w:pPr>
        <w:spacing w:after="0" w:line="69" w:lineRule="exact"/>
        <w:rPr>
          <w:sz w:val="20"/>
          <w:szCs w:val="20"/>
          <w:color w:val="auto"/>
        </w:rPr>
      </w:pPr>
    </w:p>
    <w:p>
      <w:pPr>
        <w:ind w:left="440"/>
        <w:spacing w:after="0" w:line="251" w:lineRule="auto"/>
        <w:rPr>
          <w:sz w:val="20"/>
          <w:szCs w:val="20"/>
          <w:color w:val="auto"/>
        </w:rPr>
      </w:pPr>
      <w:r>
        <w:rPr>
          <w:rFonts w:ascii="Arial" w:cs="Arial" w:eastAsia="Arial" w:hAnsi="Arial"/>
          <w:sz w:val="18"/>
          <w:szCs w:val="18"/>
          <w:color w:val="auto"/>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65" w:lineRule="exact"/>
        <w:rPr>
          <w:sz w:val="20"/>
          <w:szCs w:val="20"/>
          <w:color w:val="auto"/>
        </w:rPr>
      </w:pPr>
    </w:p>
    <w:p>
      <w:pPr>
        <w:ind w:left="440" w:right="40"/>
        <w:spacing w:after="0" w:line="283" w:lineRule="auto"/>
        <w:rPr>
          <w:sz w:val="20"/>
          <w:szCs w:val="20"/>
          <w:color w:val="auto"/>
        </w:rPr>
      </w:pPr>
      <w:r>
        <w:rPr>
          <w:rFonts w:ascii="Arial" w:cs="Arial" w:eastAsia="Arial" w:hAnsi="Arial"/>
          <w:sz w:val="17"/>
          <w:szCs w:val="17"/>
          <w:color w:val="auto"/>
        </w:rPr>
        <w:t>Our Safety, Environment and Sustainability Committee oversees the Company’s policies and practices to promote good stewardship, to encourage safety awareness, to monitor safety performance and to provide suggestions to management for the resolution of quality, health, safety and environmental concerns, all with a view towards reducing risks in those areas.</w:t>
      </w:r>
    </w:p>
    <w:p>
      <w:pPr>
        <w:spacing w:after="0" w:line="67" w:lineRule="exact"/>
        <w:rPr>
          <w:sz w:val="20"/>
          <w:szCs w:val="20"/>
          <w:color w:val="auto"/>
        </w:rPr>
      </w:pPr>
    </w:p>
    <w:p>
      <w:pPr>
        <w:ind w:left="440" w:right="640"/>
        <w:spacing w:after="0" w:line="258" w:lineRule="auto"/>
        <w:rPr>
          <w:sz w:val="20"/>
          <w:szCs w:val="20"/>
          <w:color w:val="auto"/>
        </w:rPr>
      </w:pPr>
      <w:r>
        <w:rPr>
          <w:rFonts w:ascii="Arial" w:cs="Arial" w:eastAsia="Arial" w:hAnsi="Arial"/>
          <w:sz w:val="43"/>
          <w:szCs w:val="43"/>
          <w:b w:val="1"/>
          <w:bCs w:val="1"/>
          <w:color w:val="7F7F7F"/>
        </w:rPr>
        <w:t>SUCCESSION PLANNING AND LEADERSHIP DEVELOPMENT</w:t>
      </w:r>
    </w:p>
    <w:p>
      <w:pPr>
        <w:spacing w:after="0" w:line="1" w:lineRule="exact"/>
        <w:rPr>
          <w:sz w:val="20"/>
          <w:szCs w:val="20"/>
          <w:color w:val="auto"/>
        </w:rPr>
      </w:pPr>
    </w:p>
    <w:p>
      <w:pPr>
        <w:ind w:left="440"/>
        <w:spacing w:after="0" w:line="246" w:lineRule="auto"/>
        <w:rPr>
          <w:sz w:val="20"/>
          <w:szCs w:val="20"/>
          <w:color w:val="auto"/>
        </w:rPr>
      </w:pPr>
      <w:r>
        <w:rPr>
          <w:rFonts w:ascii="Arial" w:cs="Arial" w:eastAsia="Arial" w:hAnsi="Arial"/>
          <w:sz w:val="18"/>
          <w:szCs w:val="18"/>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Although we have recently rebuilt the executive leadership team, generally, throughout the year, the Board is presented with high-potential leadership candidates and is regularly updated on key talent metrics, including diversity, recruiting, retention, and development programs. The CEO reports to the Board on an annual (or more frequent, as needed) basis concerning management development and succession planning for other key positions. In addition, the Nominating and Governance Committee conducts annual CEO succession planning in executive session.</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DIRECTOR INDEPENDENCE</w:t>
      </w:r>
    </w:p>
    <w:p>
      <w:pPr>
        <w:spacing w:after="0" w:line="124" w:lineRule="exact"/>
        <w:rPr>
          <w:sz w:val="20"/>
          <w:szCs w:val="20"/>
          <w:color w:val="auto"/>
        </w:rPr>
      </w:pPr>
    </w:p>
    <w:p>
      <w:pPr>
        <w:ind w:left="440" w:right="100"/>
        <w:spacing w:after="0" w:line="301" w:lineRule="auto"/>
        <w:rPr>
          <w:sz w:val="20"/>
          <w:szCs w:val="20"/>
          <w:color w:val="auto"/>
        </w:rPr>
      </w:pPr>
      <w:r>
        <w:rPr>
          <w:rFonts w:ascii="Arial" w:cs="Arial" w:eastAsia="Arial" w:hAnsi="Arial"/>
          <w:sz w:val="17"/>
          <w:szCs w:val="17"/>
          <w:color w:val="auto"/>
        </w:rPr>
        <w:t>The Board has affirmatively determined that each non-employee director is independent under the rules of Nasdaq and the SEC. As contemplated by Nasdaq rules, the Board has adopted categorical standards to assist it in making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95250</wp:posOffset>
            </wp:positionV>
            <wp:extent cx="6231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61"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AGENDA ITEM 1</w:t>
      </w:r>
    </w:p>
    <w:p>
      <w:pPr>
        <w:spacing w:after="0" w:line="153"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RELATED PERSON TRANSACTIONS</w:t>
      </w:r>
    </w:p>
    <w:p>
      <w:pPr>
        <w:spacing w:after="0" w:line="124" w:lineRule="exact"/>
        <w:rPr>
          <w:sz w:val="20"/>
          <w:szCs w:val="20"/>
          <w:color w:val="auto"/>
        </w:rPr>
      </w:pPr>
    </w:p>
    <w:p>
      <w:pPr>
        <w:ind w:left="440" w:right="60"/>
        <w:spacing w:after="0" w:line="256" w:lineRule="auto"/>
        <w:rPr>
          <w:sz w:val="20"/>
          <w:szCs w:val="20"/>
          <w:color w:val="auto"/>
        </w:rPr>
      </w:pPr>
      <w:r>
        <w:rPr>
          <w:rFonts w:ascii="Arial" w:cs="Arial" w:eastAsia="Arial" w:hAnsi="Arial"/>
          <w:sz w:val="18"/>
          <w:szCs w:val="18"/>
          <w:color w:val="auto"/>
        </w:rPr>
        <w:t>The Board’s policies regarding related person transactions are part of the Company’s comprehensive governance program. The rules governing transactions between us or any of our affiliates and our directors, executive officers and other employees is set forth in writing in our Corporate Governance Principles and our Code of Business Conduct. These documents are available on our website at www.weatherford.com, by clicking on “Investor Relations,” then “Corporate Governance,” then “Corporate Documents,” then selecting “Corporate Governance Principles” or “Code of Business Conduct,” as applicable. The Board believes these documents promote the effective functioning of the Board, its Committees and management. Accordingly, they are reviewed on an annual basis and revised, as appropriate.</w:t>
      </w:r>
    </w:p>
    <w:p>
      <w:pPr>
        <w:spacing w:after="0" w:line="75" w:lineRule="exact"/>
        <w:rPr>
          <w:sz w:val="20"/>
          <w:szCs w:val="20"/>
          <w:color w:val="auto"/>
        </w:rPr>
      </w:pPr>
    </w:p>
    <w:p>
      <w:pPr>
        <w:jc w:val="both"/>
        <w:ind w:left="440" w:right="580"/>
        <w:spacing w:after="0" w:line="259" w:lineRule="auto"/>
        <w:rPr>
          <w:sz w:val="20"/>
          <w:szCs w:val="20"/>
          <w:color w:val="auto"/>
        </w:rPr>
      </w:pPr>
      <w:r>
        <w:rPr>
          <w:rFonts w:ascii="Arial" w:cs="Arial" w:eastAsia="Arial" w:hAnsi="Arial"/>
          <w:sz w:val="18"/>
          <w:szCs w:val="18"/>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CEO and our CEO approves any transactions with any other executive officer and reports any material related person transaction so approved to the Board at their next regularly scheduled meeting.</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2021, there was one related party transaction that was reviewed and approved by the Audit Committee. On</w:t>
      </w:r>
    </w:p>
    <w:p>
      <w:pPr>
        <w:spacing w:after="0" w:line="27" w:lineRule="exact"/>
        <w:rPr>
          <w:sz w:val="20"/>
          <w:szCs w:val="20"/>
          <w:color w:val="auto"/>
        </w:rPr>
      </w:pPr>
    </w:p>
    <w:p>
      <w:pPr>
        <w:jc w:val="both"/>
        <w:ind w:left="440" w:right="20"/>
        <w:spacing w:after="0" w:line="265" w:lineRule="auto"/>
        <w:rPr>
          <w:sz w:val="20"/>
          <w:szCs w:val="20"/>
          <w:color w:val="auto"/>
        </w:rPr>
      </w:pPr>
      <w:r>
        <w:rPr>
          <w:rFonts w:ascii="Arial" w:cs="Arial" w:eastAsia="Arial" w:hAnsi="Arial"/>
          <w:sz w:val="17"/>
          <w:szCs w:val="17"/>
          <w:color w:val="auto"/>
        </w:rPr>
        <w:t>September 20, 2021, the Company, its subsidiary Weatherford International Ltd. (the “Issuer”) and certain other subsidiaries of the Company (the “Guarantors”) entered into a backstop agreement (the “Backstop Agreement”) with funds managed by Franklin Advisers, Inc. (the “Commitment Parties”) relating to the private offering by the Issuer (the “Offering”) of</w:t>
      </w:r>
    </w:p>
    <w:p>
      <w:pPr>
        <w:ind w:left="440" w:right="60"/>
        <w:spacing w:after="0" w:line="253" w:lineRule="auto"/>
        <w:rPr>
          <w:sz w:val="20"/>
          <w:szCs w:val="20"/>
          <w:color w:val="auto"/>
        </w:rPr>
      </w:pPr>
      <w:r>
        <w:rPr>
          <w:rFonts w:ascii="Arial" w:cs="Arial" w:eastAsia="Arial" w:hAnsi="Arial"/>
          <w:sz w:val="18"/>
          <w:szCs w:val="18"/>
          <w:color w:val="auto"/>
        </w:rPr>
        <w:t>$500.0 million in aggregate principal amount of 6.5% senior secured first lien notes due 2028 (the “Secured Notes”). At the time, Franklin Advisers, Inc. and the Commitment Parties owned approximately 21% of the issued and outstanding ordinary shares of the Company. Subject to certain terms and conditions, the Commitment Parties agreed to purchase Secured Notes that would have remained unsold following the Offering. Because the Offering was fully subscribed, the Commitment Parties did not purchase any Secured Notes under the Backstop Agreement. In connection with the Backstop Agreement, the Issuer paid certain fees totaling approximately $3.125 million plus other reimbursable expenses to the Commitment Parties.</w:t>
      </w:r>
    </w:p>
    <w:p>
      <w:pPr>
        <w:spacing w:after="0" w:line="104" w:lineRule="exact"/>
        <w:rPr>
          <w:sz w:val="20"/>
          <w:szCs w:val="20"/>
          <w:color w:val="auto"/>
        </w:rPr>
      </w:pPr>
    </w:p>
    <w:p>
      <w:pPr>
        <w:ind w:left="440" w:right="2360"/>
        <w:spacing w:after="0" w:line="264" w:lineRule="auto"/>
        <w:rPr>
          <w:sz w:val="20"/>
          <w:szCs w:val="20"/>
          <w:color w:val="auto"/>
        </w:rPr>
      </w:pPr>
      <w:r>
        <w:rPr>
          <w:rFonts w:ascii="Arial" w:cs="Arial" w:eastAsia="Arial" w:hAnsi="Arial"/>
          <w:sz w:val="43"/>
          <w:szCs w:val="43"/>
          <w:b w:val="1"/>
          <w:bCs w:val="1"/>
          <w:color w:val="7F7F7F"/>
        </w:rPr>
        <w:t>INDEPENDENT CHAIRPERSON AND EXECUTIVE SESSIONS</w:t>
      </w:r>
    </w:p>
    <w:p>
      <w:pPr>
        <w:spacing w:after="0" w:line="3"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(the “Lead Independent Director”)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w:t>
      </w:r>
    </w:p>
    <w:p>
      <w:pPr>
        <w:spacing w:after="0" w:line="74" w:lineRule="exact"/>
        <w:rPr>
          <w:sz w:val="20"/>
          <w:szCs w:val="20"/>
          <w:color w:val="auto"/>
        </w:rPr>
      </w:pPr>
    </w:p>
    <w:p>
      <w:pPr>
        <w:ind w:left="440" w:right="260"/>
        <w:spacing w:after="0" w:line="259" w:lineRule="auto"/>
        <w:rPr>
          <w:sz w:val="20"/>
          <w:szCs w:val="20"/>
          <w:color w:val="auto"/>
        </w:rPr>
      </w:pPr>
      <w:r>
        <w:rPr>
          <w:rFonts w:ascii="Arial" w:cs="Arial" w:eastAsia="Arial" w:hAnsi="Arial"/>
          <w:sz w:val="18"/>
          <w:szCs w:val="18"/>
          <w:color w:val="auto"/>
        </w:rPr>
        <w:t>Mr. Sledge, as Chairperson,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2021, executive sessions of the independent directors were held at each of the four regularly scheduled Board meetings.</w:t>
      </w:r>
    </w:p>
    <w:p>
      <w:pPr>
        <w:spacing w:after="0" w:line="71" w:lineRule="exact"/>
        <w:rPr>
          <w:sz w:val="20"/>
          <w:szCs w:val="20"/>
          <w:color w:val="auto"/>
        </w:rPr>
      </w:pPr>
    </w:p>
    <w:p>
      <w:pPr>
        <w:ind w:left="440" w:right="720"/>
        <w:spacing w:after="0" w:line="287" w:lineRule="auto"/>
        <w:rPr>
          <w:sz w:val="20"/>
          <w:szCs w:val="20"/>
          <w:color w:val="auto"/>
        </w:rPr>
      </w:pPr>
      <w:r>
        <w:rPr>
          <w:rFonts w:ascii="Arial" w:cs="Arial" w:eastAsia="Arial" w:hAnsi="Arial"/>
          <w:sz w:val="18"/>
          <w:szCs w:val="18"/>
          <w:color w:val="auto"/>
        </w:rPr>
        <w:t>For information on how to communicate with our Chairperson and other directors, please see “Communication with Directors.”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DIRECTOR NOMINATIONS</w:t>
      </w:r>
    </w:p>
    <w:p>
      <w:pPr>
        <w:spacing w:after="0" w:line="124" w:lineRule="exact"/>
        <w:rPr>
          <w:sz w:val="20"/>
          <w:szCs w:val="20"/>
          <w:color w:val="auto"/>
        </w:rPr>
      </w:pPr>
    </w:p>
    <w:p>
      <w:pPr>
        <w:ind w:left="440"/>
        <w:spacing w:after="0" w:line="262" w:lineRule="auto"/>
        <w:rPr>
          <w:sz w:val="20"/>
          <w:szCs w:val="20"/>
          <w:color w:val="auto"/>
        </w:rPr>
      </w:pPr>
      <w:r>
        <w:rPr>
          <w:rFonts w:ascii="Arial" w:cs="Arial" w:eastAsia="Arial" w:hAnsi="Arial"/>
          <w:sz w:val="18"/>
          <w:szCs w:val="18"/>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115570</wp:posOffset>
            </wp:positionV>
            <wp:extent cx="6231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93" w:lineRule="exact"/>
        <w:rPr>
          <w:sz w:val="20"/>
          <w:szCs w:val="20"/>
          <w:color w:val="auto"/>
        </w:rPr>
      </w:pPr>
    </w:p>
    <w:p>
      <w:pPr>
        <w:ind w:left="720" w:hanging="282"/>
        <w:spacing w:after="0"/>
        <w:tabs>
          <w:tab w:leader="none" w:pos="720" w:val="left"/>
        </w:tabs>
        <w:numPr>
          <w:ilvl w:val="0"/>
          <w:numId w:val="1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666666"/>
        </w:rPr>
        <w:t>AGENDA ITEM 1</w:t>
      </w:r>
    </w:p>
    <w:p>
      <w:pPr>
        <w:spacing w:after="0" w:line="153"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The Nominating and Governance Committee will consider nominees recommended by shareholders who submit their recommendations in writing to Chair,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AGM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73"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generally are held in Houston, Texas or remotely), and should be committed to serve on the Board for an extended period of time. The Nominating and Governance Committee will consider independence, diversity of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spacing w:after="0" w:line="77" w:lineRule="exact"/>
        <w:rPr>
          <w:sz w:val="20"/>
          <w:szCs w:val="20"/>
          <w:color w:val="auto"/>
        </w:rPr>
      </w:pPr>
    </w:p>
    <w:p>
      <w:pPr>
        <w:jc w:val="both"/>
        <w:ind w:left="440" w:right="320"/>
        <w:spacing w:after="0" w:line="268" w:lineRule="auto"/>
        <w:rPr>
          <w:sz w:val="20"/>
          <w:szCs w:val="20"/>
          <w:color w:val="auto"/>
        </w:rPr>
      </w:pPr>
      <w:r>
        <w:rPr>
          <w:rFonts w:ascii="Arial" w:cs="Arial" w:eastAsia="Arial" w:hAnsi="Arial"/>
          <w:sz w:val="18"/>
          <w:szCs w:val="18"/>
          <w:color w:val="auto"/>
        </w:rPr>
        <w:t xml:space="preserve">Shareholders who wish to have a nominee considered by our shareholders at the AGM, must comply with the deadlines and procedures set forth in our Articles. Please see “Proposals by Shareholders” in this Proxy Statement on page </w:t>
      </w:r>
      <w:r>
        <w:rPr>
          <w:rFonts w:ascii="Arial" w:cs="Arial" w:eastAsia="Arial" w:hAnsi="Arial"/>
          <w:sz w:val="18"/>
          <w:szCs w:val="18"/>
          <w:u w:val="single" w:color="auto"/>
          <w:color w:val="0000EE"/>
        </w:rPr>
        <w:t>55</w:t>
      </w:r>
      <w:r>
        <w:rPr>
          <w:rFonts w:ascii="Arial" w:cs="Arial" w:eastAsia="Arial" w:hAnsi="Arial"/>
          <w:sz w:val="18"/>
          <w:szCs w:val="18"/>
          <w:color w:val="auto"/>
        </w:rPr>
        <w:t xml:space="preserve"> for more information.</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COMMUNICATION WITH DIRECTORS</w:t>
      </w:r>
    </w:p>
    <w:p>
      <w:pPr>
        <w:spacing w:after="0" w:line="124" w:lineRule="exact"/>
        <w:rPr>
          <w:sz w:val="20"/>
          <w:szCs w:val="20"/>
          <w:color w:val="auto"/>
        </w:rPr>
      </w:pPr>
    </w:p>
    <w:p>
      <w:pPr>
        <w:ind w:left="440" w:right="20"/>
        <w:spacing w:after="0" w:line="262" w:lineRule="auto"/>
        <w:rPr>
          <w:sz w:val="20"/>
          <w:szCs w:val="20"/>
          <w:color w:val="auto"/>
        </w:rPr>
      </w:pPr>
      <w:r>
        <w:rPr>
          <w:rFonts w:ascii="Arial" w:cs="Arial" w:eastAsia="Arial" w:hAnsi="Arial"/>
          <w:sz w:val="18"/>
          <w:szCs w:val="18"/>
          <w:color w:val="auto"/>
        </w:rPr>
        <w:t>Any shareholder or other interested party that desires to communicate with the Board or any of its specific members, including the Chairperson or the directors as a group, should send their communication to the Corporate Secretary, Weatherford International plc, 2000 St. James Place, Houston, Texas 77056. All such communications will be forwarded, as appropriate, to the members of the Board.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BA0C2F"/>
        </w:rPr>
        <w:t>We welcome input from our institutional and individual shareholders, regardless of the number of shares owned.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BA0C2F"/>
        </w:rPr>
        <w:t>Shareholders may also direct their comments to our U.S. Investor Relations Department in writing at 2000 St.</w:t>
      </w:r>
    </w:p>
    <w:p>
      <w:pPr>
        <w:ind w:left="440"/>
        <w:spacing w:after="0"/>
        <w:rPr>
          <w:sz w:val="20"/>
          <w:szCs w:val="20"/>
          <w:color w:val="auto"/>
        </w:rPr>
      </w:pPr>
      <w:r>
        <w:rPr>
          <w:rFonts w:ascii="Arial" w:cs="Arial" w:eastAsia="Arial" w:hAnsi="Arial"/>
          <w:sz w:val="18"/>
          <w:szCs w:val="18"/>
          <w:b w:val="1"/>
          <w:bCs w:val="1"/>
          <w:color w:val="BA0C2F"/>
        </w:rPr>
        <w:t>James Place, Houston, Texas 77056 or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2894965</wp:posOffset>
            </wp:positionV>
            <wp:extent cx="6231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DIRECTOR COMPENSATION</w:t>
      </w:r>
    </w:p>
    <w:p>
      <w:pPr>
        <w:spacing w:after="0" w:line="124" w:lineRule="exact"/>
        <w:rPr>
          <w:sz w:val="20"/>
          <w:szCs w:val="20"/>
          <w:color w:val="auto"/>
        </w:rPr>
      </w:pPr>
    </w:p>
    <w:p>
      <w:pPr>
        <w:ind w:left="440" w:right="80"/>
        <w:spacing w:after="0" w:line="257" w:lineRule="auto"/>
        <w:rPr>
          <w:sz w:val="20"/>
          <w:szCs w:val="20"/>
          <w:color w:val="auto"/>
        </w:rPr>
      </w:pPr>
      <w:r>
        <w:rPr>
          <w:rFonts w:ascii="Arial" w:cs="Arial" w:eastAsia="Arial" w:hAnsi="Arial"/>
          <w:sz w:val="18"/>
          <w:szCs w:val="18"/>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Compensation and Human Resources Committee is responsible for reviewing and structuring our compensation policy regarding fees and compensation paid and granted to our independent directors.</w:t>
      </w:r>
    </w:p>
    <w:p>
      <w:pPr>
        <w:spacing w:after="0" w:line="74"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Upon our emergence from bankruptcy in December 2019, the newly appointed Compensation and Human Resources Committee retained Lyons, Benenson &amp; Company Inc. (“LB&amp;Co.”) as its independent compensation consultant to advise on executive and independent, non-employee director compensation matters. Following an analysis and comprehensive review of our non-employee director compensation program by LB&amp;Co., on the recommendation of the Compensation and Human Resources Committee, the Board approved the following compensation structure for our directors:</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367"/>
        </w:trPr>
        <w:tc>
          <w:tcPr>
            <w:tcW w:w="7560" w:type="dxa"/>
            <w:vAlign w:val="bottom"/>
            <w:tcBorders>
              <w:bottom w:val="single" w:sz="8" w:color="auto"/>
            </w:tcBorders>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Type of Fee</w:t>
            </w:r>
          </w:p>
        </w:tc>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28"/>
                <w:szCs w:val="28"/>
                <w:b w:val="1"/>
                <w:bCs w:val="1"/>
                <w:color w:val="auto"/>
                <w:vertAlign w:val="subscript"/>
              </w:rPr>
              <w:t>​</w:t>
            </w:r>
          </w:p>
        </w:tc>
      </w:tr>
      <w:tr>
        <w:trPr>
          <w:trHeight w:val="264"/>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Regular Director Board service annual cash retainer</w:t>
            </w:r>
          </w:p>
        </w:tc>
        <w:tc>
          <w:tcPr>
            <w:tcW w:w="2240" w:type="dxa"/>
            <w:vAlign w:val="bottom"/>
            <w:tcBorders>
              <w:bottom w:val="single" w:sz="8" w:color="auto"/>
            </w:tcBorders>
            <w:gridSpan w:val="2"/>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$100,000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Regular Director Board service annual equity retainer</w:t>
            </w:r>
          </w:p>
        </w:tc>
        <w:tc>
          <w:tcPr>
            <w:tcW w:w="2240" w:type="dxa"/>
            <w:vAlign w:val="bottom"/>
            <w:tcBorders>
              <w:bottom w:val="single" w:sz="8" w:color="auto"/>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$200,000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Non Executive Chair annual cash retainer</w:t>
            </w:r>
          </w:p>
        </w:tc>
        <w:tc>
          <w:tcPr>
            <w:tcW w:w="2240" w:type="dxa"/>
            <w:vAlign w:val="bottom"/>
            <w:tcBorders>
              <w:bottom w:val="single" w:sz="8" w:color="auto"/>
            </w:tcBorders>
            <w:gridSpan w:val="2"/>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$145,000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Non Executive Chair annual equity retainer</w:t>
            </w:r>
          </w:p>
        </w:tc>
        <w:tc>
          <w:tcPr>
            <w:tcW w:w="2240" w:type="dxa"/>
            <w:vAlign w:val="bottom"/>
            <w:tcBorders>
              <w:bottom w:val="single" w:sz="8" w:color="auto"/>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$292,000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Audit Committee Chair annual cash retainer</w:t>
            </w:r>
          </w:p>
        </w:tc>
        <w:tc>
          <w:tcPr>
            <w:tcW w:w="1460" w:type="dxa"/>
            <w:vAlign w:val="bottom"/>
            <w:tcBorders>
              <w:bottom w:val="single" w:sz="8" w:color="auto"/>
            </w:tcBorders>
            <w:shd w:val="clear" w:color="auto" w:fill="CCCCCC"/>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shd w:val="clear" w:color="auto" w:fill="CCCCCC"/>
          </w:tcPr>
          <w:p>
            <w:pPr>
              <w:jc w:val="right"/>
              <w:spacing w:after="0" w:line="264" w:lineRule="exact"/>
              <w:rPr>
                <w:sz w:val="20"/>
                <w:szCs w:val="20"/>
                <w:color w:val="auto"/>
              </w:rPr>
            </w:pPr>
            <w:r>
              <w:rPr>
                <w:rFonts w:ascii="Arial" w:cs="Arial" w:eastAsia="Arial" w:hAnsi="Arial"/>
                <w:sz w:val="16"/>
                <w:szCs w:val="16"/>
                <w:color w:val="auto"/>
              </w:rPr>
              <w:t>20,000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Audit Committee Member annual cash retainer</w:t>
            </w:r>
          </w:p>
        </w:tc>
        <w:tc>
          <w:tcPr>
            <w:tcW w:w="1460" w:type="dxa"/>
            <w:vAlign w:val="bottom"/>
            <w:tcBorders>
              <w:bottom w:val="single" w:sz="8" w:color="auto"/>
            </w:tcBorders>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tcPr>
          <w:p>
            <w:pPr>
              <w:jc w:val="right"/>
              <w:spacing w:after="0" w:line="264" w:lineRule="exact"/>
              <w:rPr>
                <w:sz w:val="20"/>
                <w:szCs w:val="20"/>
                <w:color w:val="auto"/>
              </w:rPr>
            </w:pPr>
            <w:r>
              <w:rPr>
                <w:rFonts w:ascii="Arial" w:cs="Arial" w:eastAsia="Arial" w:hAnsi="Arial"/>
                <w:sz w:val="16"/>
                <w:szCs w:val="16"/>
                <w:color w:val="auto"/>
              </w:rPr>
              <w:t>10,000</w:t>
            </w:r>
            <w:r>
              <w:rPr>
                <w:rFonts w:ascii="Arial" w:cs="Arial" w:eastAsia="Arial" w:hAnsi="Arial"/>
                <w:sz w:val="30"/>
                <w:szCs w:val="30"/>
                <w:color w:val="auto"/>
                <w:vertAlign w:val="subscript"/>
              </w:rPr>
              <w:t>​​</w:t>
            </w:r>
          </w:p>
        </w:tc>
      </w:tr>
      <w:tr>
        <w:trPr>
          <w:trHeight w:val="264"/>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Compensation and Human Resources Committee Chair annual cash retainer</w:t>
            </w:r>
          </w:p>
        </w:tc>
        <w:tc>
          <w:tcPr>
            <w:tcW w:w="1460" w:type="dxa"/>
            <w:vAlign w:val="bottom"/>
            <w:tcBorders>
              <w:bottom w:val="single" w:sz="8" w:color="auto"/>
            </w:tcBorders>
            <w:shd w:val="clear" w:color="auto" w:fill="CCCCCC"/>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shd w:val="clear" w:color="auto" w:fill="CCCCCC"/>
          </w:tcPr>
          <w:p>
            <w:pPr>
              <w:jc w:val="right"/>
              <w:spacing w:after="0" w:line="264" w:lineRule="exact"/>
              <w:rPr>
                <w:sz w:val="20"/>
                <w:szCs w:val="20"/>
                <w:color w:val="auto"/>
              </w:rPr>
            </w:pPr>
            <w:r>
              <w:rPr>
                <w:rFonts w:ascii="Arial" w:cs="Arial" w:eastAsia="Arial" w:hAnsi="Arial"/>
                <w:sz w:val="16"/>
                <w:szCs w:val="16"/>
                <w:color w:val="auto"/>
              </w:rPr>
              <w:t>15,000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Compensation and Human Resources Committee Member annual cash retainer</w:t>
            </w:r>
          </w:p>
        </w:tc>
        <w:tc>
          <w:tcPr>
            <w:tcW w:w="1460" w:type="dxa"/>
            <w:vAlign w:val="bottom"/>
            <w:tcBorders>
              <w:bottom w:val="single" w:sz="8" w:color="auto"/>
            </w:tcBorders>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tcPr>
          <w:p>
            <w:pPr>
              <w:jc w:val="right"/>
              <w:spacing w:after="0" w:line="264" w:lineRule="exact"/>
              <w:rPr>
                <w:sz w:val="20"/>
                <w:szCs w:val="20"/>
                <w:color w:val="auto"/>
              </w:rPr>
            </w:pPr>
            <w:r>
              <w:rPr>
                <w:rFonts w:ascii="Arial" w:cs="Arial" w:eastAsia="Arial" w:hAnsi="Arial"/>
                <w:sz w:val="16"/>
                <w:szCs w:val="16"/>
                <w:color w:val="auto"/>
              </w:rPr>
              <w:t>7,500</w:t>
            </w:r>
            <w:r>
              <w:rPr>
                <w:rFonts w:ascii="Arial" w:cs="Arial" w:eastAsia="Arial" w:hAnsi="Arial"/>
                <w:sz w:val="30"/>
                <w:szCs w:val="30"/>
                <w:color w:val="auto"/>
                <w:vertAlign w:val="subscript"/>
              </w:rPr>
              <w:t>​​</w:t>
            </w:r>
          </w:p>
        </w:tc>
      </w:tr>
      <w:tr>
        <w:trPr>
          <w:trHeight w:val="264"/>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Nominating and Governance Committee Chair annual cash retainer</w:t>
            </w:r>
          </w:p>
        </w:tc>
        <w:tc>
          <w:tcPr>
            <w:tcW w:w="1460" w:type="dxa"/>
            <w:vAlign w:val="bottom"/>
            <w:tcBorders>
              <w:bottom w:val="single" w:sz="8" w:color="auto"/>
            </w:tcBorders>
            <w:shd w:val="clear" w:color="auto" w:fill="CCCCCC"/>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shd w:val="clear" w:color="auto" w:fill="CCCCCC"/>
          </w:tcPr>
          <w:p>
            <w:pPr>
              <w:jc w:val="right"/>
              <w:spacing w:after="0" w:line="264" w:lineRule="exact"/>
              <w:rPr>
                <w:sz w:val="20"/>
                <w:szCs w:val="20"/>
                <w:color w:val="auto"/>
              </w:rPr>
            </w:pPr>
            <w:r>
              <w:rPr>
                <w:rFonts w:ascii="Arial" w:cs="Arial" w:eastAsia="Arial" w:hAnsi="Arial"/>
                <w:sz w:val="16"/>
                <w:szCs w:val="16"/>
                <w:color w:val="auto"/>
              </w:rPr>
              <w:t>10,000</w:t>
            </w:r>
            <w:r>
              <w:rPr>
                <w:rFonts w:ascii="Arial" w:cs="Arial" w:eastAsia="Arial" w:hAnsi="Arial"/>
                <w:sz w:val="30"/>
                <w:szCs w:val="30"/>
                <w:color w:val="auto"/>
                <w:vertAlign w:val="subscript"/>
              </w:rPr>
              <w:t>​​</w:t>
            </w:r>
          </w:p>
        </w:tc>
      </w:tr>
      <w:tr>
        <w:trPr>
          <w:trHeight w:val="263"/>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Nominating and Governance Committee Member annual cash retainer</w:t>
            </w:r>
          </w:p>
        </w:tc>
        <w:tc>
          <w:tcPr>
            <w:tcW w:w="1460" w:type="dxa"/>
            <w:vAlign w:val="bottom"/>
            <w:tcBorders>
              <w:bottom w:val="single" w:sz="8" w:color="auto"/>
            </w:tcBorders>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tcPr>
          <w:p>
            <w:pPr>
              <w:jc w:val="right"/>
              <w:spacing w:after="0" w:line="264" w:lineRule="exact"/>
              <w:rPr>
                <w:sz w:val="20"/>
                <w:szCs w:val="20"/>
                <w:color w:val="auto"/>
              </w:rPr>
            </w:pPr>
            <w:r>
              <w:rPr>
                <w:rFonts w:ascii="Arial" w:cs="Arial" w:eastAsia="Arial" w:hAnsi="Arial"/>
                <w:sz w:val="16"/>
                <w:szCs w:val="16"/>
                <w:color w:val="auto"/>
              </w:rPr>
              <w:t>5,000</w:t>
            </w:r>
            <w:r>
              <w:rPr>
                <w:rFonts w:ascii="Arial" w:cs="Arial" w:eastAsia="Arial" w:hAnsi="Arial"/>
                <w:sz w:val="30"/>
                <w:szCs w:val="30"/>
                <w:color w:val="auto"/>
                <w:vertAlign w:val="subscript"/>
              </w:rPr>
              <w:t>​​</w:t>
            </w:r>
          </w:p>
        </w:tc>
      </w:tr>
      <w:tr>
        <w:trPr>
          <w:trHeight w:val="264"/>
        </w:trPr>
        <w:tc>
          <w:tcPr>
            <w:tcW w:w="75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Safety, Environment and Sustainability Committee Chair annual cash retainer</w:t>
            </w:r>
          </w:p>
        </w:tc>
        <w:tc>
          <w:tcPr>
            <w:tcW w:w="1460" w:type="dxa"/>
            <w:vAlign w:val="bottom"/>
            <w:tcBorders>
              <w:bottom w:val="single" w:sz="8" w:color="auto"/>
            </w:tcBorders>
            <w:shd w:val="clear" w:color="auto" w:fill="CCCCCC"/>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shd w:val="clear" w:color="auto" w:fill="CCCCCC"/>
          </w:tcPr>
          <w:p>
            <w:pPr>
              <w:jc w:val="right"/>
              <w:spacing w:after="0" w:line="264" w:lineRule="exact"/>
              <w:rPr>
                <w:sz w:val="20"/>
                <w:szCs w:val="20"/>
                <w:color w:val="auto"/>
              </w:rPr>
            </w:pPr>
            <w:r>
              <w:rPr>
                <w:rFonts w:ascii="Arial" w:cs="Arial" w:eastAsia="Arial" w:hAnsi="Arial"/>
                <w:sz w:val="16"/>
                <w:szCs w:val="16"/>
                <w:color w:val="auto"/>
              </w:rPr>
              <w:t>15,000</w:t>
            </w:r>
            <w:r>
              <w:rPr>
                <w:rFonts w:ascii="Arial" w:cs="Arial" w:eastAsia="Arial" w:hAnsi="Arial"/>
                <w:sz w:val="30"/>
                <w:szCs w:val="30"/>
                <w:color w:val="auto"/>
                <w:vertAlign w:val="subscript"/>
              </w:rPr>
              <w:t>​​</w:t>
            </w:r>
          </w:p>
        </w:tc>
      </w:tr>
      <w:tr>
        <w:trPr>
          <w:trHeight w:val="270"/>
        </w:trPr>
        <w:tc>
          <w:tcPr>
            <w:tcW w:w="75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Safety, Environment and Sustainability Committee Member annual cash retainer</w:t>
            </w:r>
          </w:p>
        </w:tc>
        <w:tc>
          <w:tcPr>
            <w:tcW w:w="1460" w:type="dxa"/>
            <w:vAlign w:val="bottom"/>
            <w:tcBorders>
              <w:bottom w:val="single" w:sz="8" w:color="auto"/>
            </w:tcBorders>
          </w:tcPr>
          <w:p>
            <w:pPr>
              <w:ind w:left="11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780" w:type="dxa"/>
            <w:vAlign w:val="bottom"/>
            <w:tcBorders>
              <w:bottom w:val="single" w:sz="8" w:color="auto"/>
            </w:tcBorders>
          </w:tcPr>
          <w:p>
            <w:pPr>
              <w:jc w:val="right"/>
              <w:spacing w:after="0" w:line="264" w:lineRule="exact"/>
              <w:rPr>
                <w:sz w:val="20"/>
                <w:szCs w:val="20"/>
                <w:color w:val="auto"/>
              </w:rPr>
            </w:pPr>
            <w:r>
              <w:rPr>
                <w:rFonts w:ascii="Arial" w:cs="Arial" w:eastAsia="Arial" w:hAnsi="Arial"/>
                <w:sz w:val="16"/>
                <w:szCs w:val="16"/>
                <w:color w:val="auto"/>
              </w:rPr>
              <w:t>7,500</w:t>
            </w:r>
            <w:r>
              <w:rPr>
                <w:rFonts w:ascii="Arial" w:cs="Arial" w:eastAsia="Arial" w:hAnsi="Arial"/>
                <w:sz w:val="30"/>
                <w:szCs w:val="30"/>
                <w:color w:val="auto"/>
                <w:vertAlign w:val="subscript"/>
              </w:rPr>
              <w:t>​​</w:t>
            </w:r>
          </w:p>
        </w:tc>
      </w:tr>
    </w:tbl>
    <w:p>
      <w:pPr>
        <w:spacing w:after="0" w:line="62" w:lineRule="exact"/>
        <w:rPr>
          <w:sz w:val="20"/>
          <w:szCs w:val="20"/>
          <w:color w:val="auto"/>
        </w:rPr>
      </w:pPr>
    </w:p>
    <w:p>
      <w:pPr>
        <w:ind w:left="440" w:right="60"/>
        <w:spacing w:after="0" w:line="262" w:lineRule="auto"/>
        <w:rPr>
          <w:sz w:val="20"/>
          <w:szCs w:val="20"/>
          <w:color w:val="auto"/>
        </w:rPr>
      </w:pPr>
      <w:r>
        <w:rPr>
          <w:rFonts w:ascii="Arial" w:cs="Arial" w:eastAsia="Arial" w:hAnsi="Arial"/>
          <w:sz w:val="18"/>
          <w:szCs w:val="18"/>
          <w:color w:val="auto"/>
        </w:rPr>
        <w:t>The above covers up to 10 meetings per year for the Board or any of its Committees, respectively. An additional fee of $1,500 per meeting is paid to each director for meetings exceeding that threshold. Cash retainers are paid quarterly, in advance. In 2021, the equity component of compensation was structured as grants of RSUs vesting on the first anniversary of the grant date with accelerated vesting in the event of death, disability and change in control.</w:t>
      </w:r>
    </w:p>
    <w:p>
      <w:pPr>
        <w:spacing w:after="0" w:line="111" w:lineRule="exact"/>
        <w:rPr>
          <w:sz w:val="20"/>
          <w:szCs w:val="20"/>
          <w:color w:val="auto"/>
        </w:rPr>
      </w:pPr>
    </w:p>
    <w:p>
      <w:pPr>
        <w:ind w:left="440" w:right="60"/>
        <w:spacing w:after="0" w:line="261" w:lineRule="auto"/>
        <w:rPr>
          <w:sz w:val="20"/>
          <w:szCs w:val="20"/>
          <w:color w:val="auto"/>
        </w:rPr>
      </w:pPr>
      <w:r>
        <w:rPr>
          <w:rFonts w:ascii="Arial" w:cs="Arial" w:eastAsia="Arial" w:hAnsi="Arial"/>
          <w:sz w:val="43"/>
          <w:szCs w:val="43"/>
          <w:b w:val="1"/>
          <w:bCs w:val="1"/>
          <w:color w:val="7F7F7F"/>
        </w:rPr>
        <w:t>NON-EMPLOYEE DIRECTORS COMPENSATION DEFERRAL PLAN</w:t>
      </w:r>
    </w:p>
    <w:p>
      <w:pPr>
        <w:spacing w:after="0" w:line="2"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Weatherford International plc Nonqualified Deferred Compensation Plan (the “DCP”), adopted by the Board on November 1, 2021,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 -based compensation under the DCP in 2021.</w:t>
      </w:r>
    </w:p>
    <w:p>
      <w:pPr>
        <w:spacing w:after="0" w:line="71" w:lineRule="exact"/>
        <w:rPr>
          <w:sz w:val="20"/>
          <w:szCs w:val="20"/>
          <w:color w:val="auto"/>
        </w:rPr>
      </w:pPr>
    </w:p>
    <w:p>
      <w:pPr>
        <w:ind w:left="440" w:right="40"/>
        <w:spacing w:after="0" w:line="271" w:lineRule="auto"/>
        <w:rPr>
          <w:sz w:val="20"/>
          <w:szCs w:val="20"/>
          <w:color w:val="auto"/>
        </w:rPr>
      </w:pPr>
      <w:r>
        <w:rPr>
          <w:rFonts w:ascii="Arial" w:cs="Arial" w:eastAsia="Arial" w:hAnsi="Arial"/>
          <w:sz w:val="17"/>
          <w:szCs w:val="17"/>
          <w:color w:val="auto"/>
        </w:rPr>
        <w:t>Participants will be fully vested at all times in their deferred equity-based compensation and any dividend equivalents made with respect thereto. The deferred compensation will be paid either (a) in a number of shares equal to the number of deferred restricted share units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Committee of the Board. All amounts shall be paid from the general assets of the Company and no separate fund shall be established to secure payment. The Company may, but need not, establish a rabbi trust to assist it in funding any DCP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119380</wp:posOffset>
            </wp:positionV>
            <wp:extent cx="6231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99" w:lineRule="exact"/>
        <w:rPr>
          <w:sz w:val="20"/>
          <w:szCs w:val="20"/>
          <w:color w:val="auto"/>
        </w:rPr>
      </w:pPr>
    </w:p>
    <w:p>
      <w:pPr>
        <w:ind w:left="720" w:hanging="282"/>
        <w:spacing w:after="0"/>
        <w:tabs>
          <w:tab w:leader="none" w:pos="720" w:val="left"/>
        </w:tabs>
        <w:numPr>
          <w:ilvl w:val="0"/>
          <w:numId w:val="1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666666"/>
        </w:rPr>
        <w:t>AGENDA ITEM 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2021 DIRECTOR COMPENSATION</w:t>
      </w:r>
    </w:p>
    <w:p>
      <w:pPr>
        <w:spacing w:after="0" w:line="124" w:lineRule="exact"/>
        <w:rPr>
          <w:sz w:val="20"/>
          <w:szCs w:val="20"/>
          <w:color w:val="auto"/>
        </w:rPr>
      </w:pPr>
    </w:p>
    <w:p>
      <w:pPr>
        <w:jc w:val="both"/>
        <w:ind w:left="440" w:right="80"/>
        <w:spacing w:after="0" w:line="268" w:lineRule="auto"/>
        <w:rPr>
          <w:sz w:val="20"/>
          <w:szCs w:val="20"/>
          <w:color w:val="auto"/>
        </w:rPr>
      </w:pPr>
      <w:r>
        <w:rPr>
          <w:rFonts w:ascii="Arial" w:cs="Arial" w:eastAsia="Arial" w:hAnsi="Arial"/>
          <w:sz w:val="18"/>
          <w:szCs w:val="18"/>
          <w:color w:val="auto"/>
        </w:rPr>
        <w:t>The following table sets forth the compensation paid to each of our independent directors for the year ended December 31, 2021. Information about Mr. Girishchandra K. Saligram, whose serves as a non-independent director and as our President and CEO, is listed in the 2021 Summary Compensation Table in this Proxy Statement.</w:t>
      </w:r>
    </w:p>
    <w:p>
      <w:pPr>
        <w:spacing w:after="0" w:line="14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Paid in Cash</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 Awards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r>
      <w:tr>
        <w:trPr>
          <w:trHeight w:val="198"/>
        </w:trPr>
        <w:tc>
          <w:tcPr>
            <w:tcW w:w="348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Name</w:t>
            </w:r>
          </w:p>
        </w:tc>
        <w:tc>
          <w:tcPr>
            <w:tcW w:w="164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 ​</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96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4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Benjamin C. Duster, IV</w:t>
            </w:r>
          </w:p>
        </w:tc>
        <w:tc>
          <w:tcPr>
            <w:tcW w:w="1640" w:type="dxa"/>
            <w:vAlign w:val="bottom"/>
            <w:tcBorders>
              <w:bottom w:val="single" w:sz="8" w:color="auto"/>
            </w:tcBorders>
            <w:shd w:val="clear" w:color="auto" w:fill="CCCCCC"/>
          </w:tcPr>
          <w:p>
            <w:pPr>
              <w:ind w:left="148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​136,000</w:t>
            </w:r>
          </w:p>
        </w:tc>
        <w:tc>
          <w:tcPr>
            <w:tcW w:w="2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​642,329</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CCCC"/>
          </w:tcPr>
          <w:p>
            <w:pPr>
              <w:jc w:val="right"/>
              <w:ind w:right="323"/>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360" w:type="dxa"/>
            <w:vAlign w:val="bottom"/>
            <w:tcBorders>
              <w:bottom w:val="single" w:sz="8" w:color="auto"/>
            </w:tcBorders>
            <w:shd w:val="clear" w:color="auto" w:fill="CCCCCC"/>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800" w:type="dxa"/>
            <w:vAlign w:val="bottom"/>
            <w:tcBorders>
              <w:bottom w:val="single" w:sz="8" w:color="auto"/>
            </w:tcBorders>
            <w:gridSpan w:val="2"/>
            <w:shd w:val="clear" w:color="auto" w:fill="CCCCCC"/>
          </w:tcPr>
          <w:p>
            <w:pPr>
              <w:jc w:val="right"/>
              <w:spacing w:after="0" w:line="264" w:lineRule="exact"/>
              <w:rPr>
                <w:sz w:val="20"/>
                <w:szCs w:val="20"/>
                <w:color w:val="auto"/>
              </w:rPr>
            </w:pPr>
            <w:r>
              <w:rPr>
                <w:rFonts w:ascii="Arial" w:cs="Arial" w:eastAsia="Arial" w:hAnsi="Arial"/>
                <w:sz w:val="16"/>
                <w:szCs w:val="16"/>
                <w:color w:val="auto"/>
              </w:rPr>
              <w:t>778,329</w:t>
            </w:r>
            <w:r>
              <w:rPr>
                <w:rFonts w:ascii="Arial" w:cs="Arial" w:eastAsia="Arial" w:hAnsi="Arial"/>
                <w:sz w:val="30"/>
                <w:szCs w:val="30"/>
                <w:color w:val="auto"/>
                <w:vertAlign w:val="subscript"/>
              </w:rPr>
              <w:t>​​</w:t>
            </w:r>
          </w:p>
        </w:tc>
      </w:tr>
      <w:tr>
        <w:trPr>
          <w:trHeight w:val="263"/>
        </w:trPr>
        <w:tc>
          <w:tcPr>
            <w:tcW w:w="34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Neal P. Goldman</w:t>
            </w:r>
          </w:p>
        </w:tc>
        <w:tc>
          <w:tcPr>
            <w:tcW w:w="16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​133,500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​642,329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tcPr>
          <w:p>
            <w:pPr>
              <w:jc w:val="right"/>
              <w:ind w:right="323"/>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36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800" w:type="dxa"/>
            <w:vAlign w:val="bottom"/>
            <w:tcBorders>
              <w:bottom w:val="single" w:sz="8" w:color="auto"/>
            </w:tcBorders>
            <w:gridSpan w:val="2"/>
          </w:tcPr>
          <w:p>
            <w:pPr>
              <w:jc w:val="right"/>
              <w:spacing w:after="0" w:line="264" w:lineRule="exact"/>
              <w:rPr>
                <w:sz w:val="20"/>
                <w:szCs w:val="20"/>
                <w:color w:val="auto"/>
              </w:rPr>
            </w:pPr>
            <w:r>
              <w:rPr>
                <w:rFonts w:ascii="Arial" w:cs="Arial" w:eastAsia="Arial" w:hAnsi="Arial"/>
                <w:sz w:val="16"/>
                <w:szCs w:val="16"/>
                <w:color w:val="auto"/>
              </w:rPr>
              <w:t>775,829</w:t>
            </w:r>
            <w:r>
              <w:rPr>
                <w:rFonts w:ascii="Arial" w:cs="Arial" w:eastAsia="Arial" w:hAnsi="Arial"/>
                <w:sz w:val="30"/>
                <w:szCs w:val="30"/>
                <w:color w:val="auto"/>
                <w:vertAlign w:val="subscript"/>
              </w:rPr>
              <w:t>​​</w:t>
            </w:r>
          </w:p>
        </w:tc>
      </w:tr>
      <w:tr>
        <w:trPr>
          <w:trHeight w:val="263"/>
        </w:trPr>
        <w:tc>
          <w:tcPr>
            <w:tcW w:w="34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Jacqueline C. Mutschler</w:t>
            </w:r>
          </w:p>
        </w:tc>
        <w:tc>
          <w:tcPr>
            <w:tcW w:w="1640" w:type="dxa"/>
            <w:vAlign w:val="bottom"/>
            <w:tcBorders>
              <w:bottom w:val="single" w:sz="8" w:color="auto"/>
            </w:tcBorders>
            <w:shd w:val="clear" w:color="auto" w:fill="CCCCCC"/>
          </w:tcPr>
          <w:p>
            <w:pPr>
              <w:ind w:left="148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​133,500</w:t>
            </w:r>
          </w:p>
        </w:tc>
        <w:tc>
          <w:tcPr>
            <w:tcW w:w="2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​642,329</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shd w:val="clear" w:color="auto" w:fill="CCCCCC"/>
          </w:tcPr>
          <w:p>
            <w:pPr>
              <w:jc w:val="right"/>
              <w:ind w:right="323"/>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360" w:type="dxa"/>
            <w:vAlign w:val="bottom"/>
            <w:tcBorders>
              <w:bottom w:val="single" w:sz="8" w:color="auto"/>
            </w:tcBorders>
            <w:shd w:val="clear" w:color="auto" w:fill="CCCCCC"/>
          </w:tcPr>
          <w:p>
            <w:pPr>
              <w:jc w:val="cente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800" w:type="dxa"/>
            <w:vAlign w:val="bottom"/>
            <w:tcBorders>
              <w:bottom w:val="single" w:sz="8" w:color="auto"/>
            </w:tcBorders>
            <w:gridSpan w:val="2"/>
            <w:shd w:val="clear" w:color="auto" w:fill="CCCCCC"/>
          </w:tcPr>
          <w:p>
            <w:pPr>
              <w:jc w:val="right"/>
              <w:spacing w:after="0" w:line="264" w:lineRule="exact"/>
              <w:rPr>
                <w:sz w:val="20"/>
                <w:szCs w:val="20"/>
                <w:color w:val="auto"/>
              </w:rPr>
            </w:pPr>
            <w:r>
              <w:rPr>
                <w:rFonts w:ascii="Arial" w:cs="Arial" w:eastAsia="Arial" w:hAnsi="Arial"/>
                <w:sz w:val="16"/>
                <w:szCs w:val="16"/>
                <w:color w:val="auto"/>
              </w:rPr>
              <w:t>775,829</w:t>
            </w:r>
            <w:r>
              <w:rPr>
                <w:rFonts w:ascii="Arial" w:cs="Arial" w:eastAsia="Arial" w:hAnsi="Arial"/>
                <w:sz w:val="30"/>
                <w:szCs w:val="30"/>
                <w:color w:val="auto"/>
                <w:vertAlign w:val="subscript"/>
              </w:rPr>
              <w:t>​​</w:t>
            </w:r>
          </w:p>
        </w:tc>
      </w:tr>
      <w:tr>
        <w:trPr>
          <w:trHeight w:val="271"/>
        </w:trPr>
        <w:tc>
          <w:tcPr>
            <w:tcW w:w="34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Charles M. Sledge</w:t>
            </w:r>
          </w:p>
        </w:tc>
        <w:tc>
          <w:tcPr>
            <w:tcW w:w="16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​178,500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​937,793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auto"/>
            </w:tcBorders>
          </w:tcPr>
          <w:p>
            <w:pPr>
              <w:jc w:val="right"/>
              <w:ind w:right="323"/>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60" w:type="dxa"/>
            <w:vAlign w:val="bottom"/>
            <w:tcBorders>
              <w:bottom w:val="single" w:sz="8" w:color="auto"/>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​1,116,293</w:t>
            </w:r>
            <w:r>
              <w:rPr>
                <w:rFonts w:ascii="Arial" w:cs="Arial" w:eastAsia="Arial" w:hAnsi="Arial"/>
                <w:sz w:val="30"/>
                <w:szCs w:val="30"/>
                <w:color w:val="auto"/>
                <w:vertAlign w:val="subscript"/>
              </w:rPr>
              <w:t>​​</w:t>
            </w:r>
          </w:p>
        </w:tc>
      </w:tr>
    </w:tbl>
    <w:p>
      <w:pPr>
        <w:spacing w:after="0" w:line="58" w:lineRule="exact"/>
        <w:rPr>
          <w:sz w:val="20"/>
          <w:szCs w:val="20"/>
          <w:color w:val="auto"/>
        </w:rPr>
      </w:pPr>
    </w:p>
    <w:p>
      <w:pPr>
        <w:ind w:left="800" w:right="120" w:hanging="362"/>
        <w:spacing w:after="0" w:line="256" w:lineRule="auto"/>
        <w:tabs>
          <w:tab w:leader="none" w:pos="800" w:val="left"/>
        </w:tabs>
        <w:numPr>
          <w:ilvl w:val="0"/>
          <w:numId w:val="17"/>
        </w:numPr>
        <w:rPr>
          <w:rFonts w:ascii="Arial" w:cs="Arial" w:eastAsia="Arial" w:hAnsi="Arial"/>
          <w:sz w:val="22"/>
          <w:szCs w:val="22"/>
          <w:color w:val="BA0C2F"/>
          <w:vertAlign w:val="superscript"/>
        </w:rPr>
      </w:pPr>
      <w:r>
        <w:rPr>
          <w:rFonts w:ascii="Arial" w:cs="Arial" w:eastAsia="Arial" w:hAnsi="Arial"/>
          <w:sz w:val="14"/>
          <w:szCs w:val="14"/>
          <w:color w:val="auto"/>
        </w:rPr>
        <w:t>Each non-executive director other than Mr. Sledge was awarded 47,506 RSUs on January 4, 2021 at a grant date fair value of $272,685, computed in accordance with Financial Accounting Standards Board (“FASB”) Accounting Standards Codification (“ASC”) — Compensation — Stock-Based Compensation (Topic 718)(“FASB ASC Topic 718”). Mr. Sledge, as the non-executive Chairperson of the Board, was awarded 69,359 RSUs on January 4, 2021 at a grant date fair value of $398,121. Also includes an incremental value representing additional compensation expense related to the decision of the Committee administering the Company’s Second Amended and Restated 2019 Equity Incentive Plan (the “2019 EIP”) on December 1, 2021 to settle the 2021 annual equity retainer of RSUs to non-executive directors partially in shares and partially in cash to allow directors to satisfy the associated tax liability. This incremental value was $369,644 for Messrs. Duster, Goldman and Mrs. Mutschler and $539,672 for Mr. Sledge. As of December 31, 2021, the aggregate number of RSUs awarded to each non-employee director, and the detail of the settlement partially in shares and partially in cash on January 4, 2022 is set forth below.</w:t>
      </w:r>
    </w:p>
    <w:p>
      <w:pPr>
        <w:spacing w:after="0" w:line="11" w:lineRule="exact"/>
        <w:rPr>
          <w:sz w:val="20"/>
          <w:szCs w:val="20"/>
          <w:color w:val="auto"/>
        </w:rPr>
      </w:pPr>
    </w:p>
    <w:tbl>
      <w:tblPr>
        <w:tblLayout w:type="fixed"/>
        <w:tblInd w:w="440" w:type="dxa"/>
        <w:tblCellMar>
          <w:top w:w="0" w:type="dxa"/>
          <w:left w:w="0" w:type="dxa"/>
          <w:bottom w:w="0" w:type="dxa"/>
          <w:right w:w="0" w:type="dxa"/>
        </w:tblCellMar>
      </w:tblPr>
      <w:tr>
        <w:trPr>
          <w:trHeight w:val="367"/>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ind w:left="680"/>
              <w:spacing w:after="0"/>
              <w:rPr>
                <w:sz w:val="20"/>
                <w:szCs w:val="20"/>
                <w:color w:val="auto"/>
              </w:rPr>
            </w:pPr>
            <w:r>
              <w:rPr>
                <w:rFonts w:ascii="Arial" w:cs="Arial" w:eastAsia="Arial" w:hAnsi="Arial"/>
                <w:sz w:val="14"/>
                <w:szCs w:val="14"/>
                <w:b w:val="1"/>
                <w:bCs w:val="1"/>
                <w:color w:val="auto"/>
              </w:rPr>
              <w:t>​ ​</w:t>
            </w: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r>
              <w:rPr>
                <w:rFonts w:ascii="Arial" w:cs="Arial" w:eastAsia="Arial" w:hAnsi="Arial"/>
                <w:sz w:val="14"/>
                <w:szCs w:val="14"/>
                <w:b w:val="1"/>
                <w:bCs w:val="1"/>
                <w:color w:val="auto"/>
              </w:rPr>
              <w:t>​ ​ ​</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 ​ ​</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580" w:type="dxa"/>
            <w:vAlign w:val="bottom"/>
            <w:gridSpan w:val="4"/>
          </w:tcPr>
          <w:p>
            <w:pPr>
              <w:spacing w:after="0"/>
              <w:rPr>
                <w:sz w:val="20"/>
                <w:szCs w:val="20"/>
                <w:color w:val="auto"/>
              </w:rPr>
            </w:pPr>
            <w:r>
              <w:rPr>
                <w:rFonts w:ascii="Arial" w:cs="Arial" w:eastAsia="Arial" w:hAnsi="Arial"/>
                <w:sz w:val="28"/>
                <w:szCs w:val="28"/>
                <w:b w:val="1"/>
                <w:bCs w:val="1"/>
                <w:color w:val="auto"/>
                <w:vertAlign w:val="subscript"/>
              </w:rPr>
              <w:t>​​ ​ ​</w:t>
            </w:r>
            <w:r>
              <w:rPr>
                <w:rFonts w:ascii="Arial" w:cs="Arial" w:eastAsia="Arial" w:hAnsi="Arial"/>
                <w:sz w:val="14"/>
                <w:szCs w:val="14"/>
                <w:b w:val="1"/>
                <w:bCs w:val="1"/>
                <w:color w:val="auto"/>
              </w:rPr>
              <w:t xml:space="preserve"> At Settlement on January 4, 2022</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7"/>
        </w:trPr>
        <w:tc>
          <w:tcPr>
            <w:tcW w:w="2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6"/>
                <w:szCs w:val="16"/>
                <w:color w:val="auto"/>
              </w:rPr>
            </w:pPr>
          </w:p>
        </w:tc>
        <w:tc>
          <w:tcPr>
            <w:tcW w:w="940" w:type="dxa"/>
            <w:vAlign w:val="bottom"/>
          </w:tcPr>
          <w:p>
            <w:pPr>
              <w:jc w:val="center"/>
              <w:ind w:left="85"/>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RSUs Awarded</w:t>
            </w:r>
          </w:p>
        </w:tc>
        <w:tc>
          <w:tcPr>
            <w:tcW w:w="2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RSUs Awarded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and Outstanding</w:t>
            </w:r>
          </w:p>
        </w:tc>
        <w:tc>
          <w:tcPr>
            <w:tcW w:w="2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of January 4,</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Incremental</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Partial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center"/>
              <w:ind w:left="202"/>
              <w:spacing w:after="0"/>
              <w:rPr>
                <w:sz w:val="20"/>
                <w:szCs w:val="20"/>
                <w:color w:val="auto"/>
              </w:rPr>
            </w:pPr>
            <w:r>
              <w:rPr>
                <w:rFonts w:ascii="Arial" w:cs="Arial" w:eastAsia="Arial" w:hAnsi="Arial"/>
                <w:sz w:val="14"/>
                <w:szCs w:val="14"/>
                <w:b w:val="1"/>
                <w:bCs w:val="1"/>
                <w:color w:val="auto"/>
              </w:rPr>
              <w:t>at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6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Value as of</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Settlement in</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Partial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tcPr>
          <w:p>
            <w:pPr>
              <w:jc w:val="center"/>
              <w:ind w:left="85"/>
              <w:spacing w:after="0"/>
              <w:rPr>
                <w:sz w:val="20"/>
                <w:szCs w:val="20"/>
                <w:color w:val="auto"/>
              </w:rPr>
            </w:pPr>
            <w:r>
              <w:rPr>
                <w:rFonts w:ascii="Arial" w:cs="Arial" w:eastAsia="Arial" w:hAnsi="Arial"/>
                <w:sz w:val="14"/>
                <w:szCs w:val="14"/>
                <w:b w:val="1"/>
                <w:bCs w:val="1"/>
                <w:color w:val="auto"/>
              </w:rPr>
              <w:t>(prior to</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December 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Settlement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center"/>
              <w:ind w:left="18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modification)</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in 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8"/>
        </w:trPr>
        <w:tc>
          <w:tcPr>
            <w:tcW w:w="266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Name</w:t>
            </w: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w:t>
            </w:r>
          </w:p>
        </w:tc>
        <w:tc>
          <w:tcPr>
            <w:tcW w:w="94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26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Benjamin C. Duster, IV</w:t>
            </w:r>
          </w:p>
        </w:tc>
        <w:tc>
          <w:tcPr>
            <w:tcW w:w="840" w:type="dxa"/>
            <w:vAlign w:val="bottom"/>
            <w:tcBorders>
              <w:bottom w:val="single" w:sz="8" w:color="auto"/>
            </w:tcBorders>
            <w:shd w:val="clear" w:color="auto" w:fill="CCCCCC"/>
          </w:tcPr>
          <w:p>
            <w:pPr>
              <w:ind w:left="6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w w:val="98"/>
              </w:rPr>
              <w:t>​47,506</w:t>
            </w:r>
          </w:p>
        </w:tc>
        <w:tc>
          <w:tcPr>
            <w:tcW w:w="300" w:type="dxa"/>
            <w:vAlign w:val="bottom"/>
            <w:tcBorders>
              <w:bottom w:val="single" w:sz="8" w:color="auto"/>
            </w:tcBorders>
            <w:shd w:val="clear" w:color="auto" w:fill="CCCCCC"/>
          </w:tcPr>
          <w:p>
            <w:pPr>
              <w:spacing w:after="0"/>
              <w:rPr>
                <w:sz w:val="22"/>
                <w:szCs w:val="22"/>
                <w:color w:val="auto"/>
              </w:rPr>
            </w:pPr>
          </w:p>
        </w:tc>
        <w:tc>
          <w:tcPr>
            <w:tcW w:w="2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CCCC"/>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$272,685</w:t>
            </w:r>
          </w:p>
        </w:tc>
        <w:tc>
          <w:tcPr>
            <w:tcW w:w="160" w:type="dxa"/>
            <w:vAlign w:val="bottom"/>
            <w:tcBorders>
              <w:bottom w:val="single" w:sz="8" w:color="auto"/>
            </w:tcBorders>
            <w:shd w:val="clear" w:color="auto" w:fill="CCCCCC"/>
          </w:tcPr>
          <w:p>
            <w:pPr>
              <w:spacing w:after="0"/>
              <w:rPr>
                <w:sz w:val="22"/>
                <w:szCs w:val="22"/>
                <w:color w:val="auto"/>
              </w:rPr>
            </w:pPr>
          </w:p>
        </w:tc>
        <w:tc>
          <w:tcPr>
            <w:tcW w:w="1360" w:type="dxa"/>
            <w:vAlign w:val="bottom"/>
            <w:tcBorders>
              <w:bottom w:val="single" w:sz="8" w:color="auto"/>
            </w:tcBorders>
            <w:gridSpan w:val="3"/>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$ 369,644 </w:t>
            </w:r>
            <w:r>
              <w:rPr>
                <w:rFonts w:ascii="Arial" w:cs="Arial" w:eastAsia="Arial" w:hAnsi="Arial"/>
                <w:sz w:val="30"/>
                <w:szCs w:val="30"/>
                <w:color w:val="auto"/>
                <w:vertAlign w:val="subscript"/>
              </w:rPr>
              <w:t>​​ ​</w:t>
            </w:r>
          </w:p>
        </w:tc>
        <w:tc>
          <w:tcPr>
            <w:tcW w:w="10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​29,929</w:t>
            </w:r>
          </w:p>
        </w:tc>
        <w:tc>
          <w:tcPr>
            <w:tcW w:w="3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shd w:val="clear" w:color="auto" w:fill="CCCCCC"/>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$490,398</w:t>
            </w:r>
          </w:p>
        </w:tc>
        <w:tc>
          <w:tcPr>
            <w:tcW w:w="14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6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Neal P. Goldman</w:t>
            </w: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​47,506</w:t>
            </w:r>
          </w:p>
        </w:tc>
        <w:tc>
          <w:tcPr>
            <w:tcW w:w="3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$272,685</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$ 369,644 </w:t>
            </w:r>
            <w:r>
              <w:rPr>
                <w:rFonts w:ascii="Arial" w:cs="Arial" w:eastAsia="Arial" w:hAnsi="Arial"/>
                <w:sz w:val="30"/>
                <w:szCs w:val="30"/>
                <w:color w:val="auto"/>
                <w:vertAlign w:val="subscript"/>
              </w:rPr>
              <w:t>​​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​29,929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$490,398</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6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Jacqueline C. Mutschler</w:t>
            </w:r>
          </w:p>
        </w:tc>
        <w:tc>
          <w:tcPr>
            <w:tcW w:w="840" w:type="dxa"/>
            <w:vAlign w:val="bottom"/>
            <w:tcBorders>
              <w:bottom w:val="single" w:sz="8" w:color="auto"/>
            </w:tcBorders>
            <w:shd w:val="clear" w:color="auto" w:fill="CCCCCC"/>
          </w:tcPr>
          <w:p>
            <w:pPr>
              <w:ind w:left="6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w w:val="98"/>
              </w:rPr>
              <w:t>​47,506</w:t>
            </w:r>
          </w:p>
        </w:tc>
        <w:tc>
          <w:tcPr>
            <w:tcW w:w="300" w:type="dxa"/>
            <w:vAlign w:val="bottom"/>
            <w:tcBorders>
              <w:bottom w:val="single" w:sz="8" w:color="auto"/>
            </w:tcBorders>
            <w:shd w:val="clear" w:color="auto" w:fill="CCCCCC"/>
          </w:tcPr>
          <w:p>
            <w:pPr>
              <w:spacing w:after="0"/>
              <w:rPr>
                <w:sz w:val="22"/>
                <w:szCs w:val="22"/>
                <w:color w:val="auto"/>
              </w:rPr>
            </w:pPr>
          </w:p>
        </w:tc>
        <w:tc>
          <w:tcPr>
            <w:tcW w:w="2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CCCC"/>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$272,685</w:t>
            </w:r>
          </w:p>
        </w:tc>
        <w:tc>
          <w:tcPr>
            <w:tcW w:w="160" w:type="dxa"/>
            <w:vAlign w:val="bottom"/>
            <w:tcBorders>
              <w:bottom w:val="single" w:sz="8" w:color="auto"/>
            </w:tcBorders>
            <w:shd w:val="clear" w:color="auto" w:fill="CCCCCC"/>
          </w:tcPr>
          <w:p>
            <w:pPr>
              <w:spacing w:after="0"/>
              <w:rPr>
                <w:sz w:val="22"/>
                <w:szCs w:val="22"/>
                <w:color w:val="auto"/>
              </w:rPr>
            </w:pPr>
          </w:p>
        </w:tc>
        <w:tc>
          <w:tcPr>
            <w:tcW w:w="1360" w:type="dxa"/>
            <w:vAlign w:val="bottom"/>
            <w:tcBorders>
              <w:bottom w:val="single" w:sz="8" w:color="auto"/>
            </w:tcBorders>
            <w:gridSpan w:val="3"/>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$ 369,644 </w:t>
            </w:r>
            <w:r>
              <w:rPr>
                <w:rFonts w:ascii="Arial" w:cs="Arial" w:eastAsia="Arial" w:hAnsi="Arial"/>
                <w:sz w:val="30"/>
                <w:szCs w:val="30"/>
                <w:color w:val="auto"/>
                <w:vertAlign w:val="subscript"/>
              </w:rPr>
              <w:t>​​ ​</w:t>
            </w:r>
          </w:p>
        </w:tc>
        <w:tc>
          <w:tcPr>
            <w:tcW w:w="10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​29,929</w:t>
            </w:r>
          </w:p>
        </w:tc>
        <w:tc>
          <w:tcPr>
            <w:tcW w:w="3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shd w:val="clear" w:color="auto" w:fill="CCCCCC"/>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$490,398</w:t>
            </w:r>
          </w:p>
        </w:tc>
        <w:tc>
          <w:tcPr>
            <w:tcW w:w="14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6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Charles M. Sledge</w:t>
            </w: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​69,359</w:t>
            </w:r>
          </w:p>
        </w:tc>
        <w:tc>
          <w:tcPr>
            <w:tcW w:w="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$398,121</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$ 539,672 </w:t>
            </w:r>
            <w:r>
              <w:rPr>
                <w:rFonts w:ascii="Arial" w:cs="Arial" w:eastAsia="Arial" w:hAnsi="Arial"/>
                <w:sz w:val="30"/>
                <w:szCs w:val="30"/>
                <w:color w:val="auto"/>
                <w:vertAlign w:val="subscript"/>
              </w:rPr>
              <w:t>​​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​43,697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$715,970</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2640330</wp:posOffset>
            </wp:positionV>
            <wp:extent cx="6231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65"/>
          <w:szCs w:val="65"/>
          <w:b w:val="1"/>
          <w:bCs w:val="1"/>
          <w:color w:val="BA0C2F"/>
        </w:rPr>
        <w:t>AGENDA ITEM 2 – RATIFY</w:t>
      </w:r>
    </w:p>
    <w:p>
      <w:pPr>
        <w:spacing w:after="0" w:line="9" w:lineRule="exact"/>
        <w:rPr>
          <w:sz w:val="20"/>
          <w:szCs w:val="20"/>
          <w:color w:val="auto"/>
        </w:rPr>
      </w:pPr>
    </w:p>
    <w:p>
      <w:pPr>
        <w:ind w:left="440" w:right="60"/>
        <w:spacing w:after="0" w:line="229" w:lineRule="auto"/>
        <w:rPr>
          <w:sz w:val="20"/>
          <w:szCs w:val="20"/>
          <w:color w:val="auto"/>
        </w:rPr>
      </w:pPr>
      <w:r>
        <w:rPr>
          <w:rFonts w:ascii="Arial" w:cs="Arial" w:eastAsia="Arial" w:hAnsi="Arial"/>
          <w:sz w:val="65"/>
          <w:szCs w:val="65"/>
          <w:b w:val="1"/>
          <w:bCs w:val="1"/>
          <w:color w:val="BA0C2F"/>
        </w:rPr>
        <w:t>APPOINTMENT OF INDEPENDENT AUDITORS AND AUTHORIZE AUDITORS’ REMUNERATION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BA0C2F"/>
        </w:rPr>
        <w:t>“FOR”</w:t>
      </w:r>
      <w:r>
        <w:rPr>
          <w:rFonts w:ascii="Arial" w:cs="Arial" w:eastAsia="Arial" w:hAnsi="Arial"/>
          <w:sz w:val="22"/>
          <w:szCs w:val="22"/>
          <w:b w:val="1"/>
          <w:bCs w:val="1"/>
          <w:color w:val="auto"/>
        </w:rPr>
        <w:t xml:space="preserve"> this proposal.</w:t>
      </w:r>
    </w:p>
    <w:p>
      <w:pPr>
        <w:spacing w:after="0" w:line="99"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KPMG LLP and KPMG Chartered Accountants, Dublin (collectively, “KPMG”) served as the independent and Irish statutory auditors, respectively, for Weatherford for the year ended December 31, 2021. The Board, upon the recommendation of the Audit Committee, is asking our shareholders to ratify the appointment of KPMG LLP as our independent registered public accounting firm and auditor for the year ending December 31, 2022 and KPMG Chartered Accountants, Dublin as our statutory auditor under Irish law to hold office until the close of the 2023 AGM and to authorize the Board of Directors, acting through the Audit Committee, to determine the auditors’ remuneration. The selection of KPMG LLP as the independent registered public accounting firm for 2022 was approved by the Audit Committee on March 7, 2022 and by the Board on March 8, 2022.</w:t>
      </w:r>
    </w:p>
    <w:p>
      <w:pPr>
        <w:spacing w:after="0" w:line="41" w:lineRule="exact"/>
        <w:rPr>
          <w:sz w:val="20"/>
          <w:szCs w:val="20"/>
          <w:color w:val="auto"/>
        </w:rPr>
      </w:pPr>
    </w:p>
    <w:p>
      <w:pPr>
        <w:ind w:left="440" w:right="120"/>
        <w:spacing w:after="0" w:line="276" w:lineRule="auto"/>
        <w:rPr>
          <w:sz w:val="20"/>
          <w:szCs w:val="20"/>
          <w:color w:val="auto"/>
        </w:rPr>
      </w:pPr>
      <w:r>
        <w:rPr>
          <w:rFonts w:ascii="Arial" w:cs="Arial" w:eastAsia="Arial" w:hAnsi="Arial"/>
          <w:sz w:val="18"/>
          <w:szCs w:val="18"/>
          <w:color w:val="auto"/>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spacing w:after="0" w:line="28" w:lineRule="exact"/>
        <w:rPr>
          <w:sz w:val="20"/>
          <w:szCs w:val="20"/>
          <w:color w:val="auto"/>
        </w:rPr>
      </w:pPr>
    </w:p>
    <w:p>
      <w:pPr>
        <w:ind w:left="440" w:right="20"/>
        <w:spacing w:after="0" w:line="287" w:lineRule="auto"/>
        <w:rPr>
          <w:sz w:val="20"/>
          <w:szCs w:val="20"/>
          <w:color w:val="auto"/>
        </w:rPr>
      </w:pPr>
      <w:r>
        <w:rPr>
          <w:rFonts w:ascii="Arial" w:cs="Arial" w:eastAsia="Arial" w:hAnsi="Arial"/>
          <w:sz w:val="18"/>
          <w:szCs w:val="18"/>
          <w:color w:val="auto"/>
        </w:rPr>
        <w:t>Representatives of KPMG will be present at the AGM to respond to any appropriate shareholder questions and will be given an opportunity to make a statement, if they so desire.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FEES PAID TO KPMG</w:t>
      </w:r>
    </w:p>
    <w:p>
      <w:pPr>
        <w:spacing w:after="0" w:line="100" w:lineRule="exact"/>
        <w:rPr>
          <w:sz w:val="20"/>
          <w:szCs w:val="20"/>
          <w:color w:val="auto"/>
        </w:rPr>
      </w:pPr>
    </w:p>
    <w:p>
      <w:pPr>
        <w:ind w:left="440" w:right="60"/>
        <w:spacing w:after="0" w:line="266" w:lineRule="auto"/>
        <w:rPr>
          <w:sz w:val="20"/>
          <w:szCs w:val="20"/>
          <w:color w:val="auto"/>
        </w:rPr>
      </w:pPr>
      <w:r>
        <w:rPr>
          <w:rFonts w:ascii="Arial" w:cs="Arial" w:eastAsia="Arial" w:hAnsi="Arial"/>
          <w:sz w:val="18"/>
          <w:szCs w:val="18"/>
          <w:color w:val="auto"/>
        </w:rPr>
        <w:t>The following table presents fees for professional audit services rendered by KPMG for the audit of the annual consolidated financial statements and statutory financial statements of Weatherford for the years ended December 31, 2021 and December 31, 2020 and fees billed for other services rendered by KPMG during those periods. All fees were approved by the Audit Committee pursuant to its pre-approval policy.</w:t>
      </w:r>
    </w:p>
    <w:p>
      <w:pPr>
        <w:spacing w:after="0" w:line="18"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8"/>
                <w:szCs w:val="28"/>
                <w:b w:val="1"/>
                <w:bCs w:val="1"/>
                <w:color w:val="auto"/>
                <w:vertAlign w:val="superscript"/>
              </w:rPr>
              <w:t>​</w:t>
            </w:r>
          </w:p>
        </w:tc>
        <w:tc>
          <w:tcPr>
            <w:tcW w:w="332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 ​</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90"/>
        </w:trPr>
        <w:tc>
          <w:tcPr>
            <w:tcW w:w="4540" w:type="dxa"/>
            <w:vAlign w:val="bottom"/>
            <w:tcBorders>
              <w:bottom w:val="single" w:sz="8" w:color="auto"/>
            </w:tcBorders>
            <w:shd w:val="clear" w:color="auto" w:fill="CCCCCC"/>
          </w:tcPr>
          <w:p>
            <w:pPr>
              <w:ind w:left="4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Audit fees</w:t>
            </w:r>
            <w:r>
              <w:rPr>
                <w:rFonts w:ascii="Arial" w:cs="Arial" w:eastAsia="Arial" w:hAnsi="Arial"/>
                <w:sz w:val="22"/>
                <w:szCs w:val="22"/>
                <w:color w:val="auto"/>
                <w:vertAlign w:val="superscript"/>
              </w:rPr>
              <w:t>(1)</w:t>
            </w:r>
          </w:p>
        </w:tc>
        <w:tc>
          <w:tcPr>
            <w:tcW w:w="5260" w:type="dxa"/>
            <w:vAlign w:val="bottom"/>
            <w:tcBorders>
              <w:bottom w:val="single" w:sz="8" w:color="auto"/>
            </w:tcBorders>
            <w:gridSpan w:val="5"/>
            <w:shd w:val="clear" w:color="auto" w:fill="CCCCCC"/>
          </w:tcPr>
          <w:p>
            <w:pPr>
              <w:ind w:left="2920"/>
              <w:spacing w:after="0" w:line="290" w:lineRule="exact"/>
              <w:rPr>
                <w:sz w:val="20"/>
                <w:szCs w:val="20"/>
                <w:color w:val="auto"/>
              </w:rPr>
            </w:pPr>
            <w:r>
              <w:rPr>
                <w:rFonts w:ascii="Arial" w:cs="Arial" w:eastAsia="Arial" w:hAnsi="Arial"/>
                <w:sz w:val="33"/>
                <w:szCs w:val="33"/>
                <w:color w:val="auto"/>
                <w:vertAlign w:val="subscript"/>
              </w:rPr>
              <w:t>​ ​​</w:t>
            </w:r>
            <w:r>
              <w:rPr>
                <w:rFonts w:ascii="Arial" w:cs="Arial" w:eastAsia="Arial" w:hAnsi="Arial"/>
                <w:sz w:val="17"/>
                <w:szCs w:val="17"/>
                <w:color w:val="auto"/>
              </w:rPr>
              <w:t>$5,948,000</w:t>
            </w:r>
            <w:r>
              <w:rPr>
                <w:rFonts w:ascii="Arial" w:cs="Arial" w:eastAsia="Arial" w:hAnsi="Arial"/>
                <w:sz w:val="33"/>
                <w:szCs w:val="33"/>
                <w:color w:val="auto"/>
                <w:vertAlign w:val="subscript"/>
              </w:rPr>
              <w:t>​​ ​​</w:t>
            </w:r>
            <w:r>
              <w:rPr>
                <w:rFonts w:ascii="Arial" w:cs="Arial" w:eastAsia="Arial" w:hAnsi="Arial"/>
                <w:sz w:val="17"/>
                <w:szCs w:val="17"/>
                <w:color w:val="auto"/>
              </w:rPr>
              <w:t>$7,307,000</w:t>
            </w:r>
            <w:r>
              <w:rPr>
                <w:rFonts w:ascii="Arial" w:cs="Arial" w:eastAsia="Arial" w:hAnsi="Arial"/>
                <w:sz w:val="33"/>
                <w:szCs w:val="33"/>
                <w:color w:val="auto"/>
                <w:vertAlign w:val="subscript"/>
              </w:rPr>
              <w:t>​​</w:t>
            </w:r>
          </w:p>
        </w:tc>
      </w:tr>
      <w:tr>
        <w:trPr>
          <w:trHeight w:val="291"/>
        </w:trPr>
        <w:tc>
          <w:tcPr>
            <w:tcW w:w="4540" w:type="dxa"/>
            <w:vAlign w:val="bottom"/>
            <w:tcBorders>
              <w:bottom w:val="single" w:sz="8" w:color="auto"/>
            </w:tcBorders>
          </w:tcPr>
          <w:p>
            <w:pPr>
              <w:ind w:left="4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Audit-related fees</w:t>
            </w:r>
            <w:r>
              <w:rPr>
                <w:rFonts w:ascii="Arial" w:cs="Arial" w:eastAsia="Arial" w:hAnsi="Arial"/>
                <w:sz w:val="22"/>
                <w:szCs w:val="22"/>
                <w:color w:val="auto"/>
                <w:vertAlign w:val="superscript"/>
              </w:rPr>
              <w:t>(2)</w:t>
            </w:r>
          </w:p>
        </w:tc>
        <w:tc>
          <w:tcPr>
            <w:tcW w:w="3320" w:type="dxa"/>
            <w:vAlign w:val="bottom"/>
            <w:tcBorders>
              <w:bottom w:val="single" w:sz="8" w:color="auto"/>
            </w:tcBorders>
          </w:tcPr>
          <w:p>
            <w:pPr>
              <w:ind w:left="2920"/>
              <w:spacing w:after="0" w:line="290"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3"/>
                <w:szCs w:val="33"/>
                <w:color w:val="auto"/>
                <w:vertAlign w:val="superscript"/>
              </w:rPr>
              <w:t>​</w:t>
            </w: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 </w:t>
            </w:r>
            <w:r>
              <w:rPr>
                <w:rFonts w:ascii="Arial" w:cs="Arial" w:eastAsia="Arial" w:hAnsi="Arial"/>
                <w:sz w:val="33"/>
                <w:szCs w:val="33"/>
                <w:color w:val="auto"/>
                <w:vertAlign w:val="superscript"/>
              </w:rPr>
              <w:t>​</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w:t>
            </w:r>
          </w:p>
        </w:tc>
      </w:tr>
      <w:tr>
        <w:trPr>
          <w:trHeight w:val="290"/>
        </w:trPr>
        <w:tc>
          <w:tcPr>
            <w:tcW w:w="4540" w:type="dxa"/>
            <w:vAlign w:val="bottom"/>
            <w:tcBorders>
              <w:bottom w:val="single" w:sz="8" w:color="auto"/>
            </w:tcBorders>
            <w:shd w:val="clear" w:color="auto" w:fill="CCCCCC"/>
          </w:tcPr>
          <w:p>
            <w:pPr>
              <w:ind w:left="4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Tax fees</w:t>
            </w:r>
            <w:r>
              <w:rPr>
                <w:rFonts w:ascii="Arial" w:cs="Arial" w:eastAsia="Arial" w:hAnsi="Arial"/>
                <w:sz w:val="22"/>
                <w:szCs w:val="22"/>
                <w:color w:val="auto"/>
                <w:vertAlign w:val="superscript"/>
              </w:rPr>
              <w:t>(3)</w:t>
            </w:r>
          </w:p>
        </w:tc>
        <w:tc>
          <w:tcPr>
            <w:tcW w:w="3320" w:type="dxa"/>
            <w:vAlign w:val="bottom"/>
            <w:tcBorders>
              <w:bottom w:val="single" w:sz="8" w:color="auto"/>
            </w:tcBorders>
            <w:shd w:val="clear" w:color="auto" w:fill="CCCCCC"/>
          </w:tcPr>
          <w:p>
            <w:pPr>
              <w:ind w:left="2920"/>
              <w:spacing w:after="0" w:line="290"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3"/>
                <w:szCs w:val="33"/>
                <w:color w:val="auto"/>
                <w:vertAlign w:val="superscript"/>
              </w:rPr>
              <w:t>​</w:t>
            </w:r>
          </w:p>
        </w:tc>
        <w:tc>
          <w:tcPr>
            <w:tcW w:w="1140" w:type="dxa"/>
            <w:vAlign w:val="bottom"/>
            <w:tcBorders>
              <w:bottom w:val="single" w:sz="8" w:color="auto"/>
            </w:tcBorders>
            <w:gridSpan w:val="2"/>
            <w:shd w:val="clear" w:color="auto" w:fill="CCCCCC"/>
          </w:tcPr>
          <w:p>
            <w:pPr>
              <w:jc w:val="right"/>
              <w:spacing w:after="0" w:line="290" w:lineRule="exact"/>
              <w:rPr>
                <w:sz w:val="20"/>
                <w:szCs w:val="20"/>
                <w:color w:val="auto"/>
              </w:rPr>
            </w:pPr>
            <w:r>
              <w:rPr>
                <w:rFonts w:ascii="Arial" w:cs="Arial" w:eastAsia="Arial" w:hAnsi="Arial"/>
                <w:sz w:val="17"/>
                <w:szCs w:val="17"/>
                <w:color w:val="auto"/>
              </w:rPr>
              <w:t>23,000</w:t>
            </w:r>
            <w:r>
              <w:rPr>
                <w:rFonts w:ascii="Arial" w:cs="Arial" w:eastAsia="Arial" w:hAnsi="Arial"/>
                <w:sz w:val="33"/>
                <w:szCs w:val="33"/>
                <w:color w:val="auto"/>
                <w:vertAlign w:val="subscript"/>
              </w:rPr>
              <w:t>​​ ​​</w:t>
            </w:r>
            <w:r>
              <w:rPr>
                <w:rFonts w:ascii="Arial" w:cs="Arial" w:eastAsia="Arial" w:hAnsi="Arial"/>
                <w:sz w:val="17"/>
                <w:szCs w:val="17"/>
                <w:color w:val="auto"/>
              </w:rPr>
              <w:t xml:space="preserve"> ​</w:t>
            </w:r>
          </w:p>
        </w:tc>
        <w:tc>
          <w:tcPr>
            <w:tcW w:w="800" w:type="dxa"/>
            <w:vAlign w:val="bottom"/>
            <w:tcBorders>
              <w:bottom w:val="single" w:sz="8" w:color="auto"/>
            </w:tcBorders>
            <w:gridSpan w:val="2"/>
            <w:shd w:val="clear" w:color="auto" w:fill="CCCCCC"/>
          </w:tcPr>
          <w:p>
            <w:pPr>
              <w:jc w:val="right"/>
              <w:spacing w:after="0" w:line="290" w:lineRule="exact"/>
              <w:rPr>
                <w:sz w:val="20"/>
                <w:szCs w:val="20"/>
                <w:color w:val="auto"/>
              </w:rPr>
            </w:pPr>
            <w:r>
              <w:rPr>
                <w:rFonts w:ascii="Arial" w:cs="Arial" w:eastAsia="Arial" w:hAnsi="Arial"/>
                <w:sz w:val="17"/>
                <w:szCs w:val="17"/>
                <w:color w:val="auto"/>
              </w:rPr>
              <w:t>50,000</w:t>
            </w:r>
            <w:r>
              <w:rPr>
                <w:rFonts w:ascii="Arial" w:cs="Arial" w:eastAsia="Arial" w:hAnsi="Arial"/>
                <w:sz w:val="33"/>
                <w:szCs w:val="33"/>
                <w:color w:val="auto"/>
                <w:vertAlign w:val="subscript"/>
              </w:rPr>
              <w:t>​​</w:t>
            </w:r>
          </w:p>
        </w:tc>
      </w:tr>
      <w:tr>
        <w:trPr>
          <w:trHeight w:val="290"/>
        </w:trPr>
        <w:tc>
          <w:tcPr>
            <w:tcW w:w="4540" w:type="dxa"/>
            <w:vAlign w:val="bottom"/>
            <w:tcBorders>
              <w:bottom w:val="single" w:sz="8" w:color="auto"/>
            </w:tcBorders>
          </w:tcPr>
          <w:p>
            <w:pPr>
              <w:ind w:left="4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All other fees</w:t>
            </w:r>
            <w:r>
              <w:rPr>
                <w:rFonts w:ascii="Arial" w:cs="Arial" w:eastAsia="Arial" w:hAnsi="Arial"/>
                <w:sz w:val="22"/>
                <w:szCs w:val="22"/>
                <w:color w:val="auto"/>
                <w:vertAlign w:val="superscript"/>
              </w:rPr>
              <w:t>(4)</w:t>
            </w:r>
          </w:p>
        </w:tc>
        <w:tc>
          <w:tcPr>
            <w:tcW w:w="3320" w:type="dxa"/>
            <w:vAlign w:val="bottom"/>
            <w:tcBorders>
              <w:bottom w:val="single" w:sz="8" w:color="auto"/>
            </w:tcBorders>
          </w:tcPr>
          <w:p>
            <w:pPr>
              <w:ind w:left="2920"/>
              <w:spacing w:after="0" w:line="290"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3"/>
                <w:szCs w:val="33"/>
                <w:color w:val="auto"/>
                <w:vertAlign w:val="superscript"/>
              </w:rPr>
              <w:t>​</w:t>
            </w:r>
          </w:p>
        </w:tc>
        <w:tc>
          <w:tcPr>
            <w:tcW w:w="1140" w:type="dxa"/>
            <w:vAlign w:val="bottom"/>
            <w:tcBorders>
              <w:bottom w:val="single" w:sz="8" w:color="auto"/>
            </w:tcBorders>
            <w:gridSpan w:val="2"/>
          </w:tcPr>
          <w:p>
            <w:pPr>
              <w:jc w:val="right"/>
              <w:spacing w:after="0" w:line="290" w:lineRule="exact"/>
              <w:rPr>
                <w:sz w:val="20"/>
                <w:szCs w:val="20"/>
                <w:color w:val="auto"/>
              </w:rPr>
            </w:pPr>
            <w:r>
              <w:rPr>
                <w:rFonts w:ascii="Arial" w:cs="Arial" w:eastAsia="Arial" w:hAnsi="Arial"/>
                <w:sz w:val="17"/>
                <w:szCs w:val="17"/>
                <w:color w:val="auto"/>
              </w:rPr>
              <w:t>8,000</w:t>
            </w:r>
            <w:r>
              <w:rPr>
                <w:rFonts w:ascii="Arial" w:cs="Arial" w:eastAsia="Arial" w:hAnsi="Arial"/>
                <w:sz w:val="33"/>
                <w:szCs w:val="33"/>
                <w:color w:val="auto"/>
                <w:vertAlign w:val="subscript"/>
              </w:rPr>
              <w:t>​​ ​​</w:t>
            </w:r>
            <w:r>
              <w:rPr>
                <w:rFonts w:ascii="Arial" w:cs="Arial" w:eastAsia="Arial" w:hAnsi="Arial"/>
                <w:sz w:val="17"/>
                <w:szCs w:val="17"/>
                <w:color w:val="auto"/>
              </w:rPr>
              <w:t xml:space="preserve"> ​</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w:t>
            </w:r>
          </w:p>
        </w:tc>
      </w:tr>
      <w:tr>
        <w:trPr>
          <w:trHeight w:val="270"/>
        </w:trPr>
        <w:tc>
          <w:tcPr>
            <w:tcW w:w="454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TOTAL</w:t>
            </w:r>
          </w:p>
        </w:tc>
        <w:tc>
          <w:tcPr>
            <w:tcW w:w="5260" w:type="dxa"/>
            <w:vAlign w:val="bottom"/>
            <w:tcBorders>
              <w:bottom w:val="single" w:sz="8" w:color="auto"/>
            </w:tcBorders>
            <w:gridSpan w:val="5"/>
            <w:shd w:val="clear" w:color="auto" w:fill="CCCCCC"/>
          </w:tcPr>
          <w:p>
            <w:pPr>
              <w:ind w:left="2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$5,979,000</w:t>
            </w:r>
            <w:r>
              <w:rPr>
                <w:rFonts w:ascii="Arial" w:cs="Arial" w:eastAsia="Arial" w:hAnsi="Arial"/>
                <w:sz w:val="30"/>
                <w:szCs w:val="30"/>
                <w:color w:val="auto"/>
                <w:vertAlign w:val="subscript"/>
              </w:rPr>
              <w:t>​​ ​​</w:t>
            </w:r>
            <w:r>
              <w:rPr>
                <w:rFonts w:ascii="Arial" w:cs="Arial" w:eastAsia="Arial" w:hAnsi="Arial"/>
                <w:sz w:val="16"/>
                <w:szCs w:val="16"/>
                <w:color w:val="auto"/>
              </w:rPr>
              <w:t>$7,357,000</w:t>
            </w:r>
            <w:r>
              <w:rPr>
                <w:rFonts w:ascii="Arial" w:cs="Arial" w:eastAsia="Arial" w:hAnsi="Arial"/>
                <w:sz w:val="30"/>
                <w:szCs w:val="30"/>
                <w:color w:val="auto"/>
                <w:vertAlign w:val="subscript"/>
              </w:rPr>
              <w:t>​​</w:t>
            </w:r>
          </w:p>
        </w:tc>
      </w:tr>
    </w:tbl>
    <w:p>
      <w:pPr>
        <w:spacing w:after="0" w:line="45" w:lineRule="exact"/>
        <w:rPr>
          <w:sz w:val="20"/>
          <w:szCs w:val="20"/>
          <w:color w:val="auto"/>
        </w:rPr>
      </w:pPr>
    </w:p>
    <w:p>
      <w:pPr>
        <w:ind w:left="800" w:right="180" w:hanging="362"/>
        <w:spacing w:after="0" w:line="248" w:lineRule="auto"/>
        <w:tabs>
          <w:tab w:leader="none" w:pos="800" w:val="left"/>
        </w:tabs>
        <w:numPr>
          <w:ilvl w:val="0"/>
          <w:numId w:val="18"/>
        </w:numPr>
        <w:rPr>
          <w:rFonts w:ascii="Arial" w:cs="Arial" w:eastAsia="Arial" w:hAnsi="Arial"/>
          <w:sz w:val="22"/>
          <w:szCs w:val="22"/>
          <w:color w:val="BA0C2F"/>
          <w:vertAlign w:val="superscript"/>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1" w:lineRule="exact"/>
        <w:rPr>
          <w:rFonts w:ascii="Arial" w:cs="Arial" w:eastAsia="Arial" w:hAnsi="Arial"/>
          <w:sz w:val="22"/>
          <w:szCs w:val="22"/>
          <w:color w:val="BA0C2F"/>
          <w:vertAlign w:val="superscript"/>
        </w:rPr>
      </w:pPr>
    </w:p>
    <w:p>
      <w:pPr>
        <w:ind w:left="800" w:hanging="362"/>
        <w:spacing w:after="0" w:line="192" w:lineRule="auto"/>
        <w:tabs>
          <w:tab w:leader="none" w:pos="800" w:val="left"/>
        </w:tabs>
        <w:numPr>
          <w:ilvl w:val="0"/>
          <w:numId w:val="18"/>
        </w:numPr>
        <w:rPr>
          <w:rFonts w:ascii="Arial" w:cs="Arial" w:eastAsia="Arial" w:hAnsi="Arial"/>
          <w:sz w:val="22"/>
          <w:szCs w:val="22"/>
          <w:color w:val="BA0C2F"/>
          <w:vertAlign w:val="superscript"/>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26"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18"/>
        </w:numPr>
        <w:rPr>
          <w:rFonts w:ascii="Arial" w:cs="Arial" w:eastAsia="Arial" w:hAnsi="Arial"/>
          <w:sz w:val="20"/>
          <w:szCs w:val="20"/>
          <w:color w:val="BA0C2F"/>
          <w:vertAlign w:val="superscript"/>
        </w:rPr>
      </w:pPr>
      <w:r>
        <w:rPr>
          <w:rFonts w:ascii="Arial" w:cs="Arial" w:eastAsia="Arial" w:hAnsi="Arial"/>
          <w:sz w:val="14"/>
          <w:szCs w:val="14"/>
          <w:color w:val="auto"/>
        </w:rPr>
        <w:t>Tax fees consist of non-U.S. tax compliance, planning and U.S./non-U.S. tax-related consultation.</w:t>
      </w:r>
    </w:p>
    <w:p>
      <w:pPr>
        <w:spacing w:after="0" w:line="40" w:lineRule="exact"/>
        <w:rPr>
          <w:rFonts w:ascii="Arial" w:cs="Arial" w:eastAsia="Arial" w:hAnsi="Arial"/>
          <w:sz w:val="20"/>
          <w:szCs w:val="20"/>
          <w:color w:val="BA0C2F"/>
          <w:vertAlign w:val="superscript"/>
        </w:rPr>
      </w:pPr>
    </w:p>
    <w:p>
      <w:pPr>
        <w:ind w:left="800" w:right="760" w:hanging="362"/>
        <w:spacing w:after="0" w:line="211" w:lineRule="auto"/>
        <w:tabs>
          <w:tab w:leader="none" w:pos="800" w:val="left"/>
        </w:tabs>
        <w:numPr>
          <w:ilvl w:val="0"/>
          <w:numId w:val="18"/>
        </w:numPr>
        <w:rPr>
          <w:rFonts w:ascii="Arial" w:cs="Arial" w:eastAsia="Arial" w:hAnsi="Arial"/>
          <w:sz w:val="22"/>
          <w:szCs w:val="22"/>
          <w:color w:val="BA0C2F"/>
          <w:vertAlign w:val="superscript"/>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237490</wp:posOffset>
            </wp:positionV>
            <wp:extent cx="6231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5" w:lineRule="exact"/>
        <w:rPr>
          <w:sz w:val="20"/>
          <w:szCs w:val="20"/>
          <w:color w:val="auto"/>
        </w:rPr>
      </w:pPr>
    </w:p>
    <w:p>
      <w:pPr>
        <w:ind w:left="720" w:hanging="282"/>
        <w:spacing w:after="0"/>
        <w:tabs>
          <w:tab w:leader="none" w:pos="720" w:val="left"/>
        </w:tabs>
        <w:numPr>
          <w:ilvl w:val="0"/>
          <w:numId w:val="1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666666"/>
        </w:rPr>
        <w:t>AGENDA ITEM 2</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AUDIT COMMITTEE PRE-APPROVAL POLICY</w:t>
      </w:r>
    </w:p>
    <w:p>
      <w:pPr>
        <w:spacing w:after="0" w:line="124" w:lineRule="exact"/>
        <w:rPr>
          <w:sz w:val="20"/>
          <w:szCs w:val="20"/>
          <w:color w:val="auto"/>
        </w:rPr>
      </w:pPr>
    </w:p>
    <w:p>
      <w:pPr>
        <w:ind w:left="440" w:right="480"/>
        <w:spacing w:after="0" w:line="255" w:lineRule="auto"/>
        <w:rPr>
          <w:sz w:val="20"/>
          <w:szCs w:val="20"/>
          <w:color w:val="auto"/>
        </w:rPr>
      </w:pPr>
      <w:r>
        <w:rPr>
          <w:rFonts w:ascii="Arial" w:cs="Arial" w:eastAsia="Arial" w:hAnsi="Arial"/>
          <w:sz w:val="18"/>
          <w:szCs w:val="18"/>
          <w:color w:val="auto"/>
        </w:rPr>
        <w:t>The Audit Committee has established a pre-approval policy for all audit and non-audit services to be provided by our independent auditor, which was last reviewed and approved on March 7, 2022.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2021, all audit and non-audit services performed by the independent auditor were subject to the pre-approval policy.</w:t>
      </w:r>
    </w:p>
    <w:p>
      <w:pPr>
        <w:spacing w:after="0" w:line="77" w:lineRule="exact"/>
        <w:rPr>
          <w:sz w:val="20"/>
          <w:szCs w:val="20"/>
          <w:color w:val="auto"/>
        </w:rPr>
      </w:pPr>
    </w:p>
    <w:p>
      <w:pPr>
        <w:ind w:left="440" w:right="500"/>
        <w:spacing w:after="0" w:line="262" w:lineRule="auto"/>
        <w:rPr>
          <w:sz w:val="20"/>
          <w:szCs w:val="20"/>
          <w:color w:val="auto"/>
        </w:rPr>
      </w:pPr>
      <w:r>
        <w:rPr>
          <w:rFonts w:ascii="Arial" w:cs="Arial" w:eastAsia="Arial" w:hAnsi="Arial"/>
          <w:sz w:val="18"/>
          <w:szCs w:val="18"/>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this monitoring.</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AUDIT COMMITTEE REPORT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22, 2022</w:t>
      </w:r>
    </w:p>
    <w:p>
      <w:pPr>
        <w:spacing w:after="0" w:line="117" w:lineRule="exact"/>
        <w:rPr>
          <w:sz w:val="20"/>
          <w:szCs w:val="20"/>
          <w:color w:val="auto"/>
        </w:rPr>
      </w:pPr>
    </w:p>
    <w:p>
      <w:pPr>
        <w:ind w:left="440" w:right="480"/>
        <w:spacing w:after="0" w:line="256" w:lineRule="auto"/>
        <w:rPr>
          <w:sz w:val="20"/>
          <w:szCs w:val="20"/>
          <w:color w:val="auto"/>
        </w:rPr>
      </w:pPr>
      <w:r>
        <w:rPr>
          <w:rFonts w:ascii="Arial" w:cs="Arial" w:eastAsia="Arial" w:hAnsi="Arial"/>
          <w:sz w:val="18"/>
          <w:szCs w:val="18"/>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75" w:lineRule="exact"/>
        <w:rPr>
          <w:sz w:val="20"/>
          <w:szCs w:val="20"/>
          <w:color w:val="auto"/>
        </w:rPr>
      </w:pPr>
    </w:p>
    <w:p>
      <w:pPr>
        <w:ind w:left="440" w:right="960"/>
        <w:spacing w:after="0" w:line="287" w:lineRule="auto"/>
        <w:rPr>
          <w:sz w:val="20"/>
          <w:szCs w:val="20"/>
          <w:color w:val="auto"/>
        </w:rPr>
      </w:pPr>
      <w:r>
        <w:rPr>
          <w:rFonts w:ascii="Arial" w:cs="Arial" w:eastAsia="Arial" w:hAnsi="Arial"/>
          <w:sz w:val="18"/>
          <w:szCs w:val="18"/>
          <w:color w:val="auto"/>
        </w:rPr>
        <w:t>Management is responsible for the Company’s financial statements and the reporting process, including the system of disclosure controls and procedures and internal control over financial reporting.</w:t>
      </w:r>
    </w:p>
    <w:p>
      <w:pPr>
        <w:spacing w:after="0" w:line="45" w:lineRule="exact"/>
        <w:rPr>
          <w:sz w:val="20"/>
          <w:szCs w:val="20"/>
          <w:color w:val="auto"/>
        </w:rPr>
      </w:pPr>
    </w:p>
    <w:p>
      <w:pPr>
        <w:jc w:val="both"/>
        <w:ind w:left="440" w:right="600"/>
        <w:spacing w:after="0" w:line="268" w:lineRule="auto"/>
        <w:rPr>
          <w:sz w:val="20"/>
          <w:szCs w:val="20"/>
          <w:color w:val="auto"/>
        </w:rPr>
      </w:pPr>
      <w:r>
        <w:rPr>
          <w:rFonts w:ascii="Arial" w:cs="Arial" w:eastAsia="Arial" w:hAnsi="Arial"/>
          <w:sz w:val="18"/>
          <w:szCs w:val="18"/>
          <w:color w:val="auto"/>
        </w:rPr>
        <w:t>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discharging its oversight role, the Audit Committee has:</w:t>
      </w:r>
    </w:p>
    <w:p>
      <w:pPr>
        <w:spacing w:after="0" w:line="27" w:lineRule="exact"/>
        <w:rPr>
          <w:sz w:val="20"/>
          <w:szCs w:val="20"/>
          <w:color w:val="auto"/>
        </w:rPr>
      </w:pPr>
    </w:p>
    <w:p>
      <w:pPr>
        <w:ind w:left="880" w:right="580" w:hanging="226"/>
        <w:spacing w:after="0" w:line="250" w:lineRule="auto"/>
        <w:tabs>
          <w:tab w:leader="none" w:pos="880" w:val="left"/>
        </w:tabs>
        <w:numPr>
          <w:ilvl w:val="0"/>
          <w:numId w:val="20"/>
        </w:numPr>
        <w:rPr>
          <w:rFonts w:ascii="Arial" w:cs="Arial" w:eastAsia="Arial" w:hAnsi="Arial"/>
          <w:sz w:val="18"/>
          <w:szCs w:val="18"/>
          <w:color w:val="BA0C2F"/>
        </w:rPr>
      </w:pPr>
      <w:r>
        <w:rPr>
          <w:rFonts w:ascii="Arial" w:cs="Arial" w:eastAsia="Arial" w:hAnsi="Arial"/>
          <w:sz w:val="18"/>
          <w:szCs w:val="18"/>
          <w:color w:val="auto"/>
        </w:rPr>
        <w:t>reviewed and discussed with management the audited financial statements of Weatherford International plc as of and for the year ended December 31, 2021; and</w:t>
      </w:r>
    </w:p>
    <w:p>
      <w:pPr>
        <w:ind w:left="880" w:right="500" w:hanging="226"/>
        <w:spacing w:after="0" w:line="253" w:lineRule="auto"/>
        <w:tabs>
          <w:tab w:leader="none" w:pos="880" w:val="left"/>
        </w:tabs>
        <w:numPr>
          <w:ilvl w:val="0"/>
          <w:numId w:val="20"/>
        </w:numPr>
        <w:rPr>
          <w:rFonts w:ascii="Arial" w:cs="Arial" w:eastAsia="Arial" w:hAnsi="Arial"/>
          <w:sz w:val="18"/>
          <w:szCs w:val="18"/>
          <w:color w:val="BA0C2F"/>
        </w:rPr>
      </w:pPr>
      <w:r>
        <w:rPr>
          <w:rFonts w:ascii="Arial" w:cs="Arial" w:eastAsia="Arial" w:hAnsi="Arial"/>
          <w:sz w:val="18"/>
          <w:szCs w:val="18"/>
          <w:color w:val="auto"/>
        </w:rPr>
        <w:t xml:space="preserve">discussed with KPMG LLP the matters required to be discussed by Auditing Standard No.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Audit Committees, </w:t>
      </w:r>
      <w:r>
        <w:rPr>
          <w:rFonts w:ascii="Arial" w:cs="Arial" w:eastAsia="Arial" w:hAnsi="Arial"/>
          <w:sz w:val="18"/>
          <w:szCs w:val="18"/>
          <w:color w:val="auto"/>
        </w:rPr>
        <w:t>as amended, as adopted by the Public Company Accounting Oversight Board.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77" w:lineRule="exact"/>
        <w:rPr>
          <w:sz w:val="20"/>
          <w:szCs w:val="20"/>
          <w:color w:val="auto"/>
        </w:rPr>
      </w:pPr>
    </w:p>
    <w:p>
      <w:pPr>
        <w:ind w:left="440" w:right="500"/>
        <w:spacing w:after="0" w:line="278" w:lineRule="auto"/>
        <w:rPr>
          <w:sz w:val="20"/>
          <w:szCs w:val="20"/>
          <w:color w:val="auto"/>
        </w:rPr>
      </w:pPr>
      <w:r>
        <w:rPr>
          <w:rFonts w:ascii="Arial" w:cs="Arial" w:eastAsia="Arial" w:hAnsi="Arial"/>
          <w:sz w:val="17"/>
          <w:szCs w:val="17"/>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2022 AGM.</w:t>
      </w:r>
    </w:p>
    <w:p>
      <w:pPr>
        <w:spacing w:after="0" w:line="56" w:lineRule="exact"/>
        <w:rPr>
          <w:sz w:val="20"/>
          <w:szCs w:val="20"/>
          <w:color w:val="auto"/>
        </w:rPr>
      </w:pPr>
    </w:p>
    <w:p>
      <w:pPr>
        <w:ind w:left="440" w:right="58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111760</wp:posOffset>
            </wp:positionV>
            <wp:extent cx="908685"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8685" cy="38608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240030</wp:posOffset>
            </wp:positionV>
            <wp:extent cx="115697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56970" cy="25717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214630</wp:posOffset>
            </wp:positionV>
            <wp:extent cx="1491615" cy="282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916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rPr>
              <w:t>​ ​</w:t>
            </w:r>
          </w:p>
        </w:tc>
        <w:tc>
          <w:tcPr>
            <w:tcW w:w="232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rPr>
              <w:t>​ ​</w:t>
            </w:r>
          </w:p>
        </w:tc>
        <w:tc>
          <w:tcPr>
            <w:tcW w:w="292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6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181" w:lineRule="exact"/>
              <w:rPr>
                <w:sz w:val="20"/>
                <w:szCs w:val="20"/>
                <w:color w:val="auto"/>
              </w:rPr>
            </w:pPr>
            <w:r>
              <w:rPr>
                <w:rFonts w:ascii="Arial" w:cs="Arial" w:eastAsia="Arial" w:hAnsi="Arial"/>
                <w:sz w:val="18"/>
                <w:szCs w:val="18"/>
                <w:color w:val="auto"/>
              </w:rPr>
              <w:t>​ ​</w:t>
            </w: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Benjamin C. Duster, IV</w:t>
            </w:r>
          </w:p>
        </w:tc>
        <w:tc>
          <w:tcPr>
            <w:tcW w:w="1020" w:type="dxa"/>
            <w:vAlign w:val="bottom"/>
          </w:tcPr>
          <w:p>
            <w:pPr>
              <w:ind w:left="840"/>
              <w:spacing w:after="0" w:line="181" w:lineRule="exact"/>
              <w:rPr>
                <w:sz w:val="20"/>
                <w:szCs w:val="20"/>
                <w:color w:val="auto"/>
              </w:rPr>
            </w:pPr>
            <w:r>
              <w:rPr>
                <w:rFonts w:ascii="Arial" w:cs="Arial" w:eastAsia="Arial" w:hAnsi="Arial"/>
                <w:sz w:val="18"/>
                <w:szCs w:val="18"/>
                <w:color w:val="auto"/>
              </w:rPr>
              <w:t>​ ​</w:t>
            </w: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 xml:space="preserve">Neal P. Goldman </w:t>
            </w:r>
            <w:r>
              <w:rPr>
                <w:rFonts w:ascii="Arial" w:cs="Arial" w:eastAsia="Arial" w:hAnsi="Arial"/>
                <w:sz w:val="18"/>
                <w:szCs w:val="18"/>
                <w:i w:val="1"/>
                <w:iCs w:val="1"/>
                <w:color w:val="auto"/>
              </w:rPr>
              <w:t>(Vice Chair)</w:t>
            </w:r>
          </w:p>
        </w:tc>
        <w:tc>
          <w:tcPr>
            <w:tcW w:w="72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 xml:space="preserve">Charles M. Sledge </w:t>
            </w:r>
            <w:r>
              <w:rPr>
                <w:rFonts w:ascii="Arial" w:cs="Arial" w:eastAsia="Arial" w:hAnsi="Arial"/>
                <w:sz w:val="18"/>
                <w:szCs w:val="18"/>
                <w:i w:val="1"/>
                <w:iCs w:val="1"/>
                <w:color w:val="auto"/>
              </w:rPr>
              <w:t>(Chair)</w:t>
            </w:r>
          </w:p>
        </w:tc>
        <w:tc>
          <w:tcPr>
            <w:tcW w:w="700" w:type="dxa"/>
            <w:vAlign w:val="bottom"/>
          </w:tcPr>
          <w:p>
            <w:pPr>
              <w:spacing w:after="0"/>
              <w:rPr>
                <w:sz w:val="20"/>
                <w:szCs w:val="20"/>
                <w:color w:val="auto"/>
              </w:rPr>
            </w:pPr>
          </w:p>
        </w:tc>
        <w:tc>
          <w:tcPr>
            <w:tcW w:w="23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2600" w:type="dxa"/>
            <w:vAlign w:val="bottom"/>
            <w:tcBorders>
              <w:bottom w:val="single" w:sz="8" w:color="666666"/>
            </w:tcBorders>
          </w:tcPr>
          <w:p>
            <w:pPr>
              <w:spacing w:after="0"/>
              <w:rPr>
                <w:sz w:val="13"/>
                <w:szCs w:val="13"/>
                <w:color w:val="auto"/>
              </w:rPr>
            </w:pPr>
          </w:p>
        </w:tc>
        <w:tc>
          <w:tcPr>
            <w:tcW w:w="700" w:type="dxa"/>
            <w:vAlign w:val="bottom"/>
            <w:tcBorders>
              <w:bottom w:val="single" w:sz="8" w:color="666666"/>
            </w:tcBorders>
          </w:tcPr>
          <w:p>
            <w:pPr>
              <w:spacing w:after="0"/>
              <w:rPr>
                <w:sz w:val="13"/>
                <w:szCs w:val="13"/>
                <w:color w:val="auto"/>
              </w:rPr>
            </w:pPr>
          </w:p>
        </w:tc>
        <w:tc>
          <w:tcPr>
            <w:tcW w:w="2320" w:type="dxa"/>
            <w:vAlign w:val="bottom"/>
            <w:tcBorders>
              <w:bottom w:val="single" w:sz="8" w:color="666666"/>
            </w:tcBorders>
          </w:tcPr>
          <w:p>
            <w:pPr>
              <w:spacing w:after="0"/>
              <w:rPr>
                <w:sz w:val="13"/>
                <w:szCs w:val="13"/>
                <w:color w:val="auto"/>
              </w:rPr>
            </w:pPr>
          </w:p>
        </w:tc>
        <w:tc>
          <w:tcPr>
            <w:tcW w:w="3940" w:type="dxa"/>
            <w:vAlign w:val="bottom"/>
            <w:tcBorders>
              <w:bottom w:val="single" w:sz="8" w:color="666666"/>
            </w:tcBorders>
            <w:gridSpan w:val="2"/>
          </w:tcPr>
          <w:p>
            <w:pPr>
              <w:spacing w:after="0"/>
              <w:rPr>
                <w:sz w:val="13"/>
                <w:szCs w:val="13"/>
                <w:color w:val="auto"/>
              </w:rPr>
            </w:pPr>
          </w:p>
        </w:tc>
        <w:tc>
          <w:tcPr>
            <w:tcW w:w="260" w:type="dxa"/>
            <w:vAlign w:val="bottom"/>
            <w:tcBorders>
              <w:bottom w:val="single" w:sz="8" w:color="666666"/>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40" w:type="dxa"/>
            <w:vAlign w:val="bottom"/>
            <w:gridSpan w:val="2"/>
          </w:tcPr>
          <w:p>
            <w:pPr>
              <w:ind w:left="480"/>
              <w:spacing w:after="0"/>
              <w:rPr>
                <w:sz w:val="20"/>
                <w:szCs w:val="20"/>
                <w:color w:val="auto"/>
              </w:rPr>
            </w:pPr>
            <w:r>
              <w:rPr>
                <w:rFonts w:ascii="Arial" w:cs="Arial" w:eastAsia="Arial" w:hAnsi="Arial"/>
                <w:sz w:val="14"/>
                <w:szCs w:val="14"/>
                <w:color w:val="666666"/>
              </w:rPr>
              <w:t>Weatherford International plc – 2022 Proxy Statement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666666"/>
              </w:rPr>
              <w:t>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9A9A9A"/>
            </w:tcBorders>
          </w:tcPr>
          <w:p>
            <w:pPr>
              <w:spacing w:after="0"/>
              <w:rPr>
                <w:sz w:val="20"/>
                <w:szCs w:val="20"/>
                <w:color w:val="auto"/>
              </w:rPr>
            </w:pPr>
          </w:p>
        </w:tc>
        <w:tc>
          <w:tcPr>
            <w:tcW w:w="2600" w:type="dxa"/>
            <w:vAlign w:val="bottom"/>
            <w:tcBorders>
              <w:bottom w:val="single" w:sz="8" w:color="9A9A9A"/>
            </w:tcBorders>
          </w:tcPr>
          <w:p>
            <w:pPr>
              <w:spacing w:after="0"/>
              <w:rPr>
                <w:sz w:val="20"/>
                <w:szCs w:val="20"/>
                <w:color w:val="auto"/>
              </w:rPr>
            </w:pPr>
          </w:p>
        </w:tc>
        <w:tc>
          <w:tcPr>
            <w:tcW w:w="7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29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right="760"/>
        <w:spacing w:after="0" w:line="242" w:lineRule="auto"/>
        <w:rPr>
          <w:sz w:val="20"/>
          <w:szCs w:val="20"/>
          <w:color w:val="auto"/>
        </w:rPr>
      </w:pPr>
      <w:r>
        <w:rPr>
          <w:rFonts w:ascii="Arial" w:cs="Arial" w:eastAsia="Arial" w:hAnsi="Arial"/>
          <w:sz w:val="64"/>
          <w:szCs w:val="64"/>
          <w:b w:val="1"/>
          <w:bCs w:val="1"/>
          <w:color w:val="BA0C2F"/>
        </w:rPr>
        <w:t>AGENDA ITEM 3 – ADVISORY APPROVAL OF EXECUTIVE COMPENSATION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BA0C2F"/>
        </w:rPr>
        <w:t>“FOR”</w:t>
      </w:r>
      <w:r>
        <w:rPr>
          <w:rFonts w:ascii="Arial" w:cs="Arial" w:eastAsia="Arial" w:hAnsi="Arial"/>
          <w:sz w:val="22"/>
          <w:szCs w:val="22"/>
          <w:b w:val="1"/>
          <w:bCs w:val="1"/>
          <w:color w:val="auto"/>
        </w:rPr>
        <w:t xml:space="preserve"> this proposal.</w:t>
      </w:r>
    </w:p>
    <w:p>
      <w:pPr>
        <w:spacing w:after="0" w:line="99"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We are asking our shareholders to approve, on an advisory basis, the compensation of our NEOs pursuant to Section 14A of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advisory votes on our NEOs compensation. Following the vote at the AGM and subject to the voting results of agenda item #4 of the Proxy Statement, we expect that the next advisory vote on the compensation of our NEOs will take place at our 2023 Annual Meeting.</w:t>
      </w:r>
    </w:p>
    <w:p>
      <w:pPr>
        <w:spacing w:after="0" w:line="74" w:lineRule="exact"/>
        <w:rPr>
          <w:sz w:val="20"/>
          <w:szCs w:val="20"/>
          <w:color w:val="auto"/>
        </w:rPr>
      </w:pPr>
    </w:p>
    <w:p>
      <w:pPr>
        <w:ind w:left="440" w:right="20"/>
        <w:spacing w:after="0" w:line="255" w:lineRule="auto"/>
        <w:rPr>
          <w:sz w:val="20"/>
          <w:szCs w:val="20"/>
          <w:color w:val="auto"/>
        </w:rPr>
      </w:pPr>
      <w:r>
        <w:rPr>
          <w:rFonts w:ascii="Arial" w:cs="Arial" w:eastAsia="Arial" w:hAnsi="Arial"/>
          <w:sz w:val="18"/>
          <w:szCs w:val="18"/>
          <w:color w:val="auto"/>
        </w:rPr>
        <w:t>We urge you to carefully review the Compensation Discussion and Analysis, or “CD&amp;A,” section in this Proxy Statement, as well as the 2021 Summary Compensation Table, other compensation tables and related narrative discussion for more information regarding the compensation of our NEOs. As described in those sections, our compensation program is designed and administered to:</w:t>
      </w:r>
    </w:p>
    <w:p>
      <w:pPr>
        <w:spacing w:after="0" w:line="2" w:lineRule="exact"/>
        <w:rPr>
          <w:sz w:val="20"/>
          <w:szCs w:val="20"/>
          <w:color w:val="auto"/>
        </w:rPr>
      </w:pPr>
    </w:p>
    <w:p>
      <w:pPr>
        <w:ind w:left="880" w:right="700" w:hanging="226"/>
        <w:spacing w:after="0" w:line="250" w:lineRule="auto"/>
        <w:tabs>
          <w:tab w:leader="none" w:pos="880" w:val="left"/>
        </w:tabs>
        <w:numPr>
          <w:ilvl w:val="0"/>
          <w:numId w:val="21"/>
        </w:numPr>
        <w:rPr>
          <w:rFonts w:ascii="Arial" w:cs="Arial" w:eastAsia="Arial" w:hAnsi="Arial"/>
          <w:sz w:val="18"/>
          <w:szCs w:val="18"/>
          <w:color w:val="BA0C2F"/>
        </w:rPr>
      </w:pPr>
      <w:r>
        <w:rPr>
          <w:rFonts w:ascii="Arial" w:cs="Arial" w:eastAsia="Arial" w:hAnsi="Arial"/>
          <w:sz w:val="18"/>
          <w:szCs w:val="18"/>
          <w:color w:val="auto"/>
        </w:rPr>
        <w:t>align the interests of our executives and shareholders through the use of performance-based short-term cash incentive compensation and time- and performance-based long-term equity incentive compensation;</w:t>
      </w:r>
    </w:p>
    <w:p>
      <w:pPr>
        <w:ind w:left="880" w:hanging="226"/>
        <w:spacing w:after="0"/>
        <w:tabs>
          <w:tab w:leader="none" w:pos="880" w:val="left"/>
        </w:tabs>
        <w:numPr>
          <w:ilvl w:val="0"/>
          <w:numId w:val="21"/>
        </w:numPr>
        <w:rPr>
          <w:rFonts w:ascii="Arial" w:cs="Arial" w:eastAsia="Arial" w:hAnsi="Arial"/>
          <w:sz w:val="18"/>
          <w:szCs w:val="18"/>
          <w:color w:val="BA0C2F"/>
        </w:rPr>
      </w:pPr>
      <w:r>
        <w:rPr>
          <w:rFonts w:ascii="Arial" w:cs="Arial" w:eastAsia="Arial" w:hAnsi="Arial"/>
          <w:sz w:val="18"/>
          <w:szCs w:val="18"/>
          <w:color w:val="auto"/>
        </w:rPr>
        <w:t>support key financial and strategic objectives through pay for performance;</w:t>
      </w:r>
    </w:p>
    <w:p>
      <w:pPr>
        <w:spacing w:after="0" w:line="9" w:lineRule="exact"/>
        <w:rPr>
          <w:rFonts w:ascii="Arial" w:cs="Arial" w:eastAsia="Arial" w:hAnsi="Arial"/>
          <w:sz w:val="18"/>
          <w:szCs w:val="18"/>
          <w:color w:val="BA0C2F"/>
        </w:rPr>
      </w:pPr>
    </w:p>
    <w:p>
      <w:pPr>
        <w:ind w:left="880" w:right="540" w:hanging="226"/>
        <w:spacing w:after="0" w:line="250" w:lineRule="auto"/>
        <w:tabs>
          <w:tab w:leader="none" w:pos="880" w:val="left"/>
        </w:tabs>
        <w:numPr>
          <w:ilvl w:val="0"/>
          <w:numId w:val="21"/>
        </w:numPr>
        <w:rPr>
          <w:rFonts w:ascii="Arial" w:cs="Arial" w:eastAsia="Arial" w:hAnsi="Arial"/>
          <w:sz w:val="18"/>
          <w:szCs w:val="18"/>
          <w:color w:val="BA0C2F"/>
        </w:rPr>
      </w:pPr>
      <w:r>
        <w:rPr>
          <w:rFonts w:ascii="Arial" w:cs="Arial" w:eastAsia="Arial" w:hAnsi="Arial"/>
          <w:sz w:val="18"/>
          <w:szCs w:val="18"/>
          <w:color w:val="auto"/>
        </w:rPr>
        <w:t>attract, retain, motivate and reward individuals in key executive positions, while limiting non-performance based entitlements;</w:t>
      </w:r>
    </w:p>
    <w:p>
      <w:pPr>
        <w:ind w:left="880" w:right="800" w:hanging="226"/>
        <w:spacing w:after="0" w:line="250" w:lineRule="auto"/>
        <w:tabs>
          <w:tab w:leader="none" w:pos="880" w:val="left"/>
        </w:tabs>
        <w:numPr>
          <w:ilvl w:val="0"/>
          <w:numId w:val="21"/>
        </w:numPr>
        <w:rPr>
          <w:rFonts w:ascii="Arial" w:cs="Arial" w:eastAsia="Arial" w:hAnsi="Arial"/>
          <w:sz w:val="18"/>
          <w:szCs w:val="18"/>
          <w:color w:val="BA0C2F"/>
        </w:rPr>
      </w:pPr>
      <w:r>
        <w:rPr>
          <w:rFonts w:ascii="Arial" w:cs="Arial" w:eastAsia="Arial" w:hAnsi="Arial"/>
          <w:sz w:val="18"/>
          <w:szCs w:val="18"/>
          <w:color w:val="auto"/>
        </w:rPr>
        <w:t>ensure line-of-sight between key performance measures that are indicative of Company growth and gains in shareholder value and actual results, without encouraging excessive risk taking; and</w:t>
      </w:r>
    </w:p>
    <w:p>
      <w:pPr>
        <w:ind w:left="880" w:right="500" w:hanging="226"/>
        <w:spacing w:after="0" w:line="266" w:lineRule="auto"/>
        <w:tabs>
          <w:tab w:leader="none" w:pos="880" w:val="left"/>
        </w:tabs>
        <w:numPr>
          <w:ilvl w:val="0"/>
          <w:numId w:val="21"/>
        </w:numPr>
        <w:rPr>
          <w:rFonts w:ascii="Arial" w:cs="Arial" w:eastAsia="Arial" w:hAnsi="Arial"/>
          <w:sz w:val="18"/>
          <w:szCs w:val="18"/>
          <w:color w:val="BA0C2F"/>
        </w:rPr>
      </w:pPr>
      <w:r>
        <w:rPr>
          <w:rFonts w:ascii="Arial" w:cs="Arial" w:eastAsia="Arial" w:hAnsi="Arial"/>
          <w:sz w:val="18"/>
          <w:szCs w:val="18"/>
          <w:color w:val="auto"/>
        </w:rPr>
        <w:t>require our executives to focus on both the short-term and long-term value creation and growth strategies of the Company.</w:t>
      </w:r>
    </w:p>
    <w:p>
      <w:pPr>
        <w:spacing w:after="0" w:line="63" w:lineRule="exact"/>
        <w:rPr>
          <w:sz w:val="20"/>
          <w:szCs w:val="20"/>
          <w:color w:val="auto"/>
        </w:rPr>
      </w:pPr>
    </w:p>
    <w:p>
      <w:pPr>
        <w:ind w:left="440" w:right="300"/>
        <w:spacing w:after="0" w:line="268" w:lineRule="auto"/>
        <w:rPr>
          <w:sz w:val="20"/>
          <w:szCs w:val="20"/>
          <w:color w:val="auto"/>
        </w:rPr>
      </w:pPr>
      <w:r>
        <w:rPr>
          <w:rFonts w:ascii="Arial" w:cs="Arial" w:eastAsia="Arial" w:hAnsi="Arial"/>
          <w:sz w:val="18"/>
          <w:szCs w:val="18"/>
          <w:color w:val="auto"/>
        </w:rPr>
        <w:t>We believe the information in this Proxy Statement demonstrates the successful design and implementation of a market competitive compensation program that aligns shareholders’ and management’s interests. Accordingly, the Board of Directors recommends that shareholders approve the program by approving the following resolution:</w:t>
      </w:r>
    </w:p>
    <w:p>
      <w:pPr>
        <w:spacing w:after="0" w:line="63" w:lineRule="exact"/>
        <w:rPr>
          <w:sz w:val="20"/>
          <w:szCs w:val="20"/>
          <w:color w:val="auto"/>
        </w:rPr>
      </w:pPr>
    </w:p>
    <w:p>
      <w:pPr>
        <w:ind w:left="440"/>
        <w:spacing w:after="0" w:line="262" w:lineRule="auto"/>
        <w:rPr>
          <w:sz w:val="20"/>
          <w:szCs w:val="20"/>
          <w:color w:val="auto"/>
        </w:rPr>
      </w:pPr>
      <w:r>
        <w:rPr>
          <w:rFonts w:ascii="Arial" w:cs="Arial" w:eastAsia="Arial" w:hAnsi="Arial"/>
          <w:sz w:val="18"/>
          <w:szCs w:val="18"/>
          <w:color w:val="auto"/>
        </w:rPr>
        <w:t>“RESOLVED, that the shareholders of the Company approve, on an advisory basis, the compensation of the Company’s named executive officers disclosed pursuant to Item 402 of Regulation S-K, including the Executive Compensation section of the Proxy Statement for the Company’s 2022 AGM, which includes the Compensation Discussion and Analysis, the 2021 Summary Compensation Table and other executive compensation tables and accompanying narrative discussion.”</w:t>
      </w:r>
    </w:p>
    <w:p>
      <w:pPr>
        <w:spacing w:after="0" w:line="68" w:lineRule="exact"/>
        <w:rPr>
          <w:sz w:val="20"/>
          <w:szCs w:val="20"/>
          <w:color w:val="auto"/>
        </w:rPr>
      </w:pPr>
    </w:p>
    <w:p>
      <w:pPr>
        <w:ind w:left="440" w:right="80"/>
        <w:spacing w:after="0" w:line="268" w:lineRule="auto"/>
        <w:rPr>
          <w:sz w:val="20"/>
          <w:szCs w:val="20"/>
          <w:color w:val="auto"/>
        </w:rPr>
      </w:pPr>
      <w:r>
        <w:rPr>
          <w:rFonts w:ascii="Arial" w:cs="Arial" w:eastAsia="Arial" w:hAnsi="Arial"/>
          <w:sz w:val="18"/>
          <w:szCs w:val="18"/>
          <w:color w:val="auto"/>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1740535</wp:posOffset>
            </wp:positionV>
            <wp:extent cx="6231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282"/>
        <w:spacing w:after="0"/>
        <w:tabs>
          <w:tab w:leader="none" w:pos="720" w:val="left"/>
        </w:tabs>
        <w:numPr>
          <w:ilvl w:val="0"/>
          <w:numId w:val="2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right="80"/>
        <w:spacing w:after="0" w:line="232" w:lineRule="auto"/>
        <w:rPr>
          <w:sz w:val="20"/>
          <w:szCs w:val="20"/>
          <w:color w:val="auto"/>
        </w:rPr>
      </w:pPr>
      <w:r>
        <w:rPr>
          <w:rFonts w:ascii="Arial" w:cs="Arial" w:eastAsia="Arial" w:hAnsi="Arial"/>
          <w:sz w:val="65"/>
          <w:szCs w:val="65"/>
          <w:b w:val="1"/>
          <w:bCs w:val="1"/>
          <w:color w:val="BA0C2F"/>
        </w:rPr>
        <w:t>AGENDA ITEM 4 – ADVISORY VOTE ON THE FREQUENCY OF THE VOTE ON EXECUTIVE COMPENSATION</w:t>
      </w:r>
    </w:p>
    <w:p>
      <w:pPr>
        <w:spacing w:after="0" w:line="12" w:lineRule="exact"/>
        <w:rPr>
          <w:sz w:val="20"/>
          <w:szCs w:val="20"/>
          <w:color w:val="auto"/>
        </w:rPr>
      </w:pPr>
    </w:p>
    <w:p>
      <w:pPr>
        <w:ind w:left="440" w:right="80"/>
        <w:spacing w:after="0" w:line="247" w:lineRule="auto"/>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BA0C2F"/>
        </w:rPr>
        <w:t>“ONE YEAR”</w:t>
      </w:r>
      <w:r>
        <w:rPr>
          <w:rFonts w:ascii="Arial" w:cs="Arial" w:eastAsia="Arial" w:hAnsi="Arial"/>
          <w:sz w:val="22"/>
          <w:szCs w:val="22"/>
          <w:b w:val="1"/>
          <w:bCs w:val="1"/>
          <w:color w:val="auto"/>
        </w:rPr>
        <w:t xml:space="preserve"> with respect to how frequently an advisory shareholder vote to approve the compensation of our named executive officers should be considered.</w:t>
      </w:r>
    </w:p>
    <w:p>
      <w:pPr>
        <w:spacing w:after="0" w:line="7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We are asking our shareholders to recommend, on an advisory basis, whether a vote to approve the compensation of our named executive officers should occur every one, two or three years, commonly referred to as a say-on-frequency resolution. While this vote is not binding on our Company, the results of the vote on this proposal will be carefully considered by the Board and the Compensation and Human Resources Committee when determining how often we submit a resolution to our shareholders regarding our compensation decisions for our NEOs.</w:t>
      </w:r>
    </w:p>
    <w:p>
      <w:pPr>
        <w:spacing w:after="0" w:line="7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The Board has determined that an advisory vote to approve executive compensation that occurs once every year is appropriate for the Company and its shareholders. In reaching this recommendation, the Board determined that holding an annual advisory vote to approve executive compensation enhances transparency and allows shareholders to provide direct annual feedback to the Company regarding the Company’s compensation philosophy, policies and practices, and is consistent with the Company’s policy of ongoing engagement and communication with shareholders.</w:t>
      </w:r>
    </w:p>
    <w:p>
      <w:pPr>
        <w:spacing w:after="0" w:line="71" w:lineRule="exact"/>
        <w:rPr>
          <w:sz w:val="20"/>
          <w:szCs w:val="20"/>
          <w:color w:val="auto"/>
        </w:rPr>
      </w:pPr>
    </w:p>
    <w:p>
      <w:pPr>
        <w:ind w:left="440" w:right="140"/>
        <w:spacing w:after="0" w:line="268" w:lineRule="auto"/>
        <w:rPr>
          <w:sz w:val="20"/>
          <w:szCs w:val="20"/>
          <w:color w:val="auto"/>
        </w:rPr>
      </w:pPr>
      <w:r>
        <w:rPr>
          <w:rFonts w:ascii="Arial" w:cs="Arial" w:eastAsia="Arial" w:hAnsi="Arial"/>
          <w:sz w:val="18"/>
          <w:szCs w:val="18"/>
          <w:color w:val="auto"/>
        </w:rPr>
        <w:t>For this proposal, the option receiving the most votes cast will be considered the advisory recommendation of the shareholders. If you properly give a proxy but do not indicate how you wish to vote, the persons named on the proxy card, or if you do not name your proxy or proxies, the Proxy Holders, will vote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3326130</wp:posOffset>
            </wp:positionV>
            <wp:extent cx="6231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right="380"/>
        <w:spacing w:after="0" w:line="250" w:lineRule="auto"/>
        <w:rPr>
          <w:sz w:val="20"/>
          <w:szCs w:val="20"/>
          <w:color w:val="auto"/>
        </w:rPr>
      </w:pPr>
      <w:r>
        <w:rPr>
          <w:rFonts w:ascii="Arial" w:cs="Arial" w:eastAsia="Arial" w:hAnsi="Arial"/>
          <w:sz w:val="65"/>
          <w:szCs w:val="65"/>
          <w:b w:val="1"/>
          <w:bCs w:val="1"/>
          <w:color w:val="BA0C2F"/>
        </w:rPr>
        <w:t>COMPENSATION DISCUSSION AND ANALYSIS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EXECUTIVE SUMMARY</w:t>
      </w:r>
    </w:p>
    <w:p>
      <w:pPr>
        <w:spacing w:after="0" w:line="122" w:lineRule="exact"/>
        <w:rPr>
          <w:sz w:val="20"/>
          <w:szCs w:val="20"/>
          <w:color w:val="auto"/>
        </w:rPr>
      </w:pPr>
    </w:p>
    <w:p>
      <w:pPr>
        <w:ind w:left="440" w:right="260"/>
        <w:spacing w:after="0" w:line="253" w:lineRule="auto"/>
        <w:rPr>
          <w:sz w:val="20"/>
          <w:szCs w:val="20"/>
          <w:color w:val="auto"/>
        </w:rPr>
      </w:pPr>
      <w:r>
        <w:rPr>
          <w:rFonts w:ascii="Arial" w:cs="Arial" w:eastAsia="Arial" w:hAnsi="Arial"/>
          <w:sz w:val="18"/>
          <w:szCs w:val="18"/>
          <w:color w:val="auto"/>
        </w:rPr>
        <w:t>After emerging from bankruptcy in late 2019, Weatherford faced the unprecedented challenges of 2020, during which the Company, industry and the global community navigated the COVID-19 pandemic, and global economic downturn. In conjunction, the Company experienced a period of significant change in executive leadership.</w:t>
      </w:r>
    </w:p>
    <w:p>
      <w:pPr>
        <w:spacing w:after="0" w:line="74" w:lineRule="exact"/>
        <w:rPr>
          <w:sz w:val="20"/>
          <w:szCs w:val="20"/>
          <w:color w:val="auto"/>
        </w:rPr>
      </w:pPr>
    </w:p>
    <w:p>
      <w:pPr>
        <w:ind w:left="440" w:right="120"/>
        <w:spacing w:after="0" w:line="244" w:lineRule="auto"/>
        <w:rPr>
          <w:sz w:val="20"/>
          <w:szCs w:val="20"/>
          <w:color w:val="auto"/>
        </w:rPr>
      </w:pPr>
      <w:r>
        <w:rPr>
          <w:rFonts w:ascii="Arial" w:cs="Arial" w:eastAsia="Arial" w:hAnsi="Arial"/>
          <w:sz w:val="18"/>
          <w:szCs w:val="18"/>
          <w:color w:val="auto"/>
        </w:rPr>
        <w:t>Upon emergence, a new Board comprised of experienced and diverse professionals was formed to steer the organization and govern Company policies. Of immediate attention was rightsizing the Company’s overall headcount and its enterprise compensation programs, while retaining key personnel needed to drive the business forward. All aspects were reviewed with a fresh perspective, including but not limited to the following components of the executive compensation programs: base salaries, short-term and long-term cash and equity programs, change in control arrangements, severance guidelines, clawback policies and director compensation. As a result, the Board took significant action to align the compensation program with the Company’s then-current state, while understanding that the program would likely evolve over the coming months and years as its operating profile continued to improve.</w:t>
      </w:r>
    </w:p>
    <w:p>
      <w:pPr>
        <w:spacing w:after="0" w:line="72" w:lineRule="exact"/>
        <w:rPr>
          <w:sz w:val="20"/>
          <w:szCs w:val="20"/>
          <w:color w:val="auto"/>
        </w:rPr>
      </w:pPr>
    </w:p>
    <w:p>
      <w:pPr>
        <w:ind w:left="440" w:right="420"/>
        <w:spacing w:after="0" w:line="253" w:lineRule="auto"/>
        <w:rPr>
          <w:sz w:val="20"/>
          <w:szCs w:val="20"/>
          <w:color w:val="auto"/>
        </w:rPr>
      </w:pPr>
      <w:r>
        <w:rPr>
          <w:rFonts w:ascii="Arial" w:cs="Arial" w:eastAsia="Arial" w:hAnsi="Arial"/>
          <w:sz w:val="18"/>
          <w:szCs w:val="18"/>
          <w:color w:val="auto"/>
        </w:rPr>
        <w:t>During the second half of 2020, the Company began to rebuild its executive leadership team to manage the day-to-day operations with the following appointments:</w:t>
      </w:r>
    </w:p>
    <w:p>
      <w:pPr>
        <w:ind w:left="880" w:hanging="226"/>
        <w:spacing w:after="0" w:line="234" w:lineRule="auto"/>
        <w:tabs>
          <w:tab w:leader="none" w:pos="880" w:val="left"/>
        </w:tabs>
        <w:numPr>
          <w:ilvl w:val="0"/>
          <w:numId w:val="23"/>
        </w:numPr>
        <w:rPr>
          <w:rFonts w:ascii="Arial" w:cs="Arial" w:eastAsia="Arial" w:hAnsi="Arial"/>
          <w:sz w:val="18"/>
          <w:szCs w:val="18"/>
          <w:color w:val="BA0C2F"/>
        </w:rPr>
      </w:pPr>
      <w:r>
        <w:rPr>
          <w:rFonts w:ascii="Arial" w:cs="Arial" w:eastAsia="Arial" w:hAnsi="Arial"/>
          <w:sz w:val="18"/>
          <w:szCs w:val="18"/>
          <w:color w:val="auto"/>
        </w:rPr>
        <w:t>July: Executive Vice President, General Counsel and Chief Compliance Officer</w:t>
      </w:r>
    </w:p>
    <w:p>
      <w:pPr>
        <w:ind w:left="880" w:hanging="226"/>
        <w:spacing w:after="0"/>
        <w:tabs>
          <w:tab w:leader="none" w:pos="880" w:val="left"/>
        </w:tabs>
        <w:numPr>
          <w:ilvl w:val="0"/>
          <w:numId w:val="23"/>
        </w:numPr>
        <w:rPr>
          <w:rFonts w:ascii="Arial" w:cs="Arial" w:eastAsia="Arial" w:hAnsi="Arial"/>
          <w:sz w:val="18"/>
          <w:szCs w:val="18"/>
          <w:color w:val="BA0C2F"/>
        </w:rPr>
      </w:pPr>
      <w:r>
        <w:rPr>
          <w:rFonts w:ascii="Arial" w:cs="Arial" w:eastAsia="Arial" w:hAnsi="Arial"/>
          <w:sz w:val="18"/>
          <w:szCs w:val="18"/>
          <w:color w:val="auto"/>
        </w:rPr>
        <w:t>August: Executive Vice President and Chief Financial Officer</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3"/>
        </w:numPr>
        <w:rPr>
          <w:rFonts w:ascii="Arial" w:cs="Arial" w:eastAsia="Arial" w:hAnsi="Arial"/>
          <w:sz w:val="18"/>
          <w:szCs w:val="18"/>
          <w:color w:val="BA0C2F"/>
        </w:rPr>
      </w:pPr>
      <w:r>
        <w:rPr>
          <w:rFonts w:ascii="Arial" w:cs="Arial" w:eastAsia="Arial" w:hAnsi="Arial"/>
          <w:sz w:val="18"/>
          <w:szCs w:val="18"/>
          <w:color w:val="auto"/>
        </w:rPr>
        <w:t>October: President, CEO and Director</w:t>
      </w:r>
    </w:p>
    <w:p>
      <w:pPr>
        <w:spacing w:after="0" w:line="99" w:lineRule="exact"/>
        <w:rPr>
          <w:sz w:val="20"/>
          <w:szCs w:val="20"/>
          <w:color w:val="auto"/>
        </w:rPr>
      </w:pPr>
    </w:p>
    <w:p>
      <w:pPr>
        <w:ind w:left="440"/>
        <w:spacing w:after="0" w:line="242" w:lineRule="auto"/>
        <w:rPr>
          <w:sz w:val="20"/>
          <w:szCs w:val="20"/>
          <w:color w:val="auto"/>
        </w:rPr>
      </w:pPr>
      <w:r>
        <w:rPr>
          <w:rFonts w:ascii="Arial" w:cs="Arial" w:eastAsia="Arial" w:hAnsi="Arial"/>
          <w:sz w:val="18"/>
          <w:szCs w:val="18"/>
          <w:color w:val="auto"/>
        </w:rPr>
        <w:t>As the Company was in the beginning phases of its intention to list on a national stock exchange, our executive compensation program was focused on maintaining the balance of available equity until the Company significantly improved its operating profile, including strengthening the value of our ordinary shares. As such, the Company mainly provided cash incentives to the newly named NEOs under the 2020 Long Term Cash Incentive Plan, recognizing that it was for a pro-rated period. However, also recognizing the importance of tying a significant portion of the new CEO’s long-term compensation to shareholder returns, 67% of the incoming CEO’s sign-on long-term incentive was awarded in equity-based awards vesting over a three-year period with the remaining 33% in cash-based incentives. Despite the significant headwinds, Weatherford exited 2020, having built a solid foundation to deliver on its goal of sustainable profitability and free cash flow. Our accomplishments included:</w:t>
      </w:r>
    </w:p>
    <w:p>
      <w:pPr>
        <w:spacing w:after="0" w:line="3" w:lineRule="exact"/>
        <w:rPr>
          <w:sz w:val="20"/>
          <w:szCs w:val="20"/>
          <w:color w:val="auto"/>
        </w:rPr>
      </w:pPr>
    </w:p>
    <w:p>
      <w:pPr>
        <w:ind w:left="880" w:right="140" w:hanging="226"/>
        <w:spacing w:after="0" w:line="250" w:lineRule="auto"/>
        <w:tabs>
          <w:tab w:leader="none" w:pos="880" w:val="left"/>
        </w:tabs>
        <w:numPr>
          <w:ilvl w:val="0"/>
          <w:numId w:val="24"/>
        </w:numPr>
        <w:rPr>
          <w:rFonts w:ascii="Arial" w:cs="Arial" w:eastAsia="Arial" w:hAnsi="Arial"/>
          <w:sz w:val="18"/>
          <w:szCs w:val="18"/>
          <w:color w:val="BA0C2F"/>
        </w:rPr>
      </w:pPr>
      <w:r>
        <w:rPr>
          <w:rFonts w:ascii="Arial" w:cs="Arial" w:eastAsia="Arial" w:hAnsi="Arial"/>
          <w:sz w:val="18"/>
          <w:szCs w:val="18"/>
          <w:color w:val="auto"/>
        </w:rPr>
        <w:t>Leveraging our broad product and service portfolio to drive full-year revenue growth despite reductions in activity and customer spending;</w:t>
      </w:r>
    </w:p>
    <w:p>
      <w:pPr>
        <w:ind w:left="880" w:hanging="226"/>
        <w:spacing w:after="0" w:line="234" w:lineRule="auto"/>
        <w:tabs>
          <w:tab w:leader="none" w:pos="880" w:val="left"/>
        </w:tabs>
        <w:numPr>
          <w:ilvl w:val="0"/>
          <w:numId w:val="24"/>
        </w:numPr>
        <w:rPr>
          <w:rFonts w:ascii="Arial" w:cs="Arial" w:eastAsia="Arial" w:hAnsi="Arial"/>
          <w:sz w:val="18"/>
          <w:szCs w:val="18"/>
          <w:color w:val="BA0C2F"/>
        </w:rPr>
      </w:pPr>
      <w:r>
        <w:rPr>
          <w:rFonts w:ascii="Arial" w:cs="Arial" w:eastAsia="Arial" w:hAnsi="Arial"/>
          <w:sz w:val="18"/>
          <w:szCs w:val="18"/>
          <w:color w:val="auto"/>
        </w:rPr>
        <w:t>Implementing actions that exceeded our annualized cost savings targets of over $800 million;</w:t>
      </w:r>
    </w:p>
    <w:p>
      <w:pPr>
        <w:jc w:val="both"/>
        <w:ind w:left="880" w:right="580" w:hanging="226"/>
        <w:spacing w:after="0" w:line="296" w:lineRule="auto"/>
        <w:tabs>
          <w:tab w:leader="none" w:pos="880" w:val="left"/>
        </w:tabs>
        <w:numPr>
          <w:ilvl w:val="0"/>
          <w:numId w:val="24"/>
        </w:numPr>
        <w:rPr>
          <w:rFonts w:ascii="Arial" w:cs="Arial" w:eastAsia="Arial" w:hAnsi="Arial"/>
          <w:sz w:val="17"/>
          <w:szCs w:val="17"/>
          <w:color w:val="BA0C2F"/>
        </w:rPr>
      </w:pPr>
      <w:r>
        <w:rPr>
          <w:rFonts w:ascii="Arial" w:cs="Arial" w:eastAsia="Arial" w:hAnsi="Arial"/>
          <w:sz w:val="17"/>
          <w:szCs w:val="17"/>
          <w:color w:val="auto"/>
        </w:rPr>
        <w:t>Generating $78 million of positive free cash flow in 2020, an improvement of $950 million year-on-year, through improved operating performance, disciplined capital allocation, and expenditures, and reduced working capital.</w:t>
      </w:r>
    </w:p>
    <w:p>
      <w:pPr>
        <w:spacing w:after="0" w:line="40" w:lineRule="exact"/>
        <w:rPr>
          <w:sz w:val="20"/>
          <w:szCs w:val="20"/>
          <w:color w:val="auto"/>
        </w:rPr>
      </w:pPr>
    </w:p>
    <w:p>
      <w:pPr>
        <w:ind w:left="440" w:right="160"/>
        <w:spacing w:after="0" w:line="261" w:lineRule="auto"/>
        <w:rPr>
          <w:sz w:val="20"/>
          <w:szCs w:val="20"/>
          <w:color w:val="auto"/>
        </w:rPr>
      </w:pPr>
      <w:r>
        <w:rPr>
          <w:rFonts w:ascii="Arial" w:cs="Arial" w:eastAsia="Arial" w:hAnsi="Arial"/>
          <w:sz w:val="18"/>
          <w:szCs w:val="18"/>
          <w:color w:val="auto"/>
        </w:rPr>
        <w:t>The results yielded the necessary flexibility for the Company to operate in an uncertain environment and work through its shorter-term objectives while also monitoring capital markets to potentially list its shares on a national stock exchange and revert to a more traditional financing structure in the future.</w:t>
      </w:r>
    </w:p>
    <w:p>
      <w:pPr>
        <w:spacing w:after="0" w:line="54" w:lineRule="exact"/>
        <w:rPr>
          <w:sz w:val="20"/>
          <w:szCs w:val="20"/>
          <w:color w:val="auto"/>
        </w:rPr>
      </w:pPr>
    </w:p>
    <w:p>
      <w:pPr>
        <w:ind w:left="440" w:right="100"/>
        <w:spacing w:after="0" w:line="252" w:lineRule="auto"/>
        <w:rPr>
          <w:sz w:val="20"/>
          <w:szCs w:val="20"/>
          <w:color w:val="auto"/>
        </w:rPr>
      </w:pPr>
      <w:r>
        <w:rPr>
          <w:rFonts w:ascii="Arial" w:cs="Arial" w:eastAsia="Arial" w:hAnsi="Arial"/>
          <w:sz w:val="18"/>
          <w:szCs w:val="18"/>
          <w:color w:val="auto"/>
        </w:rPr>
        <w:t>Entering 2021 with strong momentum, increased share price and a strategy in place, we shifted attention to our 2021 focus areas (North America, Organization Simplification, and Fulfillment) and established strategic vectors based on technology and investment indicators (Portfolio Strength, Digitalization and ESG/Energy Transition) to help guide the Company in the coming years.</w:t>
      </w:r>
    </w:p>
    <w:p>
      <w:pPr>
        <w:spacing w:after="0" w:line="76" w:lineRule="exact"/>
        <w:rPr>
          <w:sz w:val="20"/>
          <w:szCs w:val="20"/>
          <w:color w:val="auto"/>
        </w:rPr>
      </w:pPr>
    </w:p>
    <w:p>
      <w:pPr>
        <w:ind w:left="440"/>
        <w:spacing w:after="0" w:line="245" w:lineRule="auto"/>
        <w:rPr>
          <w:sz w:val="20"/>
          <w:szCs w:val="20"/>
          <w:color w:val="auto"/>
        </w:rPr>
      </w:pPr>
      <w:r>
        <w:rPr>
          <w:rFonts w:ascii="Arial" w:cs="Arial" w:eastAsia="Arial" w:hAnsi="Arial"/>
          <w:sz w:val="18"/>
          <w:szCs w:val="18"/>
          <w:color w:val="auto"/>
        </w:rPr>
        <w:t>While continuing to assess the ability to list the Company’s ordinary shares on a national stock exchange, in January 2021 the Company also progressed its compensation program to include long-term equity awards, moving away from the previous long-term cash-based incentive program, creating the necessary alignment between shareholder return and management compensation. Despite the recognition of the inherent challenges of driving the turnaround at Weatherford and the risk that entailed, the compensation philosophy was thoughtfully and deliberately implemented with a goal to pay below market medians on base salary, while providing meaningful and significant upside as shareholders benefited.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the first quarter of 2021, the Company continued to rebuild its executive leadership team with the following appointments.</w:t>
      </w:r>
    </w:p>
    <w:p>
      <w:pPr>
        <w:spacing w:after="0" w:line="25" w:lineRule="exact"/>
        <w:rPr>
          <w:sz w:val="20"/>
          <w:szCs w:val="20"/>
          <w:color w:val="auto"/>
        </w:rPr>
      </w:pPr>
    </w:p>
    <w:p>
      <w:pPr>
        <w:ind w:left="880" w:hanging="226"/>
        <w:spacing w:after="0"/>
        <w:tabs>
          <w:tab w:leader="none" w:pos="880" w:val="left"/>
        </w:tabs>
        <w:numPr>
          <w:ilvl w:val="0"/>
          <w:numId w:val="25"/>
        </w:numPr>
        <w:rPr>
          <w:rFonts w:ascii="Arial" w:cs="Arial" w:eastAsia="Arial" w:hAnsi="Arial"/>
          <w:sz w:val="18"/>
          <w:szCs w:val="18"/>
          <w:color w:val="BA0C2F"/>
        </w:rPr>
      </w:pPr>
      <w:r>
        <w:rPr>
          <w:rFonts w:ascii="Arial" w:cs="Arial" w:eastAsia="Arial" w:hAnsi="Arial"/>
          <w:sz w:val="18"/>
          <w:szCs w:val="18"/>
          <w:color w:val="auto"/>
        </w:rPr>
        <w:t>March: Senior Vice President and Chief Human Resources Officer</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5"/>
        </w:numPr>
        <w:rPr>
          <w:rFonts w:ascii="Arial" w:cs="Arial" w:eastAsia="Arial" w:hAnsi="Arial"/>
          <w:sz w:val="18"/>
          <w:szCs w:val="18"/>
          <w:color w:val="BA0C2F"/>
        </w:rPr>
      </w:pPr>
      <w:r>
        <w:rPr>
          <w:rFonts w:ascii="Arial" w:cs="Arial" w:eastAsia="Arial" w:hAnsi="Arial"/>
          <w:sz w:val="18"/>
          <w:szCs w:val="18"/>
          <w:color w:val="auto"/>
        </w:rPr>
        <w:t>March: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246380</wp:posOffset>
            </wp:positionV>
            <wp:extent cx="6231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99" w:lineRule="exact"/>
        <w:rPr>
          <w:sz w:val="20"/>
          <w:szCs w:val="20"/>
          <w:color w:val="auto"/>
        </w:rPr>
      </w:pPr>
    </w:p>
    <w:p>
      <w:pPr>
        <w:ind w:left="720" w:hanging="282"/>
        <w:spacing w:after="0"/>
        <w:tabs>
          <w:tab w:leader="none" w:pos="720" w:val="left"/>
        </w:tabs>
        <w:numPr>
          <w:ilvl w:val="0"/>
          <w:numId w:val="2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color w:val="auto"/>
        </w:rPr>
        <w:t>In October 2021, given the Company’s performance trajectory and sufficient passage of time to conduct performance reviews of the new executive leadership team, the Board conducted a comprehensive review of the executive officers’ compensation program and implemented changes to position the program appropriately with benchmarks from industry peers, Company performance, and each executive’s individual performance. In November 2021, in addition to its annual short-term and long-term incentive plans, the Company introduced the Weatherford Accelerating Growth &amp; Efficiency Program (the “WAGE Program”), a long-term equity incentive program designed to motivate, retain, and reward the Weatherford team upon the achievement of aggressive goals intended to significantly improve the Company’s operational profile over the coming three-year period.</w:t>
      </w:r>
    </w:p>
    <w:p>
      <w:pPr>
        <w:spacing w:after="0" w:line="77" w:lineRule="exact"/>
        <w:rPr>
          <w:sz w:val="20"/>
          <w:szCs w:val="20"/>
          <w:color w:val="auto"/>
        </w:rPr>
      </w:pPr>
    </w:p>
    <w:p>
      <w:pPr>
        <w:ind w:left="440" w:right="160"/>
        <w:spacing w:after="0" w:line="260" w:lineRule="auto"/>
        <w:rPr>
          <w:sz w:val="20"/>
          <w:szCs w:val="20"/>
          <w:color w:val="auto"/>
        </w:rPr>
      </w:pPr>
      <w:r>
        <w:rPr>
          <w:rFonts w:ascii="Arial" w:cs="Arial" w:eastAsia="Arial" w:hAnsi="Arial"/>
          <w:sz w:val="18"/>
          <w:szCs w:val="18"/>
          <w:color w:val="auto"/>
        </w:rPr>
        <w:t>Throughout 2021, the Company executed its strategic priorities and achieved significant milestones along the way that we believe will better position Weatherford to deliver shareholder value in the future, including:</w:t>
      </w:r>
    </w:p>
    <w:p>
      <w:pPr>
        <w:spacing w:after="0" w:line="2" w:lineRule="exact"/>
        <w:rPr>
          <w:sz w:val="20"/>
          <w:szCs w:val="20"/>
          <w:color w:val="auto"/>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Listing the Company’s ordinary shares on Nasdaq;</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Driving performance that resulted in receiving upgrades to our outlook and credit rating by S&amp;P and Moody’s;</w:t>
      </w:r>
    </w:p>
    <w:p>
      <w:pPr>
        <w:spacing w:after="0" w:line="9" w:lineRule="exact"/>
        <w:rPr>
          <w:rFonts w:ascii="Arial" w:cs="Arial" w:eastAsia="Arial" w:hAnsi="Arial"/>
          <w:sz w:val="18"/>
          <w:szCs w:val="18"/>
          <w:color w:val="BA0C2F"/>
        </w:rPr>
      </w:pPr>
    </w:p>
    <w:p>
      <w:pPr>
        <w:ind w:left="880" w:right="200" w:hanging="226"/>
        <w:spacing w:after="0" w:line="250" w:lineRule="auto"/>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Repaying $200 million of debt, refinancing $500 million of secured notes and $1.6 billion of unsecured notes, saving approximately $71 million in annual interest expense;</w:t>
      </w: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Driving 0.6x improvement in Net Debt/EBITDA;</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Exceeding our goal of 15% adjusted EBITDA margins;</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Achieving more than $4 billion in commercial wins;</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Expanding margins by more than 300bps of adjusted EBITDA margin year-over-year (“YOY”);</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Changing reportable segments to create greater transparency and articulate positioning; and</w:t>
      </w:r>
    </w:p>
    <w:p>
      <w:pPr>
        <w:spacing w:after="0" w:line="9" w:lineRule="exact"/>
        <w:rPr>
          <w:rFonts w:ascii="Arial" w:cs="Arial" w:eastAsia="Arial" w:hAnsi="Arial"/>
          <w:sz w:val="18"/>
          <w:szCs w:val="18"/>
          <w:color w:val="BA0C2F"/>
        </w:rPr>
      </w:pPr>
    </w:p>
    <w:p>
      <w:pPr>
        <w:ind w:left="880" w:hanging="226"/>
        <w:spacing w:after="0" w:line="266" w:lineRule="auto"/>
        <w:tabs>
          <w:tab w:leader="none" w:pos="880" w:val="left"/>
        </w:tabs>
        <w:numPr>
          <w:ilvl w:val="0"/>
          <w:numId w:val="27"/>
        </w:numPr>
        <w:rPr>
          <w:rFonts w:ascii="Arial" w:cs="Arial" w:eastAsia="Arial" w:hAnsi="Arial"/>
          <w:sz w:val="18"/>
          <w:szCs w:val="18"/>
          <w:color w:val="BA0C2F"/>
        </w:rPr>
      </w:pPr>
      <w:r>
        <w:rPr>
          <w:rFonts w:ascii="Arial" w:cs="Arial" w:eastAsia="Arial" w:hAnsi="Arial"/>
          <w:sz w:val="18"/>
          <w:szCs w:val="18"/>
          <w:color w:val="auto"/>
        </w:rPr>
        <w:t>Generating a second consecutive year of positive free cash flow, a feat not accomplished by Weatherford in more than 30 years.</w:t>
      </w:r>
    </w:p>
    <w:p>
      <w:pPr>
        <w:spacing w:after="0" w:line="63" w:lineRule="exact"/>
        <w:rPr>
          <w:sz w:val="20"/>
          <w:szCs w:val="20"/>
          <w:color w:val="auto"/>
        </w:rPr>
      </w:pPr>
    </w:p>
    <w:p>
      <w:pPr>
        <w:ind w:left="440" w:right="40"/>
        <w:spacing w:after="0" w:line="256" w:lineRule="auto"/>
        <w:rPr>
          <w:sz w:val="20"/>
          <w:szCs w:val="20"/>
          <w:color w:val="auto"/>
        </w:rPr>
      </w:pPr>
      <w:r>
        <w:rPr>
          <w:rFonts w:ascii="Arial" w:cs="Arial" w:eastAsia="Arial" w:hAnsi="Arial"/>
          <w:sz w:val="18"/>
          <w:szCs w:val="18"/>
          <w:color w:val="auto"/>
        </w:rPr>
        <w:t>With the strong finish of 2021, we entered 2022 with a growth and execution mindset and believe the Company is poised to perform competitively in the unfolding upcycle for the energy industry. Our deliberate and disciplined approach to implementing actions and driving performance throughout the year enabled the Company to pivot from the profile of a shrinking company over the past several years to one with a directed growth trajectory that is expected to continue to deliver increasing earnings. We will continue to refine our compensation program to align with the Company’s evolution and positioning, thrive in the competitive marketplace, attract and retain talent across the organization, and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4028440</wp:posOffset>
            </wp:positionV>
            <wp:extent cx="6231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85090</wp:posOffset>
            </wp:positionV>
            <wp:extent cx="5212080" cy="2802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NAMED EXECUTIVE OFFICERS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refer to the individuals below as our NEOs for the year ended December 31, 2021:</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2540" w:type="dxa"/>
            <w:vAlign w:val="bottom"/>
            <w:shd w:val="clear" w:color="auto" w:fill="BA0C2F"/>
          </w:tcPr>
          <w:p>
            <w:pPr>
              <w:spacing w:after="0"/>
              <w:rPr>
                <w:sz w:val="16"/>
                <w:szCs w:val="16"/>
                <w:color w:val="auto"/>
              </w:rPr>
            </w:pPr>
          </w:p>
        </w:tc>
        <w:tc>
          <w:tcPr>
            <w:tcW w:w="960" w:type="dxa"/>
            <w:vAlign w:val="bottom"/>
            <w:shd w:val="clear" w:color="auto" w:fill="BA0C2F"/>
          </w:tcPr>
          <w:p>
            <w:pPr>
              <w:ind w:left="380"/>
              <w:spacing w:after="0"/>
              <w:rPr>
                <w:sz w:val="20"/>
                <w:szCs w:val="20"/>
                <w:color w:val="auto"/>
              </w:rPr>
            </w:pPr>
            <w:r>
              <w:rPr>
                <w:rFonts w:ascii="Arial" w:cs="Arial" w:eastAsia="Arial" w:hAnsi="Arial"/>
                <w:sz w:val="14"/>
                <w:szCs w:val="14"/>
                <w:b w:val="1"/>
                <w:bCs w:val="1"/>
                <w:color w:val="FFFFFF"/>
              </w:rPr>
              <w:t>Current</w:t>
            </w:r>
          </w:p>
        </w:tc>
        <w:tc>
          <w:tcPr>
            <w:tcW w:w="6140" w:type="dxa"/>
            <w:vAlign w:val="bottom"/>
            <w:shd w:val="clear" w:color="auto" w:fill="BA0C2F"/>
          </w:tcPr>
          <w:p>
            <w:pPr>
              <w:spacing w:after="0"/>
              <w:rPr>
                <w:sz w:val="16"/>
                <w:szCs w:val="16"/>
                <w:color w:val="auto"/>
              </w:rPr>
            </w:pPr>
          </w:p>
        </w:tc>
        <w:tc>
          <w:tcPr>
            <w:tcW w:w="160" w:type="dxa"/>
            <w:vAlign w:val="bottom"/>
            <w:shd w:val="clear" w:color="auto" w:fill="BA0C2F"/>
          </w:tcPr>
          <w:p>
            <w:pPr>
              <w:spacing w:after="0"/>
              <w:rPr>
                <w:sz w:val="16"/>
                <w:szCs w:val="16"/>
                <w:color w:val="auto"/>
              </w:rPr>
            </w:pPr>
          </w:p>
        </w:tc>
      </w:tr>
      <w:tr>
        <w:trPr>
          <w:trHeight w:val="198"/>
        </w:trPr>
        <w:tc>
          <w:tcPr>
            <w:tcW w:w="2540" w:type="dxa"/>
            <w:vAlign w:val="bottom"/>
            <w:tcBorders>
              <w:bottom w:val="single" w:sz="8" w:color="auto"/>
            </w:tcBorders>
            <w:shd w:val="clear" w:color="auto" w:fill="BA0C2F"/>
          </w:tcPr>
          <w:p>
            <w:pP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Name</w:t>
            </w:r>
          </w:p>
        </w:tc>
        <w:tc>
          <w:tcPr>
            <w:tcW w:w="960" w:type="dxa"/>
            <w:vAlign w:val="bottom"/>
            <w:tcBorders>
              <w:bottom w:val="single" w:sz="8" w:color="auto"/>
            </w:tcBorders>
            <w:shd w:val="clear" w:color="auto" w:fill="BA0C2F"/>
          </w:tcPr>
          <w:p>
            <w:pPr>
              <w:ind w:left="1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Age</w:t>
            </w:r>
          </w:p>
        </w:tc>
        <w:tc>
          <w:tcPr>
            <w:tcW w:w="6140" w:type="dxa"/>
            <w:vAlign w:val="bottom"/>
            <w:tcBorders>
              <w:bottom w:val="single" w:sz="8" w:color="auto"/>
            </w:tcBorders>
            <w:shd w:val="clear" w:color="auto" w:fill="BA0C2F"/>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Position</w:t>
            </w:r>
          </w:p>
        </w:tc>
        <w:tc>
          <w:tcPr>
            <w:tcW w:w="160" w:type="dxa"/>
            <w:vAlign w:val="bottom"/>
            <w:tcBorders>
              <w:bottom w:val="single" w:sz="8" w:color="auto"/>
            </w:tcBorders>
            <w:shd w:val="clear" w:color="auto" w:fill="BA0C2F"/>
          </w:tcPr>
          <w:p>
            <w:pPr>
              <w:ind w:left="60"/>
              <w:spacing w:after="0"/>
              <w:rPr>
                <w:sz w:val="20"/>
                <w:szCs w:val="20"/>
                <w:color w:val="auto"/>
              </w:rPr>
            </w:pPr>
            <w:r>
              <w:rPr>
                <w:rFonts w:ascii="Arial" w:cs="Arial" w:eastAsia="Arial" w:hAnsi="Arial"/>
                <w:sz w:val="14"/>
                <w:szCs w:val="14"/>
                <w:b w:val="1"/>
                <w:bCs w:val="1"/>
                <w:color w:val="FFFFFF"/>
              </w:rPr>
              <w:t>​</w:t>
            </w:r>
          </w:p>
        </w:tc>
      </w:tr>
      <w:tr>
        <w:trPr>
          <w:trHeight w:val="264"/>
        </w:trPr>
        <w:tc>
          <w:tcPr>
            <w:tcW w:w="2540" w:type="dxa"/>
            <w:vAlign w:val="bottom"/>
            <w:tcBorders>
              <w:bottom w:val="single" w:sz="8" w:color="auto"/>
            </w:tcBorders>
          </w:tcPr>
          <w:p>
            <w:pPr>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Current Executive Officers</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 ​</w:t>
            </w:r>
          </w:p>
        </w:tc>
        <w:tc>
          <w:tcPr>
            <w:tcW w:w="6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r>
      <w:tr>
        <w:trPr>
          <w:trHeight w:val="263"/>
        </w:trPr>
        <w:tc>
          <w:tcPr>
            <w:tcW w:w="2540" w:type="dxa"/>
            <w:vAlign w:val="bottom"/>
            <w:tcBorders>
              <w:bottom w:val="single" w:sz="8" w:color="auto"/>
            </w:tcBorders>
            <w:shd w:val="clear" w:color="auto" w:fill="CCCCCC"/>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Girishchandra K. Saligram</w:t>
            </w:r>
          </w:p>
        </w:tc>
        <w:tc>
          <w:tcPr>
            <w:tcW w:w="960" w:type="dxa"/>
            <w:vAlign w:val="bottom"/>
            <w:tcBorders>
              <w:bottom w:val="single" w:sz="8" w:color="auto"/>
            </w:tcBorders>
            <w:shd w:val="clear" w:color="auto" w:fill="CCCCCC"/>
          </w:tcPr>
          <w:p>
            <w:pPr>
              <w:ind w:left="16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50</w:t>
            </w:r>
          </w:p>
        </w:tc>
        <w:tc>
          <w:tcPr>
            <w:tcW w:w="6140" w:type="dxa"/>
            <w:vAlign w:val="bottom"/>
            <w:tcBorders>
              <w:bottom w:val="single" w:sz="8" w:color="auto"/>
            </w:tcBorders>
            <w:shd w:val="clear" w:color="auto" w:fill="CCCCCC"/>
          </w:tcPr>
          <w:p>
            <w:pPr>
              <w:ind w:left="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President, CEO and Director</w:t>
            </w:r>
          </w:p>
        </w:tc>
        <w:tc>
          <w:tcPr>
            <w:tcW w:w="1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r>
      <w:tr>
        <w:trPr>
          <w:trHeight w:val="263"/>
        </w:trPr>
        <w:tc>
          <w:tcPr>
            <w:tcW w:w="2540" w:type="dxa"/>
            <w:vAlign w:val="bottom"/>
            <w:tcBorders>
              <w:bottom w:val="single" w:sz="8" w:color="auto"/>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H. Keith Jennings</w:t>
            </w:r>
          </w:p>
        </w:tc>
        <w:tc>
          <w:tcPr>
            <w:tcW w:w="960" w:type="dxa"/>
            <w:vAlign w:val="bottom"/>
            <w:tcBorders>
              <w:bottom w:val="single" w:sz="8" w:color="auto"/>
            </w:tcBorders>
          </w:tcPr>
          <w:p>
            <w:pPr>
              <w:ind w:left="1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52</w:t>
            </w:r>
          </w:p>
        </w:tc>
        <w:tc>
          <w:tcPr>
            <w:tcW w:w="6140" w:type="dxa"/>
            <w:vAlign w:val="bottom"/>
            <w:tcBorders>
              <w:bottom w:val="single" w:sz="8" w:color="auto"/>
            </w:tcBorders>
          </w:tcPr>
          <w:p>
            <w:pPr>
              <w:ind w:left="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Executive Vice President and Chief Financial Officer</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63"/>
        </w:trPr>
        <w:tc>
          <w:tcPr>
            <w:tcW w:w="2540" w:type="dxa"/>
            <w:vAlign w:val="bottom"/>
            <w:tcBorders>
              <w:bottom w:val="single" w:sz="8" w:color="auto"/>
            </w:tcBorders>
            <w:shd w:val="clear" w:color="auto" w:fill="CCCCCC"/>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Scott C. Weatherholt</w:t>
            </w:r>
          </w:p>
        </w:tc>
        <w:tc>
          <w:tcPr>
            <w:tcW w:w="960" w:type="dxa"/>
            <w:vAlign w:val="bottom"/>
            <w:tcBorders>
              <w:bottom w:val="single" w:sz="8" w:color="auto"/>
            </w:tcBorders>
            <w:shd w:val="clear" w:color="auto" w:fill="CCCCCC"/>
          </w:tcPr>
          <w:p>
            <w:pPr>
              <w:ind w:left="16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44</w:t>
            </w:r>
          </w:p>
        </w:tc>
        <w:tc>
          <w:tcPr>
            <w:tcW w:w="6140" w:type="dxa"/>
            <w:vAlign w:val="bottom"/>
            <w:tcBorders>
              <w:bottom w:val="single" w:sz="8" w:color="auto"/>
            </w:tcBorders>
            <w:shd w:val="clear" w:color="auto" w:fill="CCCCCC"/>
          </w:tcPr>
          <w:p>
            <w:pPr>
              <w:ind w:left="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Executive Vice President, General Counsel and Chief Compliance Officer</w:t>
            </w:r>
          </w:p>
        </w:tc>
        <w:tc>
          <w:tcPr>
            <w:tcW w:w="1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r>
      <w:tr>
        <w:trPr>
          <w:trHeight w:val="263"/>
        </w:trPr>
        <w:tc>
          <w:tcPr>
            <w:tcW w:w="2540" w:type="dxa"/>
            <w:vAlign w:val="bottom"/>
            <w:tcBorders>
              <w:bottom w:val="single" w:sz="8" w:color="auto"/>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Joseph H. Mongrain</w:t>
            </w:r>
          </w:p>
        </w:tc>
        <w:tc>
          <w:tcPr>
            <w:tcW w:w="960" w:type="dxa"/>
            <w:vAlign w:val="bottom"/>
            <w:tcBorders>
              <w:bottom w:val="single" w:sz="8" w:color="auto"/>
            </w:tcBorders>
          </w:tcPr>
          <w:p>
            <w:pPr>
              <w:ind w:left="1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64</w:t>
            </w:r>
          </w:p>
        </w:tc>
        <w:tc>
          <w:tcPr>
            <w:tcW w:w="6140" w:type="dxa"/>
            <w:vAlign w:val="bottom"/>
            <w:tcBorders>
              <w:bottom w:val="single" w:sz="8" w:color="auto"/>
            </w:tcBorders>
          </w:tcPr>
          <w:p>
            <w:pPr>
              <w:ind w:left="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Executive Vice President, Chief People Officer</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63"/>
        </w:trPr>
        <w:tc>
          <w:tcPr>
            <w:tcW w:w="2540" w:type="dxa"/>
            <w:vAlign w:val="bottom"/>
            <w:tcBorders>
              <w:bottom w:val="single" w:sz="8" w:color="auto"/>
            </w:tcBorders>
            <w:shd w:val="clear" w:color="auto" w:fill="CCCCCC"/>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Desmond J. Mills</w:t>
            </w:r>
          </w:p>
        </w:tc>
        <w:tc>
          <w:tcPr>
            <w:tcW w:w="960" w:type="dxa"/>
            <w:vAlign w:val="bottom"/>
            <w:tcBorders>
              <w:bottom w:val="single" w:sz="8" w:color="auto"/>
            </w:tcBorders>
            <w:shd w:val="clear" w:color="auto" w:fill="CCCCCC"/>
          </w:tcPr>
          <w:p>
            <w:pPr>
              <w:ind w:left="16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bscript"/>
              </w:rPr>
              <w:t>49</w:t>
            </w:r>
          </w:p>
        </w:tc>
        <w:tc>
          <w:tcPr>
            <w:tcW w:w="6140" w:type="dxa"/>
            <w:vAlign w:val="bottom"/>
            <w:tcBorders>
              <w:bottom w:val="single" w:sz="8" w:color="auto"/>
            </w:tcBorders>
            <w:shd w:val="clear" w:color="auto" w:fill="CCCCCC"/>
          </w:tcPr>
          <w:p>
            <w:pPr>
              <w:ind w:left="6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Senior Vice President, Chief Accounting Officer</w:t>
            </w:r>
          </w:p>
        </w:tc>
        <w:tc>
          <w:tcPr>
            <w:tcW w:w="1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r>
      <w:tr>
        <w:trPr>
          <w:trHeight w:val="264"/>
        </w:trPr>
        <w:tc>
          <w:tcPr>
            <w:tcW w:w="2540" w:type="dxa"/>
            <w:vAlign w:val="bottom"/>
            <w:tcBorders>
              <w:bottom w:val="single" w:sz="8" w:color="auto"/>
            </w:tcBorders>
          </w:tcPr>
          <w:p>
            <w:pPr>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Former Executive Officer</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 ​</w:t>
            </w:r>
          </w:p>
        </w:tc>
        <w:tc>
          <w:tcPr>
            <w:tcW w:w="6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r>
      <w:tr>
        <w:trPr>
          <w:trHeight w:val="218"/>
        </w:trPr>
        <w:tc>
          <w:tcPr>
            <w:tcW w:w="2540" w:type="dxa"/>
            <w:vAlign w:val="bottom"/>
            <w:shd w:val="clear" w:color="auto" w:fill="CCCCCC"/>
          </w:tcPr>
          <w:p>
            <w:pPr>
              <w:spacing w:after="0"/>
              <w:rPr>
                <w:sz w:val="20"/>
                <w:szCs w:val="20"/>
                <w:color w:val="auto"/>
              </w:rPr>
            </w:pPr>
            <w:r>
              <w:rPr>
                <w:rFonts w:ascii="Arial" w:cs="Arial" w:eastAsia="Arial" w:hAnsi="Arial"/>
                <w:sz w:val="18"/>
                <w:szCs w:val="18"/>
                <w:color w:val="auto"/>
              </w:rPr>
              <w:t>​ Karl Blanchard</w:t>
            </w:r>
          </w:p>
        </w:tc>
        <w:tc>
          <w:tcPr>
            <w:tcW w:w="960" w:type="dxa"/>
            <w:vAlign w:val="bottom"/>
            <w:shd w:val="clear" w:color="auto" w:fill="CCCCCC"/>
          </w:tcPr>
          <w:p>
            <w:pPr>
              <w:ind w:left="160"/>
              <w:spacing w:after="0"/>
              <w:rPr>
                <w:sz w:val="20"/>
                <w:szCs w:val="20"/>
                <w:color w:val="auto"/>
              </w:rPr>
            </w:pPr>
            <w:r>
              <w:rPr>
                <w:rFonts w:ascii="Arial" w:cs="Arial" w:eastAsia="Arial" w:hAnsi="Arial"/>
                <w:sz w:val="18"/>
                <w:szCs w:val="18"/>
                <w:color w:val="auto"/>
              </w:rPr>
              <w:t>​ ​ 62</w:t>
            </w:r>
          </w:p>
        </w:tc>
        <w:tc>
          <w:tcPr>
            <w:tcW w:w="6140" w:type="dxa"/>
            <w:vAlign w:val="bottom"/>
            <w:shd w:val="clear" w:color="auto" w:fill="CCCCCC"/>
          </w:tcPr>
          <w:p>
            <w:pPr>
              <w:ind w:left="60"/>
              <w:spacing w:after="0"/>
              <w:rPr>
                <w:sz w:val="20"/>
                <w:szCs w:val="20"/>
                <w:color w:val="auto"/>
              </w:rPr>
            </w:pPr>
            <w:r>
              <w:rPr>
                <w:rFonts w:ascii="Arial" w:cs="Arial" w:eastAsia="Arial" w:hAnsi="Arial"/>
                <w:sz w:val="18"/>
                <w:szCs w:val="18"/>
                <w:color w:val="auto"/>
              </w:rPr>
              <w:t>​ ​ Former Office of the Chief Executive, Interim CEO, Executive Vice</w:t>
            </w:r>
          </w:p>
        </w:tc>
        <w:tc>
          <w:tcPr>
            <w:tcW w:w="160" w:type="dxa"/>
            <w:vAlign w:val="bottom"/>
            <w:shd w:val="clear" w:color="auto" w:fill="CCCCCC"/>
          </w:tcPr>
          <w:p>
            <w:pPr>
              <w:ind w:left="60"/>
              <w:spacing w:after="0"/>
              <w:rPr>
                <w:sz w:val="20"/>
                <w:szCs w:val="20"/>
                <w:color w:val="auto"/>
              </w:rPr>
            </w:pPr>
            <w:r>
              <w:rPr>
                <w:rFonts w:ascii="Arial" w:cs="Arial" w:eastAsia="Arial" w:hAnsi="Arial"/>
                <w:sz w:val="18"/>
                <w:szCs w:val="18"/>
                <w:color w:val="auto"/>
              </w:rPr>
              <w:t>​</w:t>
            </w:r>
          </w:p>
        </w:tc>
      </w:tr>
      <w:tr>
        <w:trPr>
          <w:trHeight w:val="239"/>
        </w:trPr>
        <w:tc>
          <w:tcPr>
            <w:tcW w:w="2540" w:type="dxa"/>
            <w:vAlign w:val="bottom"/>
            <w:shd w:val="clear" w:color="auto" w:fill="CCCCCC"/>
          </w:tcPr>
          <w:p>
            <w:pPr>
              <w:spacing w:after="0"/>
              <w:rPr>
                <w:sz w:val="20"/>
                <w:szCs w:val="20"/>
                <w:color w:val="auto"/>
              </w:rPr>
            </w:pPr>
          </w:p>
        </w:tc>
        <w:tc>
          <w:tcPr>
            <w:tcW w:w="960" w:type="dxa"/>
            <w:vAlign w:val="bottom"/>
            <w:shd w:val="clear" w:color="auto" w:fill="CCCCCC"/>
          </w:tcPr>
          <w:p>
            <w:pPr>
              <w:spacing w:after="0"/>
              <w:rPr>
                <w:sz w:val="20"/>
                <w:szCs w:val="20"/>
                <w:color w:val="auto"/>
              </w:rPr>
            </w:pPr>
          </w:p>
        </w:tc>
        <w:tc>
          <w:tcPr>
            <w:tcW w:w="6140" w:type="dxa"/>
            <w:vAlign w:val="bottom"/>
            <w:shd w:val="clear" w:color="auto" w:fill="CCCCCC"/>
          </w:tcPr>
          <w:p>
            <w:pPr>
              <w:ind w:left="280"/>
              <w:spacing w:after="0"/>
              <w:rPr>
                <w:sz w:val="20"/>
                <w:szCs w:val="20"/>
                <w:color w:val="auto"/>
              </w:rPr>
            </w:pPr>
            <w:r>
              <w:rPr>
                <w:rFonts w:ascii="Arial" w:cs="Arial" w:eastAsia="Arial" w:hAnsi="Arial"/>
                <w:sz w:val="18"/>
                <w:szCs w:val="18"/>
                <w:color w:val="auto"/>
              </w:rPr>
              <w:t>President and Chief Operating Officer</w:t>
            </w:r>
          </w:p>
        </w:tc>
        <w:tc>
          <w:tcPr>
            <w:tcW w:w="160" w:type="dxa"/>
            <w:vAlign w:val="bottom"/>
            <w:shd w:val="clear" w:color="auto" w:fill="CCCCCC"/>
          </w:tcPr>
          <w:p>
            <w:pPr>
              <w:spacing w:after="0"/>
              <w:rPr>
                <w:sz w:val="20"/>
                <w:szCs w:val="20"/>
                <w:color w:val="auto"/>
              </w:rPr>
            </w:pPr>
          </w:p>
        </w:tc>
      </w:tr>
      <w:tr>
        <w:trPr>
          <w:trHeight w:val="23"/>
        </w:trPr>
        <w:tc>
          <w:tcPr>
            <w:tcW w:w="2540" w:type="dxa"/>
            <w:vAlign w:val="bottom"/>
            <w:shd w:val="clear" w:color="auto" w:fill="CCCCCC"/>
          </w:tcPr>
          <w:p>
            <w:pPr>
              <w:spacing w:after="0"/>
              <w:rPr>
                <w:sz w:val="2"/>
                <w:szCs w:val="2"/>
                <w:color w:val="auto"/>
              </w:rPr>
            </w:pPr>
          </w:p>
        </w:tc>
        <w:tc>
          <w:tcPr>
            <w:tcW w:w="960" w:type="dxa"/>
            <w:vAlign w:val="bottom"/>
            <w:shd w:val="clear" w:color="auto" w:fill="CCCCCC"/>
          </w:tcPr>
          <w:p>
            <w:pPr>
              <w:spacing w:after="0"/>
              <w:rPr>
                <w:sz w:val="2"/>
                <w:szCs w:val="2"/>
                <w:color w:val="auto"/>
              </w:rPr>
            </w:pPr>
          </w:p>
        </w:tc>
        <w:tc>
          <w:tcPr>
            <w:tcW w:w="6140" w:type="dxa"/>
            <w:vAlign w:val="bottom"/>
            <w:shd w:val="clear" w:color="auto" w:fill="CCCCCC"/>
          </w:tcPr>
          <w:p>
            <w:pPr>
              <w:spacing w:after="0"/>
              <w:rPr>
                <w:sz w:val="2"/>
                <w:szCs w:val="2"/>
                <w:color w:val="auto"/>
              </w:rPr>
            </w:pPr>
          </w:p>
        </w:tc>
        <w:tc>
          <w:tcPr>
            <w:tcW w:w="160" w:type="dxa"/>
            <w:vAlign w:val="bottom"/>
            <w:shd w:val="clear" w:color="auto" w:fill="CCCCC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5083175</wp:posOffset>
            </wp:positionV>
            <wp:extent cx="6231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hanging="282"/>
        <w:spacing w:after="0"/>
        <w:tabs>
          <w:tab w:leader="none" w:pos="720" w:val="left"/>
        </w:tabs>
        <w:numPr>
          <w:ilvl w:val="0"/>
          <w:numId w:val="2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COMPENSATION DISCUSSION AND ANALYSIS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EXECUTIVE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109855</wp:posOffset>
            </wp:positionV>
            <wp:extent cx="3077845" cy="37719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77845" cy="377190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109855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53" w:lineRule="exact"/>
        <w:rPr>
          <w:sz w:val="20"/>
          <w:szCs w:val="20"/>
          <w:color w:val="auto"/>
        </w:rPr>
      </w:pPr>
    </w:p>
    <w:tbl>
      <w:tblPr>
        <w:tblLayout w:type="fixed"/>
        <w:tblInd w:w="450" w:type="dxa"/>
        <w:tblCellMar>
          <w:top w:w="0" w:type="dxa"/>
          <w:left w:w="0" w:type="dxa"/>
          <w:bottom w:w="0" w:type="dxa"/>
          <w:right w:w="0" w:type="dxa"/>
        </w:tblCellMar>
      </w:tblPr>
      <w:tr>
        <w:trPr>
          <w:trHeight w:val="20"/>
        </w:trPr>
        <w:tc>
          <w:tcPr>
            <w:tcW w:w="340" w:type="dxa"/>
            <w:vAlign w:val="bottom"/>
            <w:tcBorders>
              <w:left w:val="single" w:sz="8" w:color="auto"/>
            </w:tcBorders>
            <w:shd w:val="clear" w:color="auto" w:fill="BA0C2F"/>
          </w:tcPr>
          <w:p>
            <w:pPr>
              <w:spacing w:after="0" w:line="20" w:lineRule="exact"/>
              <w:rPr>
                <w:sz w:val="1"/>
                <w:szCs w:val="1"/>
                <w:color w:val="auto"/>
              </w:rPr>
            </w:pPr>
          </w:p>
        </w:tc>
        <w:tc>
          <w:tcPr>
            <w:tcW w:w="4500" w:type="dxa"/>
            <w:vAlign w:val="bottom"/>
            <w:shd w:val="clear" w:color="auto" w:fill="BA0C2F"/>
          </w:tcPr>
          <w:p>
            <w:pPr>
              <w:spacing w:after="0" w:line="20" w:lineRule="exact"/>
              <w:rPr>
                <w:sz w:val="1"/>
                <w:szCs w:val="1"/>
                <w:color w:val="auto"/>
              </w:rPr>
            </w:pPr>
          </w:p>
        </w:tc>
        <w:tc>
          <w:tcPr>
            <w:tcW w:w="120" w:type="dxa"/>
            <w:vAlign w:val="bottom"/>
            <w:tcBorders>
              <w:right w:val="single" w:sz="8" w:color="BA0C2F"/>
            </w:tcBorders>
            <w:shd w:val="clear" w:color="auto" w:fill="BA0C2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BA0C2F"/>
          </w:tcPr>
          <w:p>
            <w:pPr>
              <w:spacing w:after="0" w:line="20" w:lineRule="exact"/>
              <w:rPr>
                <w:sz w:val="1"/>
                <w:szCs w:val="1"/>
                <w:color w:val="auto"/>
              </w:rPr>
            </w:pPr>
          </w:p>
        </w:tc>
        <w:tc>
          <w:tcPr>
            <w:tcW w:w="4340" w:type="dxa"/>
            <w:vAlign w:val="bottom"/>
            <w:shd w:val="clear" w:color="auto" w:fill="BA0C2F"/>
          </w:tcPr>
          <w:p>
            <w:pPr>
              <w:spacing w:after="0" w:line="20" w:lineRule="exact"/>
              <w:rPr>
                <w:sz w:val="1"/>
                <w:szCs w:val="1"/>
                <w:color w:val="auto"/>
              </w:rPr>
            </w:pPr>
          </w:p>
        </w:tc>
        <w:tc>
          <w:tcPr>
            <w:tcW w:w="100" w:type="dxa"/>
            <w:vAlign w:val="bottom"/>
            <w:shd w:val="clear" w:color="auto" w:fill="BA0C2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 w:type="dxa"/>
            <w:vAlign w:val="bottom"/>
            <w:tcBorders>
              <w:left w:val="single" w:sz="8" w:color="auto"/>
              <w:bottom w:val="single" w:sz="8" w:color="auto"/>
            </w:tcBorders>
            <w:shd w:val="clear" w:color="auto" w:fill="BA0C2F"/>
          </w:tcPr>
          <w:p>
            <w:pPr>
              <w:ind w:left="40"/>
              <w:spacing w:after="0"/>
              <w:rPr>
                <w:sz w:val="20"/>
                <w:szCs w:val="20"/>
                <w:color w:val="auto"/>
              </w:rPr>
            </w:pPr>
            <w:r>
              <w:rPr>
                <w:rFonts w:ascii="Arial" w:cs="Arial" w:eastAsia="Arial" w:hAnsi="Arial"/>
                <w:sz w:val="18"/>
                <w:szCs w:val="18"/>
                <w:b w:val="1"/>
                <w:bCs w:val="1"/>
                <w:color w:val="FFFFFF"/>
              </w:rPr>
              <w:t>​</w:t>
            </w:r>
          </w:p>
        </w:tc>
        <w:tc>
          <w:tcPr>
            <w:tcW w:w="4500" w:type="dxa"/>
            <w:vAlign w:val="bottom"/>
            <w:tcBorders>
              <w:bottom w:val="single" w:sz="8" w:color="auto"/>
            </w:tcBorders>
            <w:shd w:val="clear" w:color="auto" w:fill="BA0C2F"/>
          </w:tcPr>
          <w:p>
            <w:pPr>
              <w:ind w:left="1580"/>
              <w:spacing w:after="0"/>
              <w:rPr>
                <w:sz w:val="20"/>
                <w:szCs w:val="20"/>
                <w:color w:val="auto"/>
              </w:rPr>
            </w:pPr>
            <w:r>
              <w:rPr>
                <w:rFonts w:ascii="Arial" w:cs="Arial" w:eastAsia="Arial" w:hAnsi="Arial"/>
                <w:sz w:val="18"/>
                <w:szCs w:val="18"/>
                <w:b w:val="1"/>
                <w:bCs w:val="1"/>
                <w:color w:val="FFFFFF"/>
              </w:rPr>
              <w:t>What We Do</w:t>
            </w:r>
          </w:p>
        </w:tc>
        <w:tc>
          <w:tcPr>
            <w:tcW w:w="120" w:type="dxa"/>
            <w:vAlign w:val="bottom"/>
            <w:tcBorders>
              <w:bottom w:val="single" w:sz="8" w:color="auto"/>
              <w:right w:val="single" w:sz="8" w:color="auto"/>
            </w:tcBorders>
            <w:shd w:val="clear" w:color="auto" w:fill="BA0C2F"/>
          </w:tcPr>
          <w:p>
            <w:pPr>
              <w:ind w:left="60"/>
              <w:spacing w:after="0"/>
              <w:rPr>
                <w:sz w:val="20"/>
                <w:szCs w:val="20"/>
                <w:color w:val="auto"/>
              </w:rPr>
            </w:pPr>
            <w:r>
              <w:rPr>
                <w:rFonts w:ascii="Arial" w:cs="Arial" w:eastAsia="Arial" w:hAnsi="Arial"/>
                <w:sz w:val="18"/>
                <w:szCs w:val="18"/>
                <w:b w:val="1"/>
                <w:bCs w:val="1"/>
                <w:color w:val="FFFFFF"/>
              </w:rPr>
              <w:t>​</w:t>
            </w: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FFFFFF"/>
              </w:rPr>
              <w:t>​</w:t>
            </w:r>
          </w:p>
        </w:tc>
        <w:tc>
          <w:tcPr>
            <w:tcW w:w="43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FFFFFF"/>
              </w:rPr>
              <w:t>What We Do Not Do</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0"/>
        </w:trPr>
        <w:tc>
          <w:tcPr>
            <w:tcW w:w="340" w:type="dxa"/>
            <w:vAlign w:val="bottom"/>
            <w:tcBorders>
              <w:left w:val="single" w:sz="8" w:color="auto"/>
            </w:tcBorders>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Pay For Performance — </w:t>
            </w:r>
            <w:r>
              <w:rPr>
                <w:rFonts w:ascii="Arial" w:cs="Arial" w:eastAsia="Arial" w:hAnsi="Arial"/>
                <w:sz w:val="14"/>
                <w:szCs w:val="14"/>
                <w:color w:val="auto"/>
              </w:rPr>
              <w:t>We align the interests of our executives</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Salary Increases &amp; Bonus Payments — </w:t>
            </w:r>
            <w:r>
              <w:rPr>
                <w:rFonts w:ascii="Arial" w:cs="Arial" w:eastAsia="Arial" w:hAnsi="Arial"/>
                <w:sz w:val="14"/>
                <w:szCs w:val="14"/>
                <w:color w:val="auto"/>
              </w:rPr>
              <w:t>We do not provide for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tcPr>
          <w:p>
            <w:pPr>
              <w:ind w:left="1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and shareholders through the use of performance-based annual</w:t>
            </w:r>
          </w:p>
        </w:tc>
        <w:tc>
          <w:tcPr>
            <w:tcW w:w="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vMerge w:val="continue"/>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cash incentive compensation and performance-based long-term</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4"/>
                <w:szCs w:val="14"/>
                <w:color w:val="auto"/>
              </w:rPr>
              <w:t>automatic salary increases or guaranteed bonus payments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cash and equity incentive compensation</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40" w:type="dxa"/>
            <w:vAlign w:val="bottom"/>
            <w:tcBorders>
              <w:left w:val="single" w:sz="8" w:color="auto"/>
            </w:tcBorders>
            <w:vMerge w:val="restart"/>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Double-Trigger Change in Control — </w:t>
            </w:r>
            <w:r>
              <w:rPr>
                <w:rFonts w:ascii="Arial" w:cs="Arial" w:eastAsia="Arial" w:hAnsi="Arial"/>
                <w:sz w:val="14"/>
                <w:szCs w:val="14"/>
                <w:color w:val="auto"/>
              </w:rPr>
              <w:t>a “change in control” by</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No Excise Tax Gross Ups — </w:t>
            </w:r>
            <w:r>
              <w:rPr>
                <w:rFonts w:ascii="Arial" w:cs="Arial" w:eastAsia="Arial" w:hAnsi="Arial"/>
                <w:sz w:val="14"/>
                <w:szCs w:val="14"/>
                <w:color w:val="auto"/>
              </w:rPr>
              <w:t>We do not provide for excise tax</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40" w:type="dxa"/>
            <w:vAlign w:val="bottom"/>
            <w:tcBorders>
              <w:left w:val="single" w:sz="8" w:color="auto"/>
            </w:tcBorders>
            <w:vMerge w:val="continue"/>
          </w:tcPr>
          <w:p>
            <w:pPr>
              <w:spacing w:after="0"/>
              <w:rPr>
                <w:sz w:val="13"/>
                <w:szCs w:val="13"/>
                <w:color w:val="auto"/>
              </w:rPr>
            </w:pPr>
          </w:p>
        </w:tc>
        <w:tc>
          <w:tcPr>
            <w:tcW w:w="4500" w:type="dxa"/>
            <w:vAlign w:val="bottom"/>
          </w:tcPr>
          <w:p>
            <w:pPr>
              <w:ind w:left="180"/>
              <w:spacing w:after="0" w:line="158" w:lineRule="exact"/>
              <w:rPr>
                <w:sz w:val="20"/>
                <w:szCs w:val="20"/>
                <w:color w:val="auto"/>
              </w:rPr>
            </w:pPr>
            <w:r>
              <w:rPr>
                <w:rFonts w:ascii="Arial" w:cs="Arial" w:eastAsia="Arial" w:hAnsi="Arial"/>
                <w:sz w:val="14"/>
                <w:szCs w:val="14"/>
                <w:color w:val="auto"/>
              </w:rPr>
              <w:t>​itself is not sufficient to trigger payments, it must also be</w:t>
            </w:r>
          </w:p>
        </w:tc>
        <w:tc>
          <w:tcPr>
            <w:tcW w:w="120" w:type="dxa"/>
            <w:vAlign w:val="bottom"/>
            <w:tcBorders>
              <w:right w:val="single" w:sz="8" w:color="auto"/>
            </w:tcBorders>
          </w:tcPr>
          <w:p>
            <w:pPr>
              <w:spacing w:after="0" w:line="158" w:lineRule="exact"/>
              <w:rPr>
                <w:sz w:val="20"/>
                <w:szCs w:val="20"/>
                <w:color w:val="auto"/>
              </w:rPr>
            </w:pPr>
            <w:r>
              <w:rPr>
                <w:rFonts w:ascii="Arial" w:cs="Arial" w:eastAsia="Arial" w:hAnsi="Arial"/>
                <w:sz w:val="14"/>
                <w:szCs w:val="14"/>
                <w:color w:val="auto"/>
              </w:rPr>
              <w:t>​</w:t>
            </w:r>
          </w:p>
        </w:tc>
        <w:tc>
          <w:tcPr>
            <w:tcW w:w="400" w:type="dxa"/>
            <w:vAlign w:val="bottom"/>
            <w:gridSpan w:val="2"/>
          </w:tcPr>
          <w:p>
            <w:pPr>
              <w:spacing w:after="0" w:line="15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vMerge w:val="continue"/>
          </w:tcPr>
          <w:p>
            <w:pPr>
              <w:spacing w:after="0"/>
              <w:rPr>
                <w:sz w:val="13"/>
                <w:szCs w:val="13"/>
                <w:color w:val="auto"/>
              </w:rPr>
            </w:pPr>
          </w:p>
        </w:tc>
        <w:tc>
          <w:tcPr>
            <w:tcW w:w="10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4500" w:type="dxa"/>
            <w:vAlign w:val="bottom"/>
            <w:vMerge w:val="restart"/>
          </w:tcPr>
          <w:p>
            <w:pPr>
              <w:ind w:left="200"/>
              <w:spacing w:after="0"/>
              <w:rPr>
                <w:sz w:val="20"/>
                <w:szCs w:val="20"/>
                <w:color w:val="auto"/>
              </w:rPr>
            </w:pPr>
            <w:r>
              <w:rPr>
                <w:rFonts w:ascii="Arial" w:cs="Arial" w:eastAsia="Arial" w:hAnsi="Arial"/>
                <w:sz w:val="14"/>
                <w:szCs w:val="14"/>
                <w:color w:val="auto"/>
              </w:rPr>
              <w:t>accompanied by a qualifying termination</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40" w:type="dxa"/>
            <w:vAlign w:val="bottom"/>
          </w:tcPr>
          <w:p>
            <w:pPr>
              <w:ind w:left="60"/>
              <w:spacing w:after="0"/>
              <w:rPr>
                <w:sz w:val="20"/>
                <w:szCs w:val="20"/>
                <w:color w:val="auto"/>
              </w:rPr>
            </w:pPr>
            <w:r>
              <w:rPr>
                <w:rFonts w:ascii="Arial" w:cs="Arial" w:eastAsia="Arial" w:hAnsi="Arial"/>
                <w:sz w:val="14"/>
                <w:szCs w:val="14"/>
                <w:color w:val="auto"/>
              </w:rPr>
              <w:t>gross-ups in the event of a change-in-control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40" w:type="dxa"/>
            <w:vAlign w:val="bottom"/>
            <w:tcBorders>
              <w:left w:val="single" w:sz="8" w:color="auto"/>
            </w:tcBorders>
          </w:tcPr>
          <w:p>
            <w:pPr>
              <w:spacing w:after="0"/>
              <w:rPr>
                <w:sz w:val="4"/>
                <w:szCs w:val="4"/>
                <w:color w:val="auto"/>
              </w:rPr>
            </w:pPr>
          </w:p>
        </w:tc>
        <w:tc>
          <w:tcPr>
            <w:tcW w:w="450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Clawback Policy — </w:t>
            </w:r>
            <w:r>
              <w:rPr>
                <w:rFonts w:ascii="Arial" w:cs="Arial" w:eastAsia="Arial" w:hAnsi="Arial"/>
                <w:sz w:val="14"/>
                <w:szCs w:val="14"/>
                <w:color w:val="auto"/>
              </w:rPr>
              <w:t>We have a clawback policy regarding the</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 xml:space="preserve">Anti-Pledging &amp; Anti-Hedging Policies — </w:t>
            </w:r>
            <w:r>
              <w:rPr>
                <w:rFonts w:ascii="Arial" w:cs="Arial" w:eastAsia="Arial" w:hAnsi="Arial"/>
                <w:sz w:val="14"/>
                <w:szCs w:val="14"/>
                <w:color w:val="auto"/>
              </w:rPr>
              <w:t>We maintain robust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tcPr>
          <w:p>
            <w:pPr>
              <w:ind w:left="180"/>
              <w:spacing w:after="0" w:line="19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recoupment of performance-based compensation upon a financial</w:t>
            </w:r>
          </w:p>
        </w:tc>
        <w:tc>
          <w:tcPr>
            <w:tcW w:w="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tcPr>
          <w:p>
            <w:pPr>
              <w:ind w:left="40"/>
              <w:spacing w:after="0"/>
              <w:rPr>
                <w:sz w:val="20"/>
                <w:szCs w:val="20"/>
                <w:color w:val="auto"/>
              </w:rPr>
            </w:pPr>
            <w:r>
              <w:rPr>
                <w:rFonts w:ascii="Arial" w:cs="Arial" w:eastAsia="Arial" w:hAnsi="Arial"/>
                <w:sz w:val="14"/>
                <w:szCs w:val="14"/>
                <w:color w:val="auto"/>
              </w:rPr>
              <w:t>anti-pledging and anti-hedging policies, as well as an insider trading</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restatement or if an executive engages in conduct that is materially</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policy, that prohibits any short sale activities by our executives and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adverse to the Company</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directors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40" w:type="dxa"/>
            <w:vAlign w:val="bottom"/>
            <w:tcBorders>
              <w:left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Share Ownership Guidelines — </w:t>
            </w:r>
            <w:r>
              <w:rPr>
                <w:rFonts w:ascii="Arial" w:cs="Arial" w:eastAsia="Arial" w:hAnsi="Arial"/>
                <w:sz w:val="14"/>
                <w:szCs w:val="14"/>
                <w:color w:val="auto"/>
              </w:rPr>
              <w:t>We maintain meaningful director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Executive Benefits / Perquisites — </w:t>
            </w:r>
            <w:r>
              <w:rPr>
                <w:rFonts w:ascii="Arial" w:cs="Arial" w:eastAsia="Arial" w:hAnsi="Arial"/>
                <w:sz w:val="14"/>
                <w:szCs w:val="14"/>
                <w:color w:val="auto"/>
              </w:rPr>
              <w:t>We do not maintain 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500" w:type="dxa"/>
            <w:vAlign w:val="bottom"/>
            <w:vMerge w:val="restart"/>
          </w:tcPr>
          <w:p>
            <w:pPr>
              <w:ind w:left="200"/>
              <w:spacing w:after="0"/>
              <w:rPr>
                <w:sz w:val="20"/>
                <w:szCs w:val="20"/>
                <w:color w:val="auto"/>
              </w:rPr>
            </w:pPr>
            <w:r>
              <w:rPr>
                <w:rFonts w:ascii="Arial" w:cs="Arial" w:eastAsia="Arial" w:hAnsi="Arial"/>
                <w:sz w:val="14"/>
                <w:szCs w:val="14"/>
                <w:color w:val="auto"/>
              </w:rPr>
              <w:t>and executive officer share ownership guidelines, including the</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40" w:type="dxa"/>
            <w:vAlign w:val="bottom"/>
            <w:tcBorders>
              <w:left w:val="single" w:sz="8" w:color="auto"/>
            </w:tcBorders>
            <w:vMerge w:val="restart"/>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color w:val="auto"/>
              </w:rPr>
              <w:t>defined benefit or supplemental retirement plan; nor do we provide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vMerge w:val="continue"/>
          </w:tcPr>
          <w:p>
            <w:pPr>
              <w:spacing w:after="0"/>
              <w:rPr>
                <w:sz w:val="7"/>
                <w:szCs w:val="7"/>
                <w:color w:val="auto"/>
              </w:rPr>
            </w:pPr>
          </w:p>
        </w:tc>
        <w:tc>
          <w:tcPr>
            <w:tcW w:w="462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​requirement that our CEO accumulate a holding of 6 times his base ​</w:t>
            </w: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vMerge w:val="continue"/>
          </w:tcPr>
          <w:p>
            <w:pPr>
              <w:spacing w:after="0"/>
              <w:rPr>
                <w:sz w:val="7"/>
                <w:szCs w:val="7"/>
                <w:color w:val="auto"/>
              </w:rPr>
            </w:pP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vMerge w:val="continue"/>
          </w:tcPr>
          <w:p>
            <w:pPr>
              <w:spacing w:after="0"/>
              <w:rPr>
                <w:sz w:val="12"/>
                <w:szCs w:val="12"/>
                <w:color w:val="auto"/>
              </w:rPr>
            </w:pPr>
          </w:p>
        </w:tc>
        <w:tc>
          <w:tcPr>
            <w:tcW w:w="4620" w:type="dxa"/>
            <w:vAlign w:val="bottom"/>
            <w:tcBorders>
              <w:right w:val="single" w:sz="8" w:color="auto"/>
            </w:tcBorders>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340" w:type="dxa"/>
            <w:vAlign w:val="bottom"/>
          </w:tcPr>
          <w:p>
            <w:pPr>
              <w:ind w:left="60"/>
              <w:spacing w:after="0" w:line="145" w:lineRule="exact"/>
              <w:rPr>
                <w:sz w:val="20"/>
                <w:szCs w:val="20"/>
                <w:color w:val="auto"/>
              </w:rPr>
            </w:pPr>
            <w:r>
              <w:rPr>
                <w:rFonts w:ascii="Arial" w:cs="Arial" w:eastAsia="Arial" w:hAnsi="Arial"/>
                <w:sz w:val="14"/>
                <w:szCs w:val="14"/>
                <w:color w:val="auto"/>
              </w:rPr>
              <w:t>other personal benefits to our named executive officers that are not</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Borders>
              <w:left w:val="single" w:sz="8" w:color="auto"/>
            </w:tcBorders>
          </w:tcPr>
          <w:p>
            <w:pPr>
              <w:spacing w:after="0"/>
              <w:rPr>
                <w:sz w:val="12"/>
                <w:szCs w:val="12"/>
                <w:color w:val="auto"/>
              </w:rPr>
            </w:pPr>
          </w:p>
        </w:tc>
        <w:tc>
          <w:tcPr>
            <w:tcW w:w="4500" w:type="dxa"/>
            <w:vAlign w:val="bottom"/>
          </w:tcPr>
          <w:p>
            <w:pPr>
              <w:ind w:left="200"/>
              <w:spacing w:after="0" w:line="139" w:lineRule="exact"/>
              <w:rPr>
                <w:sz w:val="20"/>
                <w:szCs w:val="20"/>
                <w:color w:val="auto"/>
              </w:rPr>
            </w:pPr>
            <w:r>
              <w:rPr>
                <w:rFonts w:ascii="Arial" w:cs="Arial" w:eastAsia="Arial" w:hAnsi="Arial"/>
                <w:sz w:val="14"/>
                <w:szCs w:val="14"/>
                <w:color w:val="auto"/>
              </w:rPr>
              <w:t>salary, 3 times their base salaries for our other NEOs, and 5 times</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color w:val="auto"/>
              </w:rPr>
              <w:t>available to all employees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40" w:type="dxa"/>
            <w:vAlign w:val="bottom"/>
            <w:tcBorders>
              <w:left w:val="single" w:sz="8" w:color="auto"/>
            </w:tcBorders>
          </w:tcPr>
          <w:p>
            <w:pPr>
              <w:spacing w:after="0"/>
              <w:rPr>
                <w:sz w:val="8"/>
                <w:szCs w:val="8"/>
                <w:color w:val="auto"/>
              </w:rPr>
            </w:pPr>
          </w:p>
        </w:tc>
        <w:tc>
          <w:tcPr>
            <w:tcW w:w="4500" w:type="dxa"/>
            <w:vAlign w:val="bottom"/>
            <w:vMerge w:val="restart"/>
          </w:tcPr>
          <w:p>
            <w:pPr>
              <w:ind w:left="200"/>
              <w:spacing w:after="0"/>
              <w:rPr>
                <w:sz w:val="20"/>
                <w:szCs w:val="20"/>
                <w:color w:val="auto"/>
              </w:rPr>
            </w:pPr>
            <w:r>
              <w:rPr>
                <w:rFonts w:ascii="Arial" w:cs="Arial" w:eastAsia="Arial" w:hAnsi="Arial"/>
                <w:sz w:val="14"/>
                <w:szCs w:val="14"/>
                <w:color w:val="auto"/>
              </w:rPr>
              <w:t>the annual cash retainers for our independent directors</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Borders>
              <w:left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Annual Risk Assessment — </w:t>
            </w:r>
            <w:r>
              <w:rPr>
                <w:rFonts w:ascii="Arial" w:cs="Arial" w:eastAsia="Arial" w:hAnsi="Arial"/>
                <w:sz w:val="14"/>
                <w:szCs w:val="14"/>
                <w:color w:val="auto"/>
              </w:rPr>
              <w:t>We conduct an annual</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Dividends — </w:t>
            </w:r>
            <w:r>
              <w:rPr>
                <w:rFonts w:ascii="Arial" w:cs="Arial" w:eastAsia="Arial" w:hAnsi="Arial"/>
                <w:sz w:val="14"/>
                <w:szCs w:val="14"/>
                <w:color w:val="auto"/>
              </w:rPr>
              <w:t>We do not pay dividends on vested or unvested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tcPr>
          <w:p>
            <w:pPr>
              <w:ind w:left="1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comprehensive risk analysis of our executive compensation</w:t>
            </w:r>
          </w:p>
        </w:tc>
        <w:tc>
          <w:tcPr>
            <w:tcW w:w="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vMerge w:val="continue"/>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program with our independent compensation consultant to ensure</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4"/>
                <w:szCs w:val="14"/>
                <w:color w:val="auto"/>
              </w:rPr>
              <w:t>equity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that our program does not encourage inappropriate risk-taking.</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4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4"/>
                <w:szCs w:val="14"/>
                <w:b w:val="1"/>
                <w:bCs w:val="1"/>
                <w:color w:val="auto"/>
              </w:rPr>
              <w:t xml:space="preserve">Compensation Benchmarking — </w:t>
            </w:r>
            <w:r>
              <w:rPr>
                <w:rFonts w:ascii="Arial" w:cs="Arial" w:eastAsia="Arial" w:hAnsi="Arial"/>
                <w:sz w:val="14"/>
                <w:szCs w:val="14"/>
                <w:color w:val="auto"/>
              </w:rPr>
              <w:t>We compare our executives’</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Employment Agreements — </w:t>
            </w:r>
            <w:r>
              <w:rPr>
                <w:rFonts w:ascii="Arial" w:cs="Arial" w:eastAsia="Arial" w:hAnsi="Arial"/>
                <w:sz w:val="14"/>
                <w:szCs w:val="14"/>
                <w:color w:val="auto"/>
              </w:rPr>
              <w:t>We do not have employment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tcPr>
          <w:p>
            <w:pPr>
              <w:ind w:left="18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total compensation to a peer group for market comparable data. We</w:t>
            </w:r>
          </w:p>
        </w:tc>
        <w:tc>
          <w:tcPr>
            <w:tcW w:w="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340" w:type="dxa"/>
            <w:vAlign w:val="bottom"/>
            <w:vMerge w:val="continue"/>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evaluate that peer group annually to ensure that it remains</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Arial" w:cs="Arial" w:eastAsia="Arial" w:hAnsi="Arial"/>
                <w:sz w:val="14"/>
                <w:szCs w:val="14"/>
                <w:color w:val="auto"/>
              </w:rPr>
              <w:t>agreements with any of our NEOs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auto"/>
            </w:tcBorders>
          </w:tcPr>
          <w:p>
            <w:pPr>
              <w:spacing w:after="0"/>
              <w:rPr>
                <w:sz w:val="16"/>
                <w:szCs w:val="16"/>
                <w:color w:val="auto"/>
              </w:rPr>
            </w:pPr>
          </w:p>
        </w:tc>
        <w:tc>
          <w:tcPr>
            <w:tcW w:w="4500" w:type="dxa"/>
            <w:vAlign w:val="bottom"/>
          </w:tcPr>
          <w:p>
            <w:pPr>
              <w:ind w:left="200"/>
              <w:spacing w:after="0"/>
              <w:rPr>
                <w:sz w:val="20"/>
                <w:szCs w:val="20"/>
                <w:color w:val="auto"/>
              </w:rPr>
            </w:pPr>
            <w:r>
              <w:rPr>
                <w:rFonts w:ascii="Arial" w:cs="Arial" w:eastAsia="Arial" w:hAnsi="Arial"/>
                <w:sz w:val="14"/>
                <w:szCs w:val="14"/>
                <w:color w:val="auto"/>
              </w:rPr>
              <w:t>appropriate, and we add or remove peers when warranted</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 w:type="dxa"/>
            <w:vAlign w:val="bottom"/>
            <w:tcBorders>
              <w:left w:val="single" w:sz="8" w:color="auto"/>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0" w:type="dxa"/>
            <w:vAlign w:val="bottom"/>
            <w:tcBorders>
              <w:left w:val="single" w:sz="8" w:color="auto"/>
            </w:tcBorders>
          </w:tcPr>
          <w:p>
            <w:pPr>
              <w:spacing w:after="0"/>
              <w:rPr>
                <w:sz w:val="15"/>
                <w:szCs w:val="15"/>
                <w:color w:val="auto"/>
              </w:rPr>
            </w:pPr>
          </w:p>
        </w:tc>
        <w:tc>
          <w:tcPr>
            <w:tcW w:w="4500" w:type="dxa"/>
            <w:vAlign w:val="bottom"/>
          </w:tcPr>
          <w:p>
            <w:pPr>
              <w:ind w:left="220"/>
              <w:spacing w:after="0"/>
              <w:rPr>
                <w:sz w:val="20"/>
                <w:szCs w:val="20"/>
                <w:color w:val="auto"/>
              </w:rPr>
            </w:pPr>
            <w:r>
              <w:rPr>
                <w:rFonts w:ascii="Arial" w:cs="Arial" w:eastAsia="Arial" w:hAnsi="Arial"/>
                <w:sz w:val="14"/>
                <w:szCs w:val="14"/>
                <w:b w:val="1"/>
                <w:bCs w:val="1"/>
                <w:color w:val="auto"/>
              </w:rPr>
              <w:t xml:space="preserve">Independent Compensation Consultant — </w:t>
            </w:r>
            <w:r>
              <w:rPr>
                <w:rFonts w:ascii="Arial" w:cs="Arial" w:eastAsia="Arial" w:hAnsi="Arial"/>
                <w:sz w:val="14"/>
                <w:szCs w:val="14"/>
                <w:color w:val="auto"/>
              </w:rPr>
              <w:t>We engage an</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Long-term Incentive Plan — </w:t>
            </w:r>
            <w:r>
              <w:rPr>
                <w:rFonts w:ascii="Arial" w:cs="Arial" w:eastAsia="Arial" w:hAnsi="Arial"/>
                <w:sz w:val="14"/>
                <w:szCs w:val="14"/>
                <w:color w:val="auto"/>
              </w:rPr>
              <w:t>We prohibit repricing or buyouts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vMerge w:val="restart"/>
          </w:tcPr>
          <w:p>
            <w:pPr>
              <w:ind w:left="2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00B140"/>
              </w:rPr>
              <w:t>✓</w:t>
            </w:r>
          </w:p>
        </w:tc>
        <w:tc>
          <w:tcPr>
            <w:tcW w:w="4500" w:type="dxa"/>
            <w:vAlign w:val="bottom"/>
            <w:vMerge w:val="restart"/>
          </w:tcPr>
          <w:p>
            <w:pPr>
              <w:ind w:left="18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independent compensation consultant to review and provide</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400" w:type="dxa"/>
            <w:vAlign w:val="bottom"/>
            <w:gridSpan w:val="2"/>
          </w:tcPr>
          <w:p>
            <w:pPr>
              <w:spacing w:after="0" w:line="14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color w:val="BA0C2F"/>
              </w:rPr>
              <w:t>X</w:t>
            </w:r>
            <w:r>
              <w:rPr>
                <w:rFonts w:ascii="Arial" w:cs="Arial" w:eastAsia="Arial" w:hAnsi="Arial"/>
                <w:sz w:val="14"/>
                <w:szCs w:val="14"/>
                <w:color w:val="auto"/>
              </w:rPr>
              <w:t xml:space="preserve"> ​ ​</w:t>
            </w:r>
          </w:p>
        </w:tc>
        <w:tc>
          <w:tcPr>
            <w:tcW w:w="44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underwater options or stock appreciation rights without shareholder ​</w:t>
            </w:r>
          </w:p>
        </w:tc>
        <w:tc>
          <w:tcPr>
            <w:tcW w:w="0" w:type="dxa"/>
            <w:vAlign w:val="bottom"/>
          </w:tcPr>
          <w:p>
            <w:pPr>
              <w:spacing w:after="0"/>
              <w:rPr>
                <w:sz w:val="1"/>
                <w:szCs w:val="1"/>
                <w:color w:val="auto"/>
              </w:rPr>
            </w:pPr>
          </w:p>
        </w:tc>
      </w:tr>
      <w:tr>
        <w:trPr>
          <w:trHeight w:val="139"/>
        </w:trPr>
        <w:tc>
          <w:tcPr>
            <w:tcW w:w="340" w:type="dxa"/>
            <w:vAlign w:val="bottom"/>
            <w:tcBorders>
              <w:left w:val="single" w:sz="8" w:color="auto"/>
            </w:tcBorders>
          </w:tcPr>
          <w:p>
            <w:pPr>
              <w:spacing w:after="0"/>
              <w:rPr>
                <w:sz w:val="12"/>
                <w:szCs w:val="12"/>
                <w:color w:val="auto"/>
              </w:rPr>
            </w:pPr>
          </w:p>
        </w:tc>
        <w:tc>
          <w:tcPr>
            <w:tcW w:w="4500" w:type="dxa"/>
            <w:vAlign w:val="bottom"/>
          </w:tcPr>
          <w:p>
            <w:pPr>
              <w:ind w:left="220"/>
              <w:spacing w:after="0" w:line="139" w:lineRule="exact"/>
              <w:rPr>
                <w:sz w:val="20"/>
                <w:szCs w:val="20"/>
                <w:color w:val="auto"/>
              </w:rPr>
            </w:pPr>
            <w:r>
              <w:rPr>
                <w:rFonts w:ascii="Arial" w:cs="Arial" w:eastAsia="Arial" w:hAnsi="Arial"/>
                <w:sz w:val="14"/>
                <w:szCs w:val="14"/>
                <w:color w:val="auto"/>
              </w:rPr>
              <w:t>recommendations regarding our executive and independent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40" w:type="dxa"/>
            <w:vAlign w:val="bottom"/>
            <w:vMerge w:val="restart"/>
          </w:tcPr>
          <w:p>
            <w:pPr>
              <w:ind w:left="60"/>
              <w:spacing w:after="0"/>
              <w:rPr>
                <w:sz w:val="20"/>
                <w:szCs w:val="20"/>
                <w:color w:val="auto"/>
              </w:rPr>
            </w:pPr>
            <w:r>
              <w:rPr>
                <w:rFonts w:ascii="Arial" w:cs="Arial" w:eastAsia="Arial" w:hAnsi="Arial"/>
                <w:sz w:val="14"/>
                <w:szCs w:val="14"/>
                <w:color w:val="auto"/>
              </w:rPr>
              <w:t>approval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tcBorders>
          </w:tcPr>
          <w:p>
            <w:pPr>
              <w:spacing w:after="0"/>
              <w:rPr>
                <w:sz w:val="7"/>
                <w:szCs w:val="7"/>
                <w:color w:val="auto"/>
              </w:rPr>
            </w:pPr>
          </w:p>
        </w:tc>
        <w:tc>
          <w:tcPr>
            <w:tcW w:w="4500" w:type="dxa"/>
            <w:vAlign w:val="bottom"/>
            <w:vMerge w:val="restart"/>
          </w:tcPr>
          <w:p>
            <w:pPr>
              <w:ind w:left="220"/>
              <w:spacing w:after="0"/>
              <w:rPr>
                <w:sz w:val="20"/>
                <w:szCs w:val="20"/>
                <w:color w:val="auto"/>
              </w:rPr>
            </w:pPr>
            <w:r>
              <w:rPr>
                <w:rFonts w:ascii="Arial" w:cs="Arial" w:eastAsia="Arial" w:hAnsi="Arial"/>
                <w:sz w:val="14"/>
                <w:szCs w:val="14"/>
                <w:color w:val="auto"/>
              </w:rPr>
              <w:t>director compensation program</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40" w:type="dxa"/>
            <w:vAlign w:val="bottom"/>
            <w:tcBorders>
              <w:left w:val="single" w:sz="8" w:color="auto"/>
              <w:bottom w:val="single" w:sz="8" w:color="auto"/>
            </w:tcBorders>
          </w:tcPr>
          <w:p>
            <w:pPr>
              <w:spacing w:after="0"/>
              <w:rPr>
                <w:sz w:val="9"/>
                <w:szCs w:val="9"/>
                <w:color w:val="auto"/>
              </w:rPr>
            </w:pPr>
          </w:p>
        </w:tc>
        <w:tc>
          <w:tcPr>
            <w:tcW w:w="450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COMPENSATION PHILOSOPHY</w:t>
      </w:r>
    </w:p>
    <w:p>
      <w:pPr>
        <w:spacing w:after="0" w:line="114" w:lineRule="exact"/>
        <w:rPr>
          <w:sz w:val="20"/>
          <w:szCs w:val="20"/>
          <w:color w:val="auto"/>
        </w:rPr>
      </w:pPr>
    </w:p>
    <w:p>
      <w:pPr>
        <w:ind w:left="440" w:right="20"/>
        <w:spacing w:after="0" w:line="256" w:lineRule="auto"/>
        <w:rPr>
          <w:sz w:val="20"/>
          <w:szCs w:val="20"/>
          <w:color w:val="auto"/>
        </w:rPr>
      </w:pPr>
      <w:r>
        <w:rPr>
          <w:rFonts w:ascii="Arial" w:cs="Arial" w:eastAsia="Arial" w:hAnsi="Arial"/>
          <w:sz w:val="18"/>
          <w:szCs w:val="18"/>
          <w:color w:val="auto"/>
        </w:rPr>
        <w:t>Our compensation program is designed to attract, motivate and retain highly talented executives, and to provide competitive compensation opportunities that align management’s interests with the short- and long-term interests of our shareholders. We believe this design provides alignment of the interests of our executives with those of our shareholders through heavy reliance on short- and long-term performance-oriented cash and equity incentive plans. Our compensation plans, while considering the current state of our business and our continued journey to sustainable profitability, are designed to recognize our fundamental compensation principles (shown below) and with the objectives of encouraging the desired performance, discourage excessive risk taking, and maximizing shareholder value.</w:t>
      </w:r>
    </w:p>
    <w:p>
      <w:pPr>
        <w:spacing w:after="0" w:line="75"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In October 2021, during the Board’s comprehensive review of executive compensation, as recommended by our independent compensation consultant and approved by the Committee, we reviewed and updated our peer group with the intention to set base salaries, or fixed compensation, for our executives just below the market medians of the peer group. It was further determined that annual and long-term incentive opportunities, or variable, at-risk compensation, for this same group should be above the market medians. We use the data from the peer group solely for informational purposes, however, and do not make significant pay decisions based on market data alone. We design our incentive compensation plans to deliver total compensation above market medians of our peers when justified by the performance achievement of the Company relative to our peers and general industry, and the performance of our executives on an individual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583565</wp:posOffset>
            </wp:positionV>
            <wp:extent cx="6231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ind w:left="2220"/>
        <w:spacing w:after="0"/>
        <w:tabs>
          <w:tab w:leader="none" w:pos="3720" w:val="left"/>
          <w:tab w:leader="none" w:pos="8420" w:val="left"/>
        </w:tabs>
        <w:rPr>
          <w:sz w:val="20"/>
          <w:szCs w:val="20"/>
          <w:color w:val="auto"/>
        </w:rPr>
      </w:pPr>
      <w:r>
        <w:rPr>
          <w:rFonts w:ascii="Arial" w:cs="Arial" w:eastAsia="Arial" w:hAnsi="Arial"/>
          <w:sz w:val="29"/>
          <w:szCs w:val="29"/>
          <w:b w:val="1"/>
          <w:bCs w:val="1"/>
          <w:color w:val="FFFFFF"/>
          <w:vertAlign w:val="subscript"/>
        </w:rPr>
        <w:t>​</w:t>
      </w:r>
      <w:r>
        <w:rPr>
          <w:sz w:val="20"/>
          <w:szCs w:val="20"/>
          <w:color w:val="auto"/>
        </w:rPr>
        <w:tab/>
      </w:r>
      <w:r>
        <w:rPr>
          <w:rFonts w:ascii="Arial" w:cs="Arial" w:eastAsia="Arial" w:hAnsi="Arial"/>
          <w:sz w:val="14"/>
          <w:szCs w:val="14"/>
          <w:b w:val="1"/>
          <w:bCs w:val="1"/>
          <w:color w:val="FFFFFF"/>
        </w:rPr>
        <w:t>FUNDAMENTAL COMPENSATION PRINCIPLES</w:t>
      </w:r>
      <w:r>
        <w:rPr>
          <w:sz w:val="20"/>
          <w:szCs w:val="20"/>
          <w:color w:val="auto"/>
        </w:rPr>
        <w:tab/>
      </w:r>
      <w:r>
        <w:rPr>
          <w:rFonts w:ascii="Arial" w:cs="Arial" w:eastAsia="Arial" w:hAnsi="Arial"/>
          <w:sz w:val="29"/>
          <w:szCs w:val="29"/>
          <w:b w:val="1"/>
          <w:bCs w:val="1"/>
          <w:color w:val="FFFFFF"/>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-167005</wp:posOffset>
            </wp:positionV>
            <wp:extent cx="4029075" cy="1440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29075" cy="1440180"/>
                    </a:xfrm>
                    <a:prstGeom prst="rect">
                      <a:avLst/>
                    </a:prstGeom>
                    <a:noFill/>
                  </pic:spPr>
                </pic:pic>
              </a:graphicData>
            </a:graphic>
          </wp:anchor>
        </w:drawing>
      </w:r>
    </w:p>
    <w:p>
      <w:pPr>
        <w:spacing w:after="0" w:line="26" w:lineRule="exact"/>
        <w:rPr>
          <w:sz w:val="20"/>
          <w:szCs w:val="20"/>
          <w:color w:val="auto"/>
        </w:rPr>
      </w:pPr>
    </w:p>
    <w:p>
      <w:pPr>
        <w:ind w:left="2280" w:right="1800" w:hanging="94"/>
        <w:spacing w:after="0" w:line="274" w:lineRule="auto"/>
        <w:rPr>
          <w:sz w:val="20"/>
          <w:szCs w:val="20"/>
          <w:color w:val="auto"/>
        </w:rPr>
      </w:pPr>
      <w:r>
        <w:rPr>
          <w:rFonts w:ascii="Arial" w:cs="Arial" w:eastAsia="Arial" w:hAnsi="Arial"/>
          <w:sz w:val="18"/>
          <w:szCs w:val="18"/>
          <w:color w:val="auto"/>
        </w:rPr>
        <w:t>​ Attract, motivate, retain and reward the key leadership and managerial talent ​ needed for our Company to achieve its goals and objectives</w:t>
      </w:r>
    </w:p>
    <w:tbl>
      <w:tblPr>
        <w:tblLayout w:type="fixed"/>
        <w:tblInd w:w="2160" w:type="dxa"/>
        <w:tblCellMar>
          <w:top w:w="0" w:type="dxa"/>
          <w:left w:w="0" w:type="dxa"/>
          <w:bottom w:w="0" w:type="dxa"/>
          <w:right w:w="0" w:type="dxa"/>
        </w:tblCellMar>
      </w:tblPr>
      <w:tr>
        <w:trPr>
          <w:trHeight w:val="205"/>
        </w:trPr>
        <w:tc>
          <w:tcPr>
            <w:tcW w:w="6140" w:type="dxa"/>
            <w:vAlign w:val="bottom"/>
            <w:tcBorders>
              <w:top w:val="single" w:sz="8" w:color="auto"/>
            </w:tcBorders>
          </w:tcPr>
          <w:p>
            <w:pPr>
              <w:ind w:left="20"/>
              <w:spacing w:after="0" w:line="205" w:lineRule="exact"/>
              <w:rPr>
                <w:sz w:val="20"/>
                <w:szCs w:val="20"/>
                <w:color w:val="auto"/>
              </w:rPr>
            </w:pPr>
            <w:r>
              <w:rPr>
                <w:rFonts w:ascii="Arial" w:cs="Arial" w:eastAsia="Arial" w:hAnsi="Arial"/>
                <w:sz w:val="18"/>
                <w:szCs w:val="18"/>
                <w:color w:val="auto"/>
              </w:rPr>
              <w:t>​ Pay-for-performance, aligning the interests of our executives and</w:t>
            </w:r>
          </w:p>
        </w:tc>
        <w:tc>
          <w:tcPr>
            <w:tcW w:w="200" w:type="dxa"/>
            <w:vAlign w:val="bottom"/>
            <w:tcBorders>
              <w:top w:val="single" w:sz="8" w:color="auto"/>
            </w:tcBorders>
          </w:tcPr>
          <w:p>
            <w:pPr>
              <w:ind w:left="80"/>
              <w:spacing w:after="0" w:line="205" w:lineRule="exact"/>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shareholders through the use of performance-based short-term cash and</w:t>
            </w:r>
          </w:p>
        </w:tc>
        <w:tc>
          <w:tcPr>
            <w:tcW w:w="200" w:type="dxa"/>
            <w:vAlign w:val="bottom"/>
          </w:tcPr>
          <w:p>
            <w:pPr>
              <w:spacing w:after="0"/>
              <w:rPr>
                <w:sz w:val="18"/>
                <w:szCs w:val="18"/>
                <w:color w:val="auto"/>
              </w:rPr>
            </w:pPr>
          </w:p>
        </w:tc>
      </w:tr>
      <w:tr>
        <w:trPr>
          <w:trHeight w:val="239"/>
        </w:trPr>
        <w:tc>
          <w:tcPr>
            <w:tcW w:w="6140" w:type="dxa"/>
            <w:vAlign w:val="bottom"/>
          </w:tcPr>
          <w:p>
            <w:pPr>
              <w:ind w:left="120"/>
              <w:spacing w:after="0"/>
              <w:rPr>
                <w:sz w:val="20"/>
                <w:szCs w:val="20"/>
                <w:color w:val="auto"/>
              </w:rPr>
            </w:pPr>
            <w:r>
              <w:rPr>
                <w:rFonts w:ascii="Arial" w:cs="Arial" w:eastAsia="Arial" w:hAnsi="Arial"/>
                <w:sz w:val="18"/>
                <w:szCs w:val="18"/>
                <w:color w:val="auto"/>
              </w:rPr>
              <w:t>time- and performance-based long-term equity incentive compensation</w:t>
            </w:r>
          </w:p>
        </w:tc>
        <w:tc>
          <w:tcPr>
            <w:tcW w:w="200" w:type="dxa"/>
            <w:vAlign w:val="bottom"/>
          </w:tcPr>
          <w:p>
            <w:pPr>
              <w:spacing w:after="0"/>
              <w:rPr>
                <w:sz w:val="20"/>
                <w:szCs w:val="20"/>
                <w:color w:val="auto"/>
              </w:rPr>
            </w:pPr>
          </w:p>
        </w:tc>
      </w:tr>
      <w:tr>
        <w:trPr>
          <w:trHeight w:val="23"/>
        </w:trPr>
        <w:tc>
          <w:tcPr>
            <w:tcW w:w="6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14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Promote long-term value creation and growth strategies</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04"/>
        </w:trPr>
        <w:tc>
          <w:tcPr>
            <w:tcW w:w="6140" w:type="dxa"/>
            <w:vAlign w:val="bottom"/>
          </w:tcPr>
          <w:p>
            <w:pPr>
              <w:ind w:left="20"/>
              <w:spacing w:after="0" w:line="204" w:lineRule="exact"/>
              <w:rPr>
                <w:sz w:val="20"/>
                <w:szCs w:val="20"/>
                <w:color w:val="auto"/>
              </w:rPr>
            </w:pPr>
            <w:r>
              <w:rPr>
                <w:rFonts w:ascii="Arial" w:cs="Arial" w:eastAsia="Arial" w:hAnsi="Arial"/>
                <w:sz w:val="18"/>
                <w:szCs w:val="18"/>
                <w:color w:val="auto"/>
              </w:rPr>
              <w:t>​ Ensure line-of-sight between key performance measures that are indicative</w:t>
            </w:r>
          </w:p>
        </w:tc>
        <w:tc>
          <w:tcPr>
            <w:tcW w:w="200" w:type="dxa"/>
            <w:vAlign w:val="bottom"/>
          </w:tcPr>
          <w:p>
            <w:pPr>
              <w:ind w:left="80"/>
              <w:spacing w:after="0" w:line="204" w:lineRule="exact"/>
              <w:rPr>
                <w:sz w:val="20"/>
                <w:szCs w:val="20"/>
                <w:color w:val="auto"/>
              </w:rPr>
            </w:pPr>
            <w:r>
              <w:rPr>
                <w:rFonts w:ascii="Arial" w:cs="Arial" w:eastAsia="Arial" w:hAnsi="Arial"/>
                <w:sz w:val="18"/>
                <w:szCs w:val="18"/>
                <w:color w:val="auto"/>
              </w:rPr>
              <w:t>​</w:t>
            </w:r>
          </w:p>
        </w:tc>
      </w:tr>
      <w:tr>
        <w:trPr>
          <w:trHeight w:val="239"/>
        </w:trPr>
        <w:tc>
          <w:tcPr>
            <w:tcW w:w="6140" w:type="dxa"/>
            <w:vAlign w:val="bottom"/>
          </w:tcPr>
          <w:p>
            <w:pPr>
              <w:ind w:left="120"/>
              <w:spacing w:after="0"/>
              <w:rPr>
                <w:sz w:val="20"/>
                <w:szCs w:val="20"/>
                <w:color w:val="auto"/>
              </w:rPr>
            </w:pPr>
            <w:r>
              <w:rPr>
                <w:rFonts w:ascii="Arial" w:cs="Arial" w:eastAsia="Arial" w:hAnsi="Arial"/>
                <w:sz w:val="18"/>
                <w:szCs w:val="18"/>
                <w:color w:val="auto"/>
              </w:rPr>
              <w:t>of Company growth and gains in shareholder value and actual results</w:t>
            </w:r>
          </w:p>
        </w:tc>
        <w:tc>
          <w:tcPr>
            <w:tcW w:w="200" w:type="dxa"/>
            <w:vAlign w:val="bottom"/>
          </w:tcPr>
          <w:p>
            <w:pPr>
              <w:spacing w:after="0"/>
              <w:rPr>
                <w:sz w:val="20"/>
                <w:szCs w:val="20"/>
                <w:color w:val="auto"/>
              </w:rPr>
            </w:pPr>
          </w:p>
        </w:tc>
      </w:tr>
    </w:tbl>
    <w:p>
      <w:pPr>
        <w:spacing w:after="0" w:line="126" w:lineRule="exact"/>
        <w:rPr>
          <w:sz w:val="20"/>
          <w:szCs w:val="20"/>
          <w:color w:val="auto"/>
        </w:rPr>
      </w:pPr>
    </w:p>
    <w:p>
      <w:pPr>
        <w:ind w:left="440" w:right="340"/>
        <w:spacing w:after="0" w:line="268" w:lineRule="auto"/>
        <w:rPr>
          <w:sz w:val="20"/>
          <w:szCs w:val="20"/>
          <w:color w:val="auto"/>
        </w:rPr>
      </w:pPr>
      <w:r>
        <w:rPr>
          <w:rFonts w:ascii="Arial" w:cs="Arial" w:eastAsia="Arial" w:hAnsi="Arial"/>
          <w:sz w:val="18"/>
          <w:szCs w:val="18"/>
          <w:color w:val="auto"/>
        </w:rPr>
        <w:t>We believe our compensation program and the underlying philosophy and principles will encourage sustained long-term profitability by making a significant portion of each NEO’s total direct compensation variable and dependent on our achievement of pre-determined financial and operational performance objectives.</w:t>
      </w:r>
    </w:p>
    <w:p>
      <w:pPr>
        <w:spacing w:after="0" w:line="63" w:lineRule="exact"/>
        <w:rPr>
          <w:sz w:val="20"/>
          <w:szCs w:val="20"/>
          <w:color w:val="auto"/>
        </w:rPr>
      </w:pPr>
    </w:p>
    <w:p>
      <w:pPr>
        <w:ind w:left="440" w:right="60"/>
        <w:spacing w:after="0" w:line="282" w:lineRule="auto"/>
        <w:rPr>
          <w:sz w:val="20"/>
          <w:szCs w:val="20"/>
          <w:color w:val="auto"/>
        </w:rPr>
      </w:pPr>
      <w:r>
        <w:rPr>
          <w:rFonts w:ascii="Arial" w:cs="Arial" w:eastAsia="Arial" w:hAnsi="Arial"/>
          <w:sz w:val="17"/>
          <w:szCs w:val="17"/>
          <w:color w:val="auto"/>
        </w:rPr>
        <w:t>The form and level of compensation for each NEO are determined after considering several factors, including the executive’s position and responsibility within Weatherford, recent performance appraisals, and competitive market data and other external market-based factors. The Committee uses this information when establishing compensation opportunities to arrive at a comprehensive package that emphasizes pay for performance and is competitive in the marketplace.</w:t>
      </w:r>
    </w:p>
    <w:p>
      <w:pPr>
        <w:spacing w:after="0" w:line="53" w:lineRule="exact"/>
        <w:rPr>
          <w:sz w:val="20"/>
          <w:szCs w:val="20"/>
          <w:color w:val="auto"/>
        </w:rPr>
      </w:pPr>
    </w:p>
    <w:p>
      <w:pPr>
        <w:ind w:left="440" w:right="200"/>
        <w:spacing w:after="0" w:line="287" w:lineRule="auto"/>
        <w:rPr>
          <w:sz w:val="20"/>
          <w:szCs w:val="20"/>
          <w:color w:val="auto"/>
        </w:rPr>
      </w:pPr>
      <w:r>
        <w:rPr>
          <w:rFonts w:ascii="Arial" w:cs="Arial" w:eastAsia="Arial" w:hAnsi="Arial"/>
          <w:sz w:val="18"/>
          <w:szCs w:val="18"/>
          <w:color w:val="auto"/>
        </w:rPr>
        <w:t>The Committee reviewed and considered this philosophy in January 2021 and again in October 2021, and will continue to do so from time to time as necessary or appropriate, making adjustments as needed.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2021 PRIMARY ELEMENTS OF COMPENSATION</w:t>
      </w:r>
    </w:p>
    <w:p>
      <w:pPr>
        <w:spacing w:after="0" w:line="114"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The primary elements of total compensation are base salary, annual short-term (cash) incentives and long-term incentive compensation awards. In 2020, while on the path to improving the Company’s operating profile and strengthening the value of our equity, the Company mainly provided long-term incentive compensation in the form of cash awards. In 2021, with the vision to rejoining a national stock exchange, we reinstituted the Company’s equity program pursuant to our 2019 EIP, including the use of phantom RSUs (“Phantom RSUs”) structured to be settled all in cash, all in shares, or in any combination of cash and shares at the Committee’s sole discretion. These awards were designed as a means to preserve the longevity of available shares under our equity plan at a time when we believed our equity was undervalued in the marketplace. In addition, we also used more traditional long-term equity-based incentive vehicles, including RSUs and performance share units (“PSUs”). In November 2021, we introduced the WAGE Program, through which we granted a one-time performance award to our key executives and certain other employees to incentivize dramatic improvement in Weatherford’s operating profile by December 31, 2024. In addition to these compensation components, we also provide our NEOs certain benefit plans, which are described under “Perquisites and Other Generally Available Benefits and Compensation” section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2505710</wp:posOffset>
            </wp:positionV>
            <wp:extent cx="6231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hanging="282"/>
        <w:spacing w:after="0"/>
        <w:tabs>
          <w:tab w:leader="none" w:pos="720" w:val="left"/>
        </w:tabs>
        <w:numPr>
          <w:ilvl w:val="0"/>
          <w:numId w:val="2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2021 fiscal year, the pay mix at target for the CEO and the average for the other current NEOs is significantly</w:t>
      </w:r>
    </w:p>
    <w:p>
      <w:pPr>
        <w:ind w:left="440"/>
        <w:spacing w:after="0" w:line="234" w:lineRule="auto"/>
        <w:rPr>
          <w:sz w:val="20"/>
          <w:szCs w:val="20"/>
          <w:color w:val="auto"/>
        </w:rPr>
      </w:pPr>
      <w:r>
        <w:rPr>
          <w:rFonts w:ascii="Arial" w:cs="Arial" w:eastAsia="Arial" w:hAnsi="Arial"/>
          <w:sz w:val="18"/>
          <w:szCs w:val="18"/>
          <w:color w:val="auto"/>
        </w:rPr>
        <w:t>variable and at risk. The following table summarizes the primary elements of our NEOs’ compensation package and the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2021 compensation mix at target for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92075</wp:posOffset>
            </wp:positionV>
            <wp:extent cx="5888990" cy="7294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88990"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0" w:hanging="362"/>
        <w:spacing w:after="0"/>
        <w:tabs>
          <w:tab w:leader="none" w:pos="800" w:val="left"/>
        </w:tabs>
        <w:numPr>
          <w:ilvl w:val="0"/>
          <w:numId w:val="30"/>
        </w:numPr>
        <w:rPr>
          <w:rFonts w:ascii="Arial" w:cs="Arial" w:eastAsia="Arial" w:hAnsi="Arial"/>
          <w:sz w:val="14"/>
          <w:szCs w:val="14"/>
          <w:color w:val="BA0C2F"/>
        </w:rPr>
      </w:pPr>
      <w:r>
        <w:rPr>
          <w:rFonts w:ascii="Arial" w:cs="Arial" w:eastAsia="Arial" w:hAnsi="Arial"/>
          <w:sz w:val="14"/>
          <w:szCs w:val="14"/>
          <w:color w:val="auto"/>
        </w:rPr>
        <w:t>The WAGE Program was a 2021 program only and will not be a reward vehicle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152400</wp:posOffset>
            </wp:positionV>
            <wp:extent cx="6231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51"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COMPENSATION DECISION MAKING PROCESS</w:t>
      </w:r>
    </w:p>
    <w:p>
      <w:pPr>
        <w:spacing w:after="0" w:line="114"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The Committee reviews the design of our NEO compensation program at least annually, including whether the risks arising from our compensation policies and practices are reasonably likely to have a material adverse effect on the Company. The Committee assesses whether compensation programs used in prior years have successfully achieved our compensation objectives. It also considers how our compensation program is designed to achieve our long-term financial and operating goals. The Committee has retained LB&amp;Co. to help analyze specific comparative market data. Certain members of management participate in this process by assembling and summarizing data used. In 2021, the Committee and LB&amp;Co. reviewed our compensation policies and practices in January 2021, with a focus on re-instituting the Company’s equity compensation program in light of the intention to list the Company’s ordinary shares on a national stock exchange. In October 2021, the Committee and LB&amp;Co. undertook a comprehensive review of executive compensation programs and implemented several design changes to align the program with industry peers. The Committee has determined that the risks arising from our compensation policies and practices sufficiently avoid encouraging unnecessary or excessive risk-taking and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5670550</wp:posOffset>
            </wp:positionV>
            <wp:extent cx="6231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20" w:hanging="282"/>
        <w:spacing w:after="0"/>
        <w:tabs>
          <w:tab w:leader="none" w:pos="720" w:val="left"/>
        </w:tabs>
        <w:numPr>
          <w:ilvl w:val="0"/>
          <w:numId w:val="3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ROLES IN THE PROCESS</w:t>
      </w:r>
    </w:p>
    <w:p>
      <w:pPr>
        <w:spacing w:after="0" w:line="114" w:lineRule="exact"/>
        <w:rPr>
          <w:sz w:val="20"/>
          <w:szCs w:val="20"/>
          <w:color w:val="auto"/>
        </w:rPr>
      </w:pPr>
    </w:p>
    <w:p>
      <w:pPr>
        <w:ind w:left="440" w:right="180"/>
        <w:spacing w:after="0" w:line="268" w:lineRule="auto"/>
        <w:rPr>
          <w:sz w:val="20"/>
          <w:szCs w:val="20"/>
          <w:color w:val="auto"/>
        </w:rPr>
      </w:pPr>
      <w:r>
        <w:rPr>
          <w:rFonts w:ascii="Arial" w:cs="Arial" w:eastAsia="Arial" w:hAnsi="Arial"/>
          <w:sz w:val="18"/>
          <w:szCs w:val="18"/>
          <w:color w:val="auto"/>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p>
    <w:p>
      <w:pPr>
        <w:sectPr>
          <w:pgSz w:w="11900" w:h="16838" w:orient="portrait"/>
          <w:cols w:equalWidth="0" w:num="1">
            <w:col w:w="10280"/>
          </w:cols>
          <w:pgMar w:left="580" w:top="97" w:right="1039" w:bottom="1440" w:gutter="0" w:footer="0" w:header="0"/>
        </w:sectPr>
      </w:pPr>
    </w:p>
    <w:p>
      <w:pPr>
        <w:spacing w:after="0" w:line="56"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252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Party</w:t>
            </w:r>
            <w:r>
              <w:rPr>
                <w:rFonts w:ascii="Arial" w:cs="Arial" w:eastAsia="Arial" w:hAnsi="Arial"/>
                <w:sz w:val="17"/>
                <w:szCs w:val="17"/>
                <w:b w:val="1"/>
                <w:bCs w:val="1"/>
                <w:color w:val="FFFFFF"/>
                <w:vertAlign w:val="superscript"/>
              </w:rPr>
              <w:t>(1)</w:t>
            </w:r>
          </w:p>
        </w:tc>
        <w:tc>
          <w:tcPr>
            <w:tcW w:w="7280" w:type="dxa"/>
            <w:vAlign w:val="bottom"/>
            <w:tcBorders>
              <w:bottom w:val="single" w:sz="8" w:color="auto"/>
            </w:tcBorders>
            <w:gridSpan w:val="2"/>
            <w:shd w:val="clear" w:color="auto" w:fill="BA0C2F"/>
          </w:tcPr>
          <w:p>
            <w:pPr>
              <w:ind w:left="14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Primary Role(s)</w:t>
            </w:r>
          </w:p>
        </w:tc>
        <w:tc>
          <w:tcPr>
            <w:tcW w:w="0" w:type="dxa"/>
            <w:vAlign w:val="bottom"/>
          </w:tcPr>
          <w:p>
            <w:pPr>
              <w:spacing w:after="0"/>
              <w:rPr>
                <w:sz w:val="1"/>
                <w:szCs w:val="1"/>
                <w:color w:val="auto"/>
              </w:rPr>
            </w:pPr>
          </w:p>
        </w:tc>
      </w:tr>
      <w:tr>
        <w:trPr>
          <w:trHeight w:val="258"/>
        </w:trPr>
        <w:tc>
          <w:tcPr>
            <w:tcW w:w="2520" w:type="dxa"/>
            <w:vAlign w:val="bottom"/>
          </w:tcPr>
          <w:p>
            <w:pPr>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Committee</w:t>
            </w:r>
          </w:p>
        </w:tc>
        <w:tc>
          <w:tcPr>
            <w:tcW w:w="7280" w:type="dxa"/>
            <w:vAlign w:val="bottom"/>
            <w:gridSpan w:val="2"/>
          </w:tcPr>
          <w:p>
            <w:pPr>
              <w:ind w:left="140"/>
              <w:spacing w:after="0" w:line="258"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6"/>
                <w:szCs w:val="16"/>
                <w:color w:val="BA0C2F"/>
              </w:rPr>
              <w:t xml:space="preserve"> • </w:t>
            </w:r>
            <w:r>
              <w:rPr>
                <w:rFonts w:ascii="Arial" w:cs="Arial" w:eastAsia="Arial" w:hAnsi="Arial"/>
                <w:sz w:val="16"/>
                <w:szCs w:val="16"/>
                <w:color w:val="000000"/>
              </w:rPr>
              <w:t>Oversees all aspects of the executive compensation program, evaluates and</w:t>
            </w:r>
          </w:p>
        </w:tc>
        <w:tc>
          <w:tcPr>
            <w:tcW w:w="0" w:type="dxa"/>
            <w:vAlign w:val="bottom"/>
          </w:tcPr>
          <w:p>
            <w:pPr>
              <w:spacing w:after="0"/>
              <w:rPr>
                <w:sz w:val="1"/>
                <w:szCs w:val="1"/>
                <w:color w:val="auto"/>
              </w:rPr>
            </w:pP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(Composed of 3 Independent</w:t>
            </w: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determines the appropriate executive compensation philosophy and objectives for</w:t>
            </w:r>
          </w:p>
        </w:tc>
        <w:tc>
          <w:tcPr>
            <w:tcW w:w="0" w:type="dxa"/>
            <w:vAlign w:val="bottom"/>
          </w:tcPr>
          <w:p>
            <w:pPr>
              <w:spacing w:after="0"/>
              <w:rPr>
                <w:sz w:val="1"/>
                <w:szCs w:val="1"/>
                <w:color w:val="auto"/>
              </w:rPr>
            </w:pPr>
          </w:p>
        </w:tc>
      </w:tr>
      <w:tr>
        <w:trPr>
          <w:trHeight w:val="216"/>
        </w:trPr>
        <w:tc>
          <w:tcPr>
            <w:tcW w:w="2520" w:type="dxa"/>
            <w:vAlign w:val="bottom"/>
          </w:tcPr>
          <w:p>
            <w:pPr>
              <w:ind w:left="60"/>
              <w:spacing w:after="0"/>
              <w:rPr>
                <w:sz w:val="20"/>
                <w:szCs w:val="20"/>
                <w:color w:val="auto"/>
              </w:rPr>
            </w:pPr>
            <w:r>
              <w:rPr>
                <w:rFonts w:ascii="Arial" w:cs="Arial" w:eastAsia="Arial" w:hAnsi="Arial"/>
                <w:sz w:val="18"/>
                <w:szCs w:val="18"/>
                <w:color w:val="auto"/>
              </w:rPr>
              <w:t>Directors)</w:t>
            </w: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Weatherford, the process for establishing executive compensation and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appropriate design of our executive compensation program and compensation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arrangements</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Reviews and approves our overall executive compensation programs and practices,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including goals and objectives for our short- and long-term incentive plans, and sets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the compensation of our executive officers</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Determines compensation for our executive officers, other than our CEO,</w:t>
            </w:r>
          </w:p>
        </w:tc>
        <w:tc>
          <w:tcPr>
            <w:tcW w:w="0" w:type="dxa"/>
            <w:vAlign w:val="bottom"/>
          </w:tcPr>
          <w:p>
            <w:pPr>
              <w:spacing w:after="0"/>
              <w:rPr>
                <w:sz w:val="1"/>
                <w:szCs w:val="1"/>
                <w:color w:val="auto"/>
              </w:rPr>
            </w:pPr>
          </w:p>
        </w:tc>
      </w:tr>
      <w:tr>
        <w:trPr>
          <w:trHeight w:val="229"/>
        </w:trPr>
        <w:tc>
          <w:tcPr>
            <w:tcW w:w="2520" w:type="dxa"/>
            <w:vAlign w:val="bottom"/>
            <w:vMerge w:val="restart"/>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p>
        </w:tc>
        <w:tc>
          <w:tcPr>
            <w:tcW w:w="6800" w:type="dxa"/>
            <w:vAlign w:val="bottom"/>
          </w:tcPr>
          <w:p>
            <w:pPr>
              <w:ind w:left="60"/>
              <w:spacing w:after="0"/>
              <w:rPr>
                <w:sz w:val="20"/>
                <w:szCs w:val="20"/>
                <w:color w:val="auto"/>
              </w:rPr>
            </w:pPr>
            <w:r>
              <w:rPr>
                <w:rFonts w:ascii="Arial" w:cs="Arial" w:eastAsia="Arial" w:hAnsi="Arial"/>
                <w:sz w:val="18"/>
                <w:szCs w:val="18"/>
                <w:color w:val="auto"/>
              </w:rPr>
              <w:t>considering, among other things, the recommendations of our CEO</w:t>
            </w:r>
          </w:p>
        </w:tc>
        <w:tc>
          <w:tcPr>
            <w:tcW w:w="0" w:type="dxa"/>
            <w:vAlign w:val="bottom"/>
          </w:tcPr>
          <w:p>
            <w:pPr>
              <w:spacing w:after="0"/>
              <w:rPr>
                <w:sz w:val="1"/>
                <w:szCs w:val="1"/>
                <w:color w:val="auto"/>
              </w:rPr>
            </w:pPr>
          </w:p>
        </w:tc>
      </w:tr>
      <w:tr>
        <w:trPr>
          <w:trHeight w:val="229"/>
        </w:trPr>
        <w:tc>
          <w:tcPr>
            <w:tcW w:w="25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Recommends to the full Board for approval of the compensation of the CEO</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Supported in its work by LB&amp;Co., its independent compensation consultant;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Committee is, however, solely responsible for making the final decisions 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compensation for our NEOs</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Selects, approves, retains, terminates and oversees compensation consultants, and</w:t>
            </w: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any other advisor, to the Committee</w:t>
            </w:r>
          </w:p>
        </w:tc>
        <w:tc>
          <w:tcPr>
            <w:tcW w:w="0" w:type="dxa"/>
            <w:vAlign w:val="bottom"/>
          </w:tcPr>
          <w:p>
            <w:pPr>
              <w:spacing w:after="0"/>
              <w:rPr>
                <w:sz w:val="1"/>
                <w:szCs w:val="1"/>
                <w:color w:val="auto"/>
              </w:rPr>
            </w:pPr>
          </w:p>
        </w:tc>
      </w:tr>
      <w:tr>
        <w:trPr>
          <w:trHeight w:val="37"/>
        </w:trPr>
        <w:tc>
          <w:tcPr>
            <w:tcW w:w="2520" w:type="dxa"/>
            <w:vAlign w:val="bottom"/>
            <w:tcBorders>
              <w:bottom w:val="single" w:sz="8" w:color="7F7F7F"/>
            </w:tcBorders>
          </w:tcPr>
          <w:p>
            <w:pPr>
              <w:spacing w:after="0"/>
              <w:rPr>
                <w:sz w:val="3"/>
                <w:szCs w:val="3"/>
                <w:color w:val="auto"/>
              </w:rPr>
            </w:pPr>
          </w:p>
        </w:tc>
        <w:tc>
          <w:tcPr>
            <w:tcW w:w="7280" w:type="dxa"/>
            <w:vAlign w:val="bottom"/>
            <w:tcBorders>
              <w:bottom w:val="single" w:sz="8" w:color="7F7F7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line="204" w:lineRule="exact"/>
              <w:rPr>
                <w:sz w:val="20"/>
                <w:szCs w:val="20"/>
                <w:color w:val="auto"/>
              </w:rPr>
            </w:pPr>
            <w:r>
              <w:rPr>
                <w:rFonts w:ascii="Arial" w:cs="Arial" w:eastAsia="Arial" w:hAnsi="Arial"/>
                <w:sz w:val="18"/>
                <w:szCs w:val="18"/>
                <w:color w:val="auto"/>
              </w:rPr>
              <w:t>​Independent Compensation</w:t>
            </w:r>
          </w:p>
        </w:tc>
        <w:tc>
          <w:tcPr>
            <w:tcW w:w="728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Provides advice and support to the Committee in the design and implementation of</w:t>
            </w:r>
          </w:p>
        </w:tc>
        <w:tc>
          <w:tcPr>
            <w:tcW w:w="0" w:type="dxa"/>
            <w:vAlign w:val="bottom"/>
          </w:tcPr>
          <w:p>
            <w:pPr>
              <w:spacing w:after="0"/>
              <w:rPr>
                <w:sz w:val="1"/>
                <w:szCs w:val="1"/>
                <w:color w:val="auto"/>
              </w:rPr>
            </w:pPr>
          </w:p>
        </w:tc>
      </w:tr>
      <w:tr>
        <w:trPr>
          <w:trHeight w:val="239"/>
        </w:trPr>
        <w:tc>
          <w:tcPr>
            <w:tcW w:w="2520" w:type="dxa"/>
            <w:vAlign w:val="bottom"/>
          </w:tcPr>
          <w:p>
            <w:pPr>
              <w:ind w:left="60"/>
              <w:spacing w:after="0"/>
              <w:rPr>
                <w:sz w:val="20"/>
                <w:szCs w:val="20"/>
                <w:color w:val="auto"/>
              </w:rPr>
            </w:pPr>
            <w:r>
              <w:rPr>
                <w:rFonts w:ascii="Arial" w:cs="Arial" w:eastAsia="Arial" w:hAnsi="Arial"/>
                <w:sz w:val="18"/>
                <w:szCs w:val="18"/>
                <w:color w:val="auto"/>
              </w:rPr>
              <w:t>Consultant (LB&amp;Co.)</w:t>
            </w:r>
          </w:p>
        </w:tc>
        <w:tc>
          <w:tcPr>
            <w:tcW w:w="480" w:type="dxa"/>
            <w:vAlign w:val="bottom"/>
          </w:tcPr>
          <w:p>
            <w:pPr>
              <w:spacing w:after="0"/>
              <w:rPr>
                <w:sz w:val="20"/>
                <w:szCs w:val="20"/>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Weatherford’s executive and director compensation programs</w:t>
            </w: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Partners with management to develop and/or refresh the Company’s peer group;</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provides compensation benchmarking analyses as often as required by events or</w:t>
            </w:r>
          </w:p>
        </w:tc>
        <w:tc>
          <w:tcPr>
            <w:tcW w:w="0" w:type="dxa"/>
            <w:vAlign w:val="bottom"/>
          </w:tcPr>
          <w:p>
            <w:pPr>
              <w:spacing w:after="0"/>
              <w:rPr>
                <w:sz w:val="1"/>
                <w:szCs w:val="1"/>
                <w:color w:val="auto"/>
              </w:rPr>
            </w:pPr>
          </w:p>
        </w:tc>
      </w:tr>
      <w:tr>
        <w:trPr>
          <w:trHeight w:val="239"/>
        </w:trPr>
        <w:tc>
          <w:tcPr>
            <w:tcW w:w="2520" w:type="dxa"/>
            <w:vAlign w:val="bottom"/>
            <w:vMerge w:val="restart"/>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p>
        </w:tc>
        <w:tc>
          <w:tcPr>
            <w:tcW w:w="6800" w:type="dxa"/>
            <w:vAlign w:val="bottom"/>
          </w:tcPr>
          <w:p>
            <w:pPr>
              <w:ind w:left="60"/>
              <w:spacing w:after="0"/>
              <w:rPr>
                <w:sz w:val="20"/>
                <w:szCs w:val="20"/>
                <w:color w:val="auto"/>
              </w:rPr>
            </w:pPr>
            <w:r>
              <w:rPr>
                <w:rFonts w:ascii="Arial" w:cs="Arial" w:eastAsia="Arial" w:hAnsi="Arial"/>
                <w:sz w:val="18"/>
                <w:szCs w:val="18"/>
                <w:color w:val="auto"/>
              </w:rPr>
              <w:t>requested by the Committee, but at least annually</w:t>
            </w:r>
          </w:p>
        </w:tc>
        <w:tc>
          <w:tcPr>
            <w:tcW w:w="0" w:type="dxa"/>
            <w:vAlign w:val="bottom"/>
          </w:tcPr>
          <w:p>
            <w:pPr>
              <w:spacing w:after="0"/>
              <w:rPr>
                <w:sz w:val="1"/>
                <w:szCs w:val="1"/>
                <w:color w:val="auto"/>
              </w:rPr>
            </w:pPr>
          </w:p>
        </w:tc>
      </w:tr>
      <w:tr>
        <w:trPr>
          <w:trHeight w:val="220"/>
        </w:trPr>
        <w:tc>
          <w:tcPr>
            <w:tcW w:w="25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Keeps the Committee and the Company abreast of trends, developments and</w:t>
            </w:r>
          </w:p>
        </w:tc>
        <w:tc>
          <w:tcPr>
            <w:tcW w:w="0" w:type="dxa"/>
            <w:vAlign w:val="bottom"/>
          </w:tcPr>
          <w:p>
            <w:pPr>
              <w:spacing w:after="0"/>
              <w:rPr>
                <w:sz w:val="1"/>
                <w:szCs w:val="1"/>
                <w:color w:val="auto"/>
              </w:rPr>
            </w:pPr>
          </w:p>
        </w:tc>
      </w:tr>
      <w:tr>
        <w:trPr>
          <w:trHeight w:val="230"/>
        </w:trPr>
        <w:tc>
          <w:tcPr>
            <w:tcW w:w="2520" w:type="dxa"/>
            <w:vAlign w:val="bottom"/>
            <w:vMerge w:val="restart"/>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p>
        </w:tc>
        <w:tc>
          <w:tcPr>
            <w:tcW w:w="6800" w:type="dxa"/>
            <w:vAlign w:val="bottom"/>
          </w:tcPr>
          <w:p>
            <w:pPr>
              <w:ind w:left="60"/>
              <w:spacing w:after="0"/>
              <w:rPr>
                <w:sz w:val="20"/>
                <w:szCs w:val="20"/>
                <w:color w:val="auto"/>
              </w:rPr>
            </w:pPr>
            <w:r>
              <w:rPr>
                <w:rFonts w:ascii="Arial" w:cs="Arial" w:eastAsia="Arial" w:hAnsi="Arial"/>
                <w:sz w:val="18"/>
                <w:szCs w:val="18"/>
                <w:color w:val="auto"/>
              </w:rPr>
              <w:t>regulatory changes as they relate to executive and director compensation</w:t>
            </w:r>
          </w:p>
        </w:tc>
        <w:tc>
          <w:tcPr>
            <w:tcW w:w="0" w:type="dxa"/>
            <w:vAlign w:val="bottom"/>
          </w:tcPr>
          <w:p>
            <w:pPr>
              <w:spacing w:after="0"/>
              <w:rPr>
                <w:sz w:val="1"/>
                <w:szCs w:val="1"/>
                <w:color w:val="auto"/>
              </w:rPr>
            </w:pPr>
          </w:p>
        </w:tc>
      </w:tr>
      <w:tr>
        <w:trPr>
          <w:trHeight w:val="230"/>
        </w:trPr>
        <w:tc>
          <w:tcPr>
            <w:tcW w:w="25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Reviews management proposals, as requested</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Makes recommendations regarding pay for the CEO, as well as other executives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under the purview of the Committee</w:t>
            </w: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BA0C2F"/>
              </w:rPr>
              <w:t>•</w:t>
            </w:r>
            <w:r>
              <w:rPr>
                <w:rFonts w:ascii="Arial" w:cs="Arial" w:eastAsia="Arial" w:hAnsi="Arial"/>
                <w:sz w:val="18"/>
                <w:szCs w:val="18"/>
                <w:color w:val="auto"/>
              </w:rPr>
              <w:t xml:space="preserve"> At the Committee’s request, regularly attends meetings of the Committee</w:t>
            </w:r>
          </w:p>
        </w:tc>
        <w:tc>
          <w:tcPr>
            <w:tcW w:w="0" w:type="dxa"/>
            <w:vAlign w:val="bottom"/>
          </w:tcPr>
          <w:p>
            <w:pPr>
              <w:spacing w:after="0"/>
              <w:rPr>
                <w:sz w:val="1"/>
                <w:szCs w:val="1"/>
                <w:color w:val="auto"/>
              </w:rPr>
            </w:pPr>
          </w:p>
        </w:tc>
      </w:tr>
      <w:tr>
        <w:trPr>
          <w:trHeight w:val="50"/>
        </w:trPr>
        <w:tc>
          <w:tcPr>
            <w:tcW w:w="25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sectPr>
          <w:pgSz w:w="11900" w:h="16838" w:orient="portrait"/>
          <w:cols w:equalWidth="0" w:num="2">
            <w:col w:w="10240" w:space="0"/>
            <w:col w:w="40"/>
          </w:cols>
          <w:pgMar w:left="580" w:top="97" w:right="1039" w:bottom="1440" w:gutter="0" w:footer="0" w:header="0"/>
          <w:type w:val="continuous"/>
        </w:sectPr>
      </w:pPr>
    </w:p>
    <w:p>
      <w:pPr>
        <w:ind w:left="800" w:right="160" w:hanging="362"/>
        <w:spacing w:after="0" w:line="282" w:lineRule="auto"/>
        <w:tabs>
          <w:tab w:leader="none" w:pos="800" w:val="left"/>
        </w:tabs>
        <w:numPr>
          <w:ilvl w:val="0"/>
          <w:numId w:val="32"/>
        </w:numPr>
        <w:rPr>
          <w:rFonts w:ascii="Arial" w:cs="Arial" w:eastAsia="Arial" w:hAnsi="Arial"/>
          <w:sz w:val="14"/>
          <w:szCs w:val="14"/>
          <w:color w:val="BA0C2F"/>
        </w:rPr>
      </w:pPr>
      <w:r>
        <w:rPr>
          <w:rFonts w:ascii="Arial" w:cs="Arial" w:eastAsia="Arial" w:hAnsi="Arial"/>
          <w:sz w:val="14"/>
          <w:szCs w:val="14"/>
          <w:color w:val="auto"/>
        </w:rPr>
        <w:t>All of the persons serving on the Committee were independent, as defined by the Nasdaq listing standards and applicable rules of the SEC, and satisfied the qualification standards of Section 16 of the Exchange Act. The Committee assessed the independence of LB&amp;Co. under the applicable SEC and Nasdaq standards as required by its charter and concluded that LB&amp;Co. is independent of the Company and management and that LB&amp;Co.’s work has not raised any conflicts of interest.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STEPS IN THE PROCESS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process for establishing executive compensation for each of the NEOs involves multiple steps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111760</wp:posOffset>
            </wp:positionV>
            <wp:extent cx="4603115" cy="436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031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b w:val="1"/>
          <w:bCs w:val="1"/>
          <w:color w:val="auto"/>
        </w:rPr>
        <w:t>Finalize Peer Group and Access Market Data</w:t>
      </w:r>
      <w:r>
        <w:rPr>
          <w:rFonts w:ascii="Arial" w:cs="Arial" w:eastAsia="Arial" w:hAnsi="Arial"/>
          <w:sz w:val="18"/>
          <w:szCs w:val="18"/>
          <w:color w:val="auto"/>
        </w:rPr>
        <w:t>. Consistent with our executive compensation philosophy, in October 2021</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consultation with LB&amp;Co., reviewed and updated our benchmark peer group for compensation comparison purposes. Based on proxy data collected by LB&amp;Co. and the management team, the Committee determined a group of companies to comprise the peer group based upon similarities in industry/sub-industry, size, revenue and market cap, business model, and product offerings. While certain of the companies listed in the peer group have larger annual revenues or are not direct competitors to Weatherford, the Committee believed that this updated peer group provides a more accurate representation of market factors necessary to ensure competitive compensation opportunities are being provided at Weatherford in order to effectively attract, motivate, and retain the talented executives needed to lead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118110</wp:posOffset>
            </wp:positionV>
            <wp:extent cx="6231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9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2021, the Peer Group consisted of:</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Helmerich &amp; Payne, Inc.</w:t>
            </w:r>
          </w:p>
        </w:tc>
        <w:tc>
          <w:tcPr>
            <w:tcW w:w="580" w:type="dxa"/>
            <w:vAlign w:val="bottom"/>
          </w:tcPr>
          <w:p>
            <w:pPr>
              <w:ind w:left="400"/>
              <w:spacing w:after="0"/>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NOV, Inc.</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000" w:type="dxa"/>
            <w:vAlign w:val="bottom"/>
          </w:tcPr>
          <w:p>
            <w:pPr>
              <w:spacing w:after="0" w:line="103" w:lineRule="exact"/>
              <w:rPr>
                <w:sz w:val="20"/>
                <w:szCs w:val="20"/>
                <w:color w:val="auto"/>
              </w:rPr>
            </w:pPr>
            <w:r>
              <w:rPr>
                <w:rFonts w:ascii="Arial" w:cs="Arial" w:eastAsia="Arial" w:hAnsi="Arial"/>
                <w:sz w:val="11"/>
                <w:szCs w:val="11"/>
                <w:color w:val="auto"/>
              </w:rPr>
              <w:t>ChampionX Corporation</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5"/>
                <w:szCs w:val="15"/>
                <w:color w:val="auto"/>
              </w:rPr>
            </w:pPr>
          </w:p>
        </w:tc>
        <w:tc>
          <w:tcPr>
            <w:tcW w:w="66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Ingersoll Rand Inc.</w:t>
            </w:r>
          </w:p>
        </w:tc>
        <w:tc>
          <w:tcPr>
            <w:tcW w:w="580" w:type="dxa"/>
            <w:vAlign w:val="bottom"/>
          </w:tcPr>
          <w:p>
            <w:pPr>
              <w:ind w:left="400"/>
              <w:spacing w:after="0" w:line="181" w:lineRule="exact"/>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Oceaneering International, Inc.</w:t>
            </w:r>
          </w:p>
        </w:tc>
        <w:tc>
          <w:tcPr>
            <w:tcW w:w="3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000" w:type="dxa"/>
            <w:vAlign w:val="bottom"/>
          </w:tcPr>
          <w:p>
            <w:pPr>
              <w:spacing w:after="0" w:line="103" w:lineRule="exact"/>
              <w:rPr>
                <w:sz w:val="20"/>
                <w:szCs w:val="20"/>
                <w:color w:val="auto"/>
              </w:rPr>
            </w:pPr>
            <w:r>
              <w:rPr>
                <w:rFonts w:ascii="Arial" w:cs="Arial" w:eastAsia="Arial" w:hAnsi="Arial"/>
                <w:sz w:val="11"/>
                <w:szCs w:val="11"/>
                <w:color w:val="auto"/>
              </w:rPr>
              <w:t>Clean Harbors, Inc.</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5"/>
                <w:szCs w:val="15"/>
                <w:color w:val="auto"/>
              </w:rPr>
            </w:pPr>
          </w:p>
        </w:tc>
        <w:tc>
          <w:tcPr>
            <w:tcW w:w="66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KBR, Inc.</w:t>
            </w:r>
          </w:p>
        </w:tc>
        <w:tc>
          <w:tcPr>
            <w:tcW w:w="580" w:type="dxa"/>
            <w:vAlign w:val="bottom"/>
          </w:tcPr>
          <w:p>
            <w:pPr>
              <w:ind w:left="400"/>
              <w:spacing w:after="0" w:line="181" w:lineRule="exact"/>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Patterson-UTI Energy, Inc.</w:t>
            </w:r>
          </w:p>
        </w:tc>
        <w:tc>
          <w:tcPr>
            <w:tcW w:w="3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640" w:type="dxa"/>
            <w:vAlign w:val="bottom"/>
            <w:gridSpan w:val="2"/>
          </w:tcPr>
          <w:p>
            <w:pPr>
              <w:spacing w:after="0" w:line="103" w:lineRule="exact"/>
              <w:rPr>
                <w:sz w:val="20"/>
                <w:szCs w:val="20"/>
                <w:color w:val="auto"/>
              </w:rPr>
            </w:pPr>
            <w:r>
              <w:rPr>
                <w:rFonts w:ascii="Arial" w:cs="Arial" w:eastAsia="Arial" w:hAnsi="Arial"/>
                <w:sz w:val="11"/>
                <w:szCs w:val="11"/>
                <w:color w:val="auto"/>
              </w:rPr>
              <w:t>Donaldson Company, Inc.</w:t>
            </w:r>
          </w:p>
        </w:tc>
        <w:tc>
          <w:tcPr>
            <w:tcW w:w="66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5"/>
                <w:szCs w:val="15"/>
                <w:color w:val="auto"/>
              </w:rPr>
            </w:pPr>
          </w:p>
        </w:tc>
        <w:tc>
          <w:tcPr>
            <w:tcW w:w="66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MasTec, Inc.</w:t>
            </w:r>
          </w:p>
        </w:tc>
        <w:tc>
          <w:tcPr>
            <w:tcW w:w="580" w:type="dxa"/>
            <w:vAlign w:val="bottom"/>
          </w:tcPr>
          <w:p>
            <w:pPr>
              <w:ind w:left="400"/>
              <w:spacing w:after="0" w:line="181" w:lineRule="exact"/>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TechnipFMC plc</w:t>
            </w:r>
          </w:p>
        </w:tc>
        <w:tc>
          <w:tcPr>
            <w:tcW w:w="3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000" w:type="dxa"/>
            <w:vAlign w:val="bottom"/>
          </w:tcPr>
          <w:p>
            <w:pPr>
              <w:spacing w:after="0" w:line="103" w:lineRule="exact"/>
              <w:rPr>
                <w:sz w:val="20"/>
                <w:szCs w:val="20"/>
                <w:color w:val="auto"/>
              </w:rPr>
            </w:pPr>
            <w:r>
              <w:rPr>
                <w:rFonts w:ascii="Arial" w:cs="Arial" w:eastAsia="Arial" w:hAnsi="Arial"/>
                <w:sz w:val="11"/>
                <w:szCs w:val="11"/>
                <w:color w:val="auto"/>
              </w:rPr>
              <w:t>Flowserve Corporation</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413"/>
              <w:spacing w:after="0"/>
              <w:rPr>
                <w:sz w:val="20"/>
                <w:szCs w:val="20"/>
                <w:color w:val="auto"/>
              </w:rPr>
            </w:pPr>
            <w:r>
              <w:rPr>
                <w:rFonts w:ascii="Arial" w:cs="Arial" w:eastAsia="Arial" w:hAnsi="Arial"/>
                <w:sz w:val="13"/>
                <w:szCs w:val="13"/>
                <w:color w:val="auto"/>
                <w:w w:val="87"/>
              </w:rPr>
              <w:t>(1)</w:t>
            </w:r>
          </w:p>
        </w:tc>
        <w:tc>
          <w:tcPr>
            <w:tcW w:w="66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Nabors Industries Ltd.</w:t>
            </w:r>
          </w:p>
        </w:tc>
        <w:tc>
          <w:tcPr>
            <w:tcW w:w="580" w:type="dxa"/>
            <w:vAlign w:val="bottom"/>
          </w:tcPr>
          <w:p>
            <w:pPr>
              <w:ind w:left="400"/>
              <w:spacing w:after="0" w:line="181" w:lineRule="exact"/>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Transocean Ltd.</w:t>
            </w:r>
          </w:p>
        </w:tc>
        <w:tc>
          <w:tcPr>
            <w:tcW w:w="3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00" w:type="dxa"/>
            <w:vAlign w:val="bottom"/>
          </w:tcPr>
          <w:p>
            <w:pPr>
              <w:spacing w:after="0" w:line="116" w:lineRule="exact"/>
              <w:rPr>
                <w:sz w:val="20"/>
                <w:szCs w:val="20"/>
                <w:color w:val="auto"/>
              </w:rPr>
            </w:pPr>
            <w:r>
              <w:rPr>
                <w:rFonts w:ascii="Arial" w:cs="Arial" w:eastAsia="Arial" w:hAnsi="Arial"/>
                <w:sz w:val="13"/>
                <w:szCs w:val="13"/>
                <w:color w:val="auto"/>
              </w:rPr>
              <w:t>Frank’s International N.V.</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5"/>
                <w:szCs w:val="15"/>
                <w:color w:val="auto"/>
              </w:rPr>
            </w:pPr>
          </w:p>
        </w:tc>
        <w:tc>
          <w:tcPr>
            <w:tcW w:w="66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2760" w:type="dxa"/>
            <w:vAlign w:val="bottom"/>
            <w:vMerge w:val="restart"/>
          </w:tcPr>
          <w:p>
            <w:pPr>
              <w:ind w:left="40"/>
              <w:spacing w:after="0"/>
              <w:rPr>
                <w:sz w:val="20"/>
                <w:szCs w:val="20"/>
                <w:color w:val="auto"/>
              </w:rPr>
            </w:pPr>
            <w:r>
              <w:rPr>
                <w:rFonts w:ascii="Arial" w:cs="Arial" w:eastAsia="Arial" w:hAnsi="Arial"/>
                <w:sz w:val="18"/>
                <w:szCs w:val="18"/>
                <w:color w:val="auto"/>
              </w:rPr>
              <w:t>NexTier Oilfield Solutions Inc.</w:t>
            </w:r>
          </w:p>
        </w:tc>
        <w:tc>
          <w:tcPr>
            <w:tcW w:w="580" w:type="dxa"/>
            <w:vAlign w:val="bottom"/>
          </w:tcPr>
          <w:p>
            <w:pPr>
              <w:ind w:left="400"/>
              <w:spacing w:after="0" w:line="181" w:lineRule="exact"/>
              <w:rPr>
                <w:sz w:val="20"/>
                <w:szCs w:val="20"/>
                <w:color w:val="auto"/>
              </w:rPr>
            </w:pPr>
            <w:r>
              <w:rPr>
                <w:rFonts w:ascii="Arial" w:cs="Arial" w:eastAsia="Arial" w:hAnsi="Arial"/>
                <w:sz w:val="18"/>
                <w:szCs w:val="18"/>
                <w:color w:val="auto"/>
              </w:rPr>
              <w:t>​ ​</w:t>
            </w:r>
          </w:p>
        </w:tc>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Vontier Corporation</w:t>
            </w:r>
          </w:p>
        </w:tc>
        <w:tc>
          <w:tcPr>
            <w:tcW w:w="3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r>
              <w:rPr>
                <w:rFonts w:ascii="Arial" w:cs="Arial" w:eastAsia="Arial" w:hAnsi="Arial"/>
                <w:sz w:val="18"/>
                <w:szCs w:val="18"/>
                <w:color w:val="auto"/>
              </w:rPr>
              <w:t>Halliburton Company</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00" w:right="360" w:hanging="362"/>
        <w:spacing w:after="0" w:line="305" w:lineRule="auto"/>
        <w:tabs>
          <w:tab w:leader="none" w:pos="800" w:val="left"/>
        </w:tabs>
        <w:numPr>
          <w:ilvl w:val="0"/>
          <w:numId w:val="33"/>
        </w:numPr>
        <w:rPr>
          <w:rFonts w:ascii="Arial" w:cs="Arial" w:eastAsia="Arial" w:hAnsi="Arial"/>
          <w:sz w:val="14"/>
          <w:szCs w:val="14"/>
          <w:color w:val="BA0C2F"/>
        </w:rPr>
      </w:pPr>
      <w:r>
        <w:rPr>
          <w:rFonts w:ascii="Arial" w:cs="Arial" w:eastAsia="Arial" w:hAnsi="Arial"/>
          <w:sz w:val="14"/>
          <w:szCs w:val="14"/>
          <w:color w:val="auto"/>
        </w:rPr>
        <w:t>Following its acquisition by Expro International Group Holdings Limited, Frank’s International N.V. is no longer publicly traded and will need to be removed from (or replaced in) our peer group going forward.</w:t>
      </w:r>
    </w:p>
    <w:p>
      <w:pPr>
        <w:spacing w:after="0" w:line="108" w:lineRule="exact"/>
        <w:rPr>
          <w:sz w:val="20"/>
          <w:szCs w:val="20"/>
          <w:color w:val="auto"/>
        </w:rPr>
      </w:pPr>
    </w:p>
    <w:p>
      <w:pPr>
        <w:jc w:val="both"/>
        <w:ind w:left="440" w:right="380"/>
        <w:spacing w:after="0" w:line="300" w:lineRule="auto"/>
        <w:rPr>
          <w:sz w:val="20"/>
          <w:szCs w:val="20"/>
          <w:color w:val="auto"/>
        </w:rPr>
      </w:pPr>
      <w:r>
        <w:rPr>
          <w:rFonts w:ascii="Arial" w:cs="Arial" w:eastAsia="Arial" w:hAnsi="Arial"/>
          <w:sz w:val="17"/>
          <w:szCs w:val="17"/>
          <w:color w:val="auto"/>
        </w:rPr>
        <w:t>Also, the Committee utilizes various compensation surveys to provide additional market data to assess our NEOs target compensation levels. The use of peer market data with consideration of individual responsibility, leadership, teamwork, performance, potential, skills, knowledge, experience, and impact on the Company drives decisions for each NEO.</w:t>
      </w:r>
    </w:p>
    <w:p>
      <w:pPr>
        <w:spacing w:after="0" w:line="104" w:lineRule="exact"/>
        <w:rPr>
          <w:sz w:val="20"/>
          <w:szCs w:val="20"/>
          <w:color w:val="auto"/>
        </w:rPr>
      </w:pPr>
    </w:p>
    <w:p>
      <w:pPr>
        <w:ind w:left="440" w:right="60"/>
        <w:spacing w:after="0" w:line="335" w:lineRule="auto"/>
        <w:rPr>
          <w:sz w:val="20"/>
          <w:szCs w:val="20"/>
          <w:color w:val="auto"/>
        </w:rPr>
      </w:pPr>
      <w:r>
        <w:rPr>
          <w:rFonts w:ascii="Arial" w:cs="Arial" w:eastAsia="Arial" w:hAnsi="Arial"/>
          <w:sz w:val="17"/>
          <w:szCs w:val="17"/>
          <w:color w:val="auto"/>
        </w:rPr>
        <w:t>The Committee does not use a formula to weight these factors. Instead, it uses these factors to provide context within which to assess the significance of comparative market data and to differentiate the target compensation level among our NEOs.</w:t>
      </w:r>
    </w:p>
    <w:p>
      <w:pPr>
        <w:spacing w:after="0" w:line="75" w:lineRule="exact"/>
        <w:rPr>
          <w:sz w:val="20"/>
          <w:szCs w:val="20"/>
          <w:color w:val="auto"/>
        </w:rPr>
      </w:pPr>
    </w:p>
    <w:p>
      <w:pPr>
        <w:ind w:left="440" w:right="40"/>
        <w:spacing w:after="0" w:line="273" w:lineRule="auto"/>
        <w:rPr>
          <w:sz w:val="20"/>
          <w:szCs w:val="20"/>
          <w:color w:val="auto"/>
        </w:rPr>
      </w:pPr>
      <w:r>
        <w:rPr>
          <w:rFonts w:ascii="Arial" w:cs="Arial" w:eastAsia="Arial" w:hAnsi="Arial"/>
          <w:sz w:val="18"/>
          <w:szCs w:val="18"/>
          <w:b w:val="1"/>
          <w:bCs w:val="1"/>
          <w:color w:val="auto"/>
        </w:rPr>
        <w:t>Compare and Evaluate</w:t>
      </w:r>
      <w:r>
        <w:rPr>
          <w:rFonts w:ascii="Arial" w:cs="Arial" w:eastAsia="Arial" w:hAnsi="Arial"/>
          <w:sz w:val="18"/>
          <w:szCs w:val="18"/>
          <w:color w:val="auto"/>
        </w:rPr>
        <w:t>. We consider several job-specific factors when comparing market data for similar jobs. When</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individual placement within a determined range, we make applicable recommendations to the Committee based on individual factors such as responsibility, leadership, teamwork, performance, potential, skills, knowledge, experience, and impact of each executive, along with any retention and succession planning concerns.</w:t>
      </w:r>
    </w:p>
    <w:p>
      <w:pPr>
        <w:spacing w:after="0" w:line="111" w:lineRule="exact"/>
        <w:rPr>
          <w:sz w:val="20"/>
          <w:szCs w:val="20"/>
          <w:color w:val="auto"/>
        </w:rPr>
      </w:pPr>
    </w:p>
    <w:p>
      <w:pPr>
        <w:ind w:left="440" w:right="100"/>
        <w:spacing w:after="0" w:line="271" w:lineRule="auto"/>
        <w:rPr>
          <w:sz w:val="20"/>
          <w:szCs w:val="20"/>
          <w:color w:val="auto"/>
        </w:rPr>
      </w:pPr>
      <w:r>
        <w:rPr>
          <w:rFonts w:ascii="Arial" w:cs="Arial" w:eastAsia="Arial" w:hAnsi="Arial"/>
          <w:sz w:val="18"/>
          <w:szCs w:val="18"/>
          <w:b w:val="1"/>
          <w:bCs w:val="1"/>
          <w:color w:val="auto"/>
        </w:rPr>
        <w:t>Finalize Decisions</w:t>
      </w:r>
      <w:r>
        <w:rPr>
          <w:rFonts w:ascii="Arial" w:cs="Arial" w:eastAsia="Arial" w:hAnsi="Arial"/>
          <w:sz w:val="18"/>
          <w:szCs w:val="18"/>
          <w:color w:val="auto"/>
        </w:rPr>
        <w:t>. The Board’s independent directors evaluate the Committee’s recommendations, which are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from LB&amp;Co., regarding the CEO’s compensation, including the rationale for where each compensation component falls within the market data. The Board’s independent directors have final authority to approve, disapprove or make changes to compensation recommendations. For 2021, the Board’s independent directors unanimously approved the recommendations for the CEO’s compensation.</w:t>
      </w:r>
    </w:p>
    <w:p>
      <w:pPr>
        <w:spacing w:after="0" w:line="127" w:lineRule="exact"/>
        <w:rPr>
          <w:sz w:val="20"/>
          <w:szCs w:val="20"/>
          <w:color w:val="auto"/>
        </w:rPr>
      </w:pPr>
    </w:p>
    <w:p>
      <w:pPr>
        <w:ind w:left="440" w:right="500"/>
        <w:spacing w:after="0" w:line="276" w:lineRule="auto"/>
        <w:rPr>
          <w:sz w:val="20"/>
          <w:szCs w:val="20"/>
          <w:color w:val="auto"/>
        </w:rPr>
      </w:pPr>
      <w:r>
        <w:rPr>
          <w:rFonts w:ascii="Arial" w:cs="Arial" w:eastAsia="Arial" w:hAnsi="Arial"/>
          <w:sz w:val="18"/>
          <w:szCs w:val="18"/>
          <w:color w:val="auto"/>
        </w:rPr>
        <w:t>The Committee makes a similar judgment about the CEO’s recommendations, which are also based on guidance from LB&amp;Co., regarding the compensation of the other NEOs. For 2021, the Committee unanimously approved the recommendations for the compensation of the other NEOs.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2021 COMPENSATION DECISIONS</w:t>
      </w:r>
    </w:p>
    <w:p>
      <w:pPr>
        <w:spacing w:after="0" w:line="111" w:lineRule="exact"/>
        <w:rPr>
          <w:sz w:val="20"/>
          <w:szCs w:val="20"/>
          <w:color w:val="auto"/>
        </w:rPr>
      </w:pPr>
    </w:p>
    <w:p>
      <w:pPr>
        <w:ind w:left="440" w:right="60"/>
        <w:spacing w:after="0" w:line="267" w:lineRule="auto"/>
        <w:rPr>
          <w:sz w:val="20"/>
          <w:szCs w:val="20"/>
          <w:color w:val="auto"/>
        </w:rPr>
      </w:pPr>
      <w:r>
        <w:rPr>
          <w:rFonts w:ascii="Arial" w:cs="Arial" w:eastAsia="Arial" w:hAnsi="Arial"/>
          <w:sz w:val="18"/>
          <w:szCs w:val="18"/>
          <w:color w:val="auto"/>
        </w:rPr>
        <w:t>In January 2021, the Committee reviewed executive compensation for the executive leadership team. Considering the short tenure of the executive team at that time, no changes were made to base salary or target percentages for both short-term and long-term incentives. Regarding the short-term and the long-term incentive programs, after careful deliberation and an intention to list the Company’s ordinary shares on a national stock exchange, a decision was made to shift the long-term incentive program away from the 2020 Long-Term Cash Incentive Plan (the “LTCIP”) cash-based program toward an equity-based program under the 2019 EIP.</w:t>
      </w:r>
    </w:p>
    <w:p>
      <w:pPr>
        <w:spacing w:after="0" w:line="130" w:lineRule="exact"/>
        <w:rPr>
          <w:sz w:val="20"/>
          <w:szCs w:val="20"/>
          <w:color w:val="auto"/>
        </w:rPr>
      </w:pPr>
    </w:p>
    <w:p>
      <w:pPr>
        <w:jc w:val="both"/>
        <w:ind w:left="440" w:right="580"/>
        <w:spacing w:after="0" w:line="284" w:lineRule="auto"/>
        <w:rPr>
          <w:sz w:val="20"/>
          <w:szCs w:val="20"/>
          <w:color w:val="auto"/>
        </w:rPr>
      </w:pPr>
      <w:r>
        <w:rPr>
          <w:rFonts w:ascii="Arial" w:cs="Arial" w:eastAsia="Arial" w:hAnsi="Arial"/>
          <w:sz w:val="18"/>
          <w:szCs w:val="18"/>
          <w:color w:val="auto"/>
        </w:rPr>
        <w:t>In October 2021, the Company completed a comprehensive annual review of the executive compensation packages, including annual base salaries, and the target opportunities for both the short-term and long-term incentive programs.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1234440</wp:posOffset>
            </wp:positionV>
            <wp:extent cx="6231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20" w:hanging="282"/>
        <w:spacing w:after="0"/>
        <w:tabs>
          <w:tab w:leader="none" w:pos="720" w:val="left"/>
        </w:tabs>
        <w:numPr>
          <w:ilvl w:val="0"/>
          <w:numId w:val="3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right="400"/>
        <w:spacing w:after="0" w:line="271" w:lineRule="auto"/>
        <w:rPr>
          <w:sz w:val="20"/>
          <w:szCs w:val="20"/>
          <w:color w:val="auto"/>
        </w:rPr>
      </w:pPr>
      <w:r>
        <w:rPr>
          <w:rFonts w:ascii="Arial" w:cs="Arial" w:eastAsia="Arial" w:hAnsi="Arial"/>
          <w:sz w:val="18"/>
          <w:szCs w:val="18"/>
          <w:color w:val="auto"/>
        </w:rPr>
        <w:t>this review it was identified that all components of our CEO’s target total compensation were significantly below market-median, when compared to our defined peer group (see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57785</wp:posOffset>
            </wp:positionV>
            <wp:extent cx="5220335" cy="22371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2033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right="140"/>
        <w:spacing w:after="0" w:line="247" w:lineRule="auto"/>
        <w:rPr>
          <w:sz w:val="20"/>
          <w:szCs w:val="20"/>
          <w:color w:val="auto"/>
        </w:rPr>
      </w:pPr>
      <w:r>
        <w:rPr>
          <w:rFonts w:ascii="Arial" w:cs="Arial" w:eastAsia="Arial" w:hAnsi="Arial"/>
          <w:sz w:val="18"/>
          <w:szCs w:val="18"/>
          <w:color w:val="auto"/>
        </w:rPr>
        <w:t>This review also highlighted additional executives with components of total compensation below market median of our defined peer group. At the recommendation of our compensation consultants, based on results of the review and individual NEO performance, the Committee approved adjustments to the identified NEO’s base salaries, short-term annual incentive targets and long-term incentive targets, as appropriate. The table below reflects the outcomes of those decisions in 2021 and also reflects the changes, if any, from 2020 to 2021:</w:t>
      </w:r>
    </w:p>
    <w:p>
      <w:pPr>
        <w:spacing w:after="0" w:line="12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shd w:val="clear" w:color="auto" w:fill="BA0C2F"/>
          </w:tcPr>
          <w:p>
            <w:pPr>
              <w:spacing w:after="0"/>
              <w:rPr>
                <w:sz w:val="20"/>
                <w:szCs w:val="20"/>
                <w:color w:val="auto"/>
              </w:rPr>
            </w:pPr>
          </w:p>
        </w:tc>
        <w:tc>
          <w:tcPr>
            <w:tcW w:w="1500" w:type="dxa"/>
            <w:vAlign w:val="bottom"/>
            <w:shd w:val="clear" w:color="auto" w:fill="BA0C2F"/>
          </w:tcPr>
          <w:p>
            <w:pPr>
              <w:spacing w:after="0"/>
              <w:rPr>
                <w:sz w:val="20"/>
                <w:szCs w:val="20"/>
                <w:color w:val="auto"/>
              </w:rPr>
            </w:pPr>
          </w:p>
        </w:tc>
        <w:tc>
          <w:tcPr>
            <w:tcW w:w="1660" w:type="dxa"/>
            <w:vAlign w:val="bottom"/>
            <w:gridSpan w:val="4"/>
            <w:shd w:val="clear" w:color="auto" w:fill="BA0C2F"/>
          </w:tcPr>
          <w:p>
            <w:pPr>
              <w:jc w:val="center"/>
              <w:spacing w:after="0"/>
              <w:rPr>
                <w:sz w:val="20"/>
                <w:szCs w:val="20"/>
                <w:color w:val="auto"/>
              </w:rPr>
            </w:pPr>
            <w:r>
              <w:rPr>
                <w:rFonts w:ascii="Arial" w:cs="Arial" w:eastAsia="Arial" w:hAnsi="Arial"/>
                <w:sz w:val="14"/>
                <w:szCs w:val="14"/>
                <w:color w:val="FFFFFF"/>
              </w:rPr>
              <w:t>Annual Incentive Target</w:t>
            </w:r>
          </w:p>
        </w:tc>
        <w:tc>
          <w:tcPr>
            <w:tcW w:w="260" w:type="dxa"/>
            <w:vAlign w:val="bottom"/>
            <w:shd w:val="clear" w:color="auto" w:fill="BA0C2F"/>
          </w:tcPr>
          <w:p>
            <w:pPr>
              <w:spacing w:after="0"/>
              <w:rPr>
                <w:sz w:val="20"/>
                <w:szCs w:val="20"/>
                <w:color w:val="auto"/>
              </w:rPr>
            </w:pPr>
          </w:p>
        </w:tc>
        <w:tc>
          <w:tcPr>
            <w:tcW w:w="420" w:type="dxa"/>
            <w:vAlign w:val="bottom"/>
            <w:shd w:val="clear" w:color="auto" w:fill="BA0C2F"/>
          </w:tcPr>
          <w:p>
            <w:pPr>
              <w:spacing w:after="0"/>
              <w:rPr>
                <w:sz w:val="20"/>
                <w:szCs w:val="20"/>
                <w:color w:val="auto"/>
              </w:rPr>
            </w:pPr>
          </w:p>
        </w:tc>
        <w:tc>
          <w:tcPr>
            <w:tcW w:w="300" w:type="dxa"/>
            <w:vAlign w:val="bottom"/>
            <w:shd w:val="clear" w:color="auto" w:fill="BA0C2F"/>
          </w:tcPr>
          <w:p>
            <w:pPr>
              <w:spacing w:after="0"/>
              <w:rPr>
                <w:sz w:val="20"/>
                <w:szCs w:val="20"/>
                <w:color w:val="auto"/>
              </w:rPr>
            </w:pPr>
          </w:p>
        </w:tc>
        <w:tc>
          <w:tcPr>
            <w:tcW w:w="2080" w:type="dxa"/>
            <w:vAlign w:val="bottom"/>
            <w:gridSpan w:val="2"/>
            <w:vMerge w:val="restart"/>
            <w:shd w:val="clear" w:color="auto" w:fill="BA0C2F"/>
          </w:tcPr>
          <w:p>
            <w:pPr>
              <w:jc w:val="center"/>
              <w:ind w:left="137"/>
              <w:spacing w:after="0"/>
              <w:rPr>
                <w:sz w:val="20"/>
                <w:szCs w:val="20"/>
                <w:color w:val="auto"/>
              </w:rPr>
            </w:pPr>
            <w:r>
              <w:rPr>
                <w:rFonts w:ascii="Arial" w:cs="Arial" w:eastAsia="Arial" w:hAnsi="Arial"/>
                <w:sz w:val="14"/>
                <w:szCs w:val="14"/>
                <w:color w:val="FFFFFF"/>
                <w:w w:val="99"/>
              </w:rPr>
              <w:t>Long-Term Incentive Target</w:t>
            </w:r>
            <w:r>
              <w:rPr>
                <w:rFonts w:ascii="Arial" w:cs="Arial" w:eastAsia="Arial" w:hAnsi="Arial"/>
                <w:sz w:val="17"/>
                <w:szCs w:val="17"/>
                <w:color w:val="FFFFFF"/>
                <w:w w:val="99"/>
                <w:vertAlign w:val="superscript"/>
              </w:rPr>
              <w:t>(3)</w:t>
            </w:r>
          </w:p>
        </w:tc>
        <w:tc>
          <w:tcPr>
            <w:tcW w:w="1000" w:type="dxa"/>
            <w:vAlign w:val="bottom"/>
            <w:shd w:val="clear" w:color="auto" w:fill="BA0C2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shd w:val="clear" w:color="auto" w:fill="BA0C2F"/>
          </w:tcPr>
          <w:p>
            <w:pPr>
              <w:spacing w:after="0"/>
              <w:rPr>
                <w:sz w:val="14"/>
                <w:szCs w:val="14"/>
                <w:color w:val="auto"/>
              </w:rPr>
            </w:pPr>
          </w:p>
        </w:tc>
        <w:tc>
          <w:tcPr>
            <w:tcW w:w="1500" w:type="dxa"/>
            <w:vAlign w:val="bottom"/>
            <w:shd w:val="clear" w:color="auto" w:fill="BA0C2F"/>
          </w:tcPr>
          <w:p>
            <w:pPr>
              <w:spacing w:after="0"/>
              <w:rPr>
                <w:sz w:val="14"/>
                <w:szCs w:val="14"/>
                <w:color w:val="auto"/>
              </w:rPr>
            </w:pPr>
          </w:p>
        </w:tc>
        <w:tc>
          <w:tcPr>
            <w:tcW w:w="180" w:type="dxa"/>
            <w:vAlign w:val="bottom"/>
            <w:shd w:val="clear" w:color="auto" w:fill="BA0C2F"/>
          </w:tcPr>
          <w:p>
            <w:pPr>
              <w:spacing w:after="0"/>
              <w:rPr>
                <w:sz w:val="14"/>
                <w:szCs w:val="14"/>
                <w:color w:val="auto"/>
              </w:rPr>
            </w:pPr>
          </w:p>
        </w:tc>
        <w:tc>
          <w:tcPr>
            <w:tcW w:w="1480" w:type="dxa"/>
            <w:vAlign w:val="bottom"/>
            <w:gridSpan w:val="3"/>
            <w:shd w:val="clear" w:color="auto" w:fill="BA0C2F"/>
          </w:tcPr>
          <w:p>
            <w:pPr>
              <w:jc w:val="center"/>
              <w:ind w:right="33"/>
              <w:spacing w:after="0"/>
              <w:rPr>
                <w:sz w:val="20"/>
                <w:szCs w:val="20"/>
                <w:color w:val="auto"/>
              </w:rPr>
            </w:pPr>
            <w:r>
              <w:rPr>
                <w:rFonts w:ascii="Arial" w:cs="Arial" w:eastAsia="Arial" w:hAnsi="Arial"/>
                <w:sz w:val="14"/>
                <w:szCs w:val="14"/>
                <w:color w:val="FFFFFF"/>
              </w:rPr>
              <w:t>(as a percentage</w:t>
            </w:r>
          </w:p>
        </w:tc>
        <w:tc>
          <w:tcPr>
            <w:tcW w:w="260" w:type="dxa"/>
            <w:vAlign w:val="bottom"/>
            <w:shd w:val="clear" w:color="auto" w:fill="BA0C2F"/>
          </w:tcPr>
          <w:p>
            <w:pPr>
              <w:spacing w:after="0"/>
              <w:rPr>
                <w:sz w:val="14"/>
                <w:szCs w:val="14"/>
                <w:color w:val="auto"/>
              </w:rPr>
            </w:pPr>
          </w:p>
        </w:tc>
        <w:tc>
          <w:tcPr>
            <w:tcW w:w="420" w:type="dxa"/>
            <w:vAlign w:val="bottom"/>
            <w:shd w:val="clear" w:color="auto" w:fill="BA0C2F"/>
          </w:tcPr>
          <w:p>
            <w:pPr>
              <w:spacing w:after="0"/>
              <w:rPr>
                <w:sz w:val="14"/>
                <w:szCs w:val="14"/>
                <w:color w:val="auto"/>
              </w:rPr>
            </w:pPr>
          </w:p>
        </w:tc>
        <w:tc>
          <w:tcPr>
            <w:tcW w:w="300" w:type="dxa"/>
            <w:vAlign w:val="bottom"/>
            <w:shd w:val="clear" w:color="auto" w:fill="BA0C2F"/>
          </w:tcPr>
          <w:p>
            <w:pPr>
              <w:spacing w:after="0"/>
              <w:rPr>
                <w:sz w:val="14"/>
                <w:szCs w:val="14"/>
                <w:color w:val="auto"/>
              </w:rPr>
            </w:pPr>
          </w:p>
        </w:tc>
        <w:tc>
          <w:tcPr>
            <w:tcW w:w="2080" w:type="dxa"/>
            <w:vAlign w:val="bottom"/>
            <w:gridSpan w:val="2"/>
            <w:vMerge w:val="continue"/>
            <w:shd w:val="clear" w:color="auto" w:fill="BA0C2F"/>
          </w:tcPr>
          <w:p>
            <w:pPr>
              <w:spacing w:after="0"/>
              <w:rPr>
                <w:sz w:val="14"/>
                <w:szCs w:val="14"/>
                <w:color w:val="auto"/>
              </w:rPr>
            </w:pPr>
          </w:p>
        </w:tc>
        <w:tc>
          <w:tcPr>
            <w:tcW w:w="1000" w:type="dxa"/>
            <w:vAlign w:val="bottom"/>
            <w:shd w:val="clear" w:color="auto" w:fill="BA0C2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80" w:type="dxa"/>
            <w:vAlign w:val="bottom"/>
            <w:tcBorders>
              <w:bottom w:val="single" w:sz="8" w:color="BA0C2F"/>
            </w:tcBorders>
          </w:tcPr>
          <w:p>
            <w:pPr>
              <w:spacing w:after="0"/>
              <w:rPr>
                <w:sz w:val="20"/>
                <w:szCs w:val="20"/>
                <w:color w:val="auto"/>
              </w:rPr>
            </w:pPr>
            <w:r>
              <w:rPr>
                <w:rFonts w:ascii="Arial" w:cs="Arial" w:eastAsia="Arial" w:hAnsi="Arial"/>
                <w:sz w:val="14"/>
                <w:szCs w:val="14"/>
                <w:color w:val="FFFFFF"/>
              </w:rPr>
              <w:t>​</w:t>
            </w:r>
          </w:p>
        </w:tc>
        <w:tc>
          <w:tcPr>
            <w:tcW w:w="140" w:type="dxa"/>
            <w:vAlign w:val="bottom"/>
            <w:tcBorders>
              <w:bottom w:val="single" w:sz="8" w:color="BA0C2F"/>
            </w:tcBorders>
          </w:tcPr>
          <w:p>
            <w:pPr>
              <w:ind w:left="100"/>
              <w:spacing w:after="0"/>
              <w:rPr>
                <w:sz w:val="20"/>
                <w:szCs w:val="20"/>
                <w:color w:val="auto"/>
              </w:rPr>
            </w:pPr>
            <w:r>
              <w:rPr>
                <w:rFonts w:ascii="Arial" w:cs="Arial" w:eastAsia="Arial" w:hAnsi="Arial"/>
                <w:sz w:val="14"/>
                <w:szCs w:val="14"/>
                <w:color w:val="FFFFFF"/>
              </w:rPr>
              <w:t>​</w:t>
            </w:r>
          </w:p>
        </w:tc>
        <w:tc>
          <w:tcPr>
            <w:tcW w:w="260" w:type="dxa"/>
            <w:vAlign w:val="bottom"/>
            <w:tcBorders>
              <w:bottom w:val="single" w:sz="8" w:color="auto"/>
            </w:tcBorders>
            <w:shd w:val="clear" w:color="auto" w:fill="BA0C2F"/>
          </w:tcPr>
          <w:p>
            <w:pPr>
              <w:ind w:left="40"/>
              <w:spacing w:after="0"/>
              <w:rPr>
                <w:sz w:val="20"/>
                <w:szCs w:val="20"/>
                <w:color w:val="auto"/>
              </w:rPr>
            </w:pPr>
            <w:r>
              <w:rPr>
                <w:rFonts w:ascii="Arial" w:cs="Arial" w:eastAsia="Arial" w:hAnsi="Arial"/>
                <w:sz w:val="14"/>
                <w:szCs w:val="14"/>
                <w:color w:val="FFFFFF"/>
              </w:rPr>
              <w:t>​</w:t>
            </w:r>
          </w:p>
        </w:tc>
        <w:tc>
          <w:tcPr>
            <w:tcW w:w="1500" w:type="dxa"/>
            <w:vAlign w:val="bottom"/>
            <w:tcBorders>
              <w:bottom w:val="single" w:sz="8" w:color="auto"/>
            </w:tcBorders>
            <w:shd w:val="clear" w:color="auto" w:fill="BA0C2F"/>
          </w:tcPr>
          <w:p>
            <w:pPr>
              <w:ind w:left="260"/>
              <w:spacing w:after="0"/>
              <w:rPr>
                <w:sz w:val="20"/>
                <w:szCs w:val="20"/>
                <w:color w:val="auto"/>
              </w:rPr>
            </w:pPr>
            <w:r>
              <w:rPr>
                <w:rFonts w:ascii="Arial" w:cs="Arial" w:eastAsia="Arial" w:hAnsi="Arial"/>
                <w:sz w:val="14"/>
                <w:szCs w:val="14"/>
                <w:color w:val="FFFFFF"/>
              </w:rPr>
              <w:t>Base Salary</w:t>
            </w:r>
          </w:p>
        </w:tc>
        <w:tc>
          <w:tcPr>
            <w:tcW w:w="180" w:type="dxa"/>
            <w:vAlign w:val="bottom"/>
            <w:tcBorders>
              <w:bottom w:val="single" w:sz="8" w:color="auto"/>
            </w:tcBorders>
            <w:shd w:val="clear" w:color="auto" w:fill="BA0C2F"/>
          </w:tcPr>
          <w:p>
            <w:pPr>
              <w:ind w:left="20"/>
              <w:spacing w:after="0"/>
              <w:rPr>
                <w:sz w:val="20"/>
                <w:szCs w:val="20"/>
                <w:color w:val="auto"/>
              </w:rPr>
            </w:pPr>
            <w:r>
              <w:rPr>
                <w:rFonts w:ascii="Arial" w:cs="Arial" w:eastAsia="Arial" w:hAnsi="Arial"/>
                <w:sz w:val="14"/>
                <w:szCs w:val="14"/>
                <w:color w:val="FFFFFF"/>
              </w:rPr>
              <w:t>​ ​</w:t>
            </w:r>
          </w:p>
        </w:tc>
        <w:tc>
          <w:tcPr>
            <w:tcW w:w="1480" w:type="dxa"/>
            <w:vAlign w:val="bottom"/>
            <w:tcBorders>
              <w:bottom w:val="single" w:sz="8" w:color="auto"/>
            </w:tcBorders>
            <w:gridSpan w:val="3"/>
            <w:shd w:val="clear" w:color="auto" w:fill="BA0C2F"/>
          </w:tcPr>
          <w:p>
            <w:pPr>
              <w:jc w:val="center"/>
              <w:spacing w:after="0"/>
              <w:rPr>
                <w:sz w:val="20"/>
                <w:szCs w:val="20"/>
                <w:color w:val="auto"/>
              </w:rPr>
            </w:pPr>
            <w:r>
              <w:rPr>
                <w:rFonts w:ascii="Arial" w:cs="Arial" w:eastAsia="Arial" w:hAnsi="Arial"/>
                <w:sz w:val="14"/>
                <w:szCs w:val="14"/>
                <w:color w:val="FFFFFF"/>
              </w:rPr>
              <w:t>of base salary)</w:t>
            </w:r>
          </w:p>
        </w:tc>
        <w:tc>
          <w:tcPr>
            <w:tcW w:w="260" w:type="dxa"/>
            <w:vAlign w:val="bottom"/>
            <w:tcBorders>
              <w:bottom w:val="single" w:sz="8" w:color="auto"/>
            </w:tcBorders>
            <w:shd w:val="clear" w:color="auto" w:fill="BA0C2F"/>
          </w:tcPr>
          <w:p>
            <w:pPr>
              <w:ind w:left="60"/>
              <w:spacing w:after="0"/>
              <w:rPr>
                <w:sz w:val="20"/>
                <w:szCs w:val="20"/>
                <w:color w:val="auto"/>
              </w:rPr>
            </w:pPr>
            <w:r>
              <w:rPr>
                <w:rFonts w:ascii="Arial" w:cs="Arial" w:eastAsia="Arial" w:hAnsi="Arial"/>
                <w:sz w:val="14"/>
                <w:szCs w:val="14"/>
                <w:color w:val="FFFFFF"/>
              </w:rPr>
              <w:t>​ ​</w:t>
            </w:r>
          </w:p>
        </w:tc>
        <w:tc>
          <w:tcPr>
            <w:tcW w:w="420" w:type="dxa"/>
            <w:vAlign w:val="bottom"/>
            <w:tcBorders>
              <w:bottom w:val="single" w:sz="8" w:color="auto"/>
            </w:tcBorders>
            <w:shd w:val="clear" w:color="auto" w:fill="BA0C2F"/>
          </w:tcPr>
          <w:p>
            <w:pPr>
              <w:spacing w:after="0"/>
              <w:rPr>
                <w:sz w:val="17"/>
                <w:szCs w:val="17"/>
                <w:color w:val="auto"/>
              </w:rPr>
            </w:pPr>
          </w:p>
        </w:tc>
        <w:tc>
          <w:tcPr>
            <w:tcW w:w="300" w:type="dxa"/>
            <w:vAlign w:val="bottom"/>
            <w:tcBorders>
              <w:bottom w:val="single" w:sz="8" w:color="auto"/>
            </w:tcBorders>
            <w:shd w:val="clear" w:color="auto" w:fill="BA0C2F"/>
          </w:tcPr>
          <w:p>
            <w:pPr>
              <w:spacing w:after="0"/>
              <w:rPr>
                <w:sz w:val="17"/>
                <w:szCs w:val="17"/>
                <w:color w:val="auto"/>
              </w:rPr>
            </w:pPr>
          </w:p>
        </w:tc>
        <w:tc>
          <w:tcPr>
            <w:tcW w:w="3080" w:type="dxa"/>
            <w:vAlign w:val="bottom"/>
            <w:tcBorders>
              <w:bottom w:val="single" w:sz="8" w:color="auto"/>
            </w:tcBorders>
            <w:gridSpan w:val="3"/>
            <w:shd w:val="clear" w:color="auto" w:fill="BA0C2F"/>
          </w:tcPr>
          <w:p>
            <w:pPr>
              <w:jc w:val="center"/>
              <w:ind w:right="653"/>
              <w:spacing w:after="0"/>
              <w:rPr>
                <w:sz w:val="20"/>
                <w:szCs w:val="20"/>
                <w:color w:val="auto"/>
              </w:rPr>
            </w:pPr>
            <w:r>
              <w:rPr>
                <w:rFonts w:ascii="Arial" w:cs="Arial" w:eastAsia="Arial" w:hAnsi="Arial"/>
                <w:sz w:val="14"/>
                <w:szCs w:val="14"/>
                <w:color w:val="FFFFFF"/>
              </w:rPr>
              <w:t>(as a percentage of base salary)</w:t>
            </w:r>
          </w:p>
        </w:tc>
        <w:tc>
          <w:tcPr>
            <w:tcW w:w="40" w:type="dxa"/>
            <w:vAlign w:val="bottom"/>
          </w:tcPr>
          <w:p>
            <w:pPr>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73"/>
        </w:trPr>
        <w:tc>
          <w:tcPr>
            <w:tcW w:w="2180" w:type="dxa"/>
            <w:vAlign w:val="bottom"/>
            <w:shd w:val="clear" w:color="auto" w:fill="BA0C2F"/>
          </w:tcPr>
          <w:p>
            <w:pPr>
              <w:spacing w:after="0"/>
              <w:rPr>
                <w:sz w:val="15"/>
                <w:szCs w:val="15"/>
                <w:color w:val="auto"/>
              </w:rPr>
            </w:pPr>
          </w:p>
        </w:tc>
        <w:tc>
          <w:tcPr>
            <w:tcW w:w="140" w:type="dxa"/>
            <w:vAlign w:val="bottom"/>
            <w:shd w:val="clear" w:color="auto" w:fill="BA0C2F"/>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center"/>
              <w:ind w:left="59"/>
              <w:spacing w:after="0"/>
              <w:rPr>
                <w:sz w:val="20"/>
                <w:szCs w:val="20"/>
                <w:color w:val="auto"/>
              </w:rPr>
            </w:pPr>
            <w:r>
              <w:rPr>
                <w:rFonts w:ascii="Arial" w:cs="Arial" w:eastAsia="Arial" w:hAnsi="Arial"/>
                <w:sz w:val="14"/>
                <w:szCs w:val="14"/>
                <w:color w:val="auto"/>
              </w:rPr>
              <w:t>Pre-November 1, 2021</w:t>
            </w:r>
          </w:p>
        </w:tc>
        <w:tc>
          <w:tcPr>
            <w:tcW w:w="1720" w:type="dxa"/>
            <w:vAlign w:val="bottom"/>
            <w:gridSpan w:val="2"/>
          </w:tcPr>
          <w:p>
            <w:pPr>
              <w:jc w:val="center"/>
              <w:ind w:left="35"/>
              <w:spacing w:after="0"/>
              <w:rPr>
                <w:sz w:val="20"/>
                <w:szCs w:val="20"/>
                <w:color w:val="auto"/>
              </w:rPr>
            </w:pPr>
            <w:r>
              <w:rPr>
                <w:rFonts w:ascii="Arial" w:cs="Arial" w:eastAsia="Arial" w:hAnsi="Arial"/>
                <w:sz w:val="14"/>
                <w:szCs w:val="14"/>
                <w:color w:val="auto"/>
              </w:rPr>
              <w:t>Post-November 1, 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8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140" w:type="dxa"/>
            <w:vAlign w:val="bottom"/>
            <w:tcBorders>
              <w:bottom w:val="single" w:sz="8" w:color="auto"/>
            </w:tcBorders>
            <w:shd w:val="clear" w:color="auto" w:fill="BA0C2F"/>
          </w:tcPr>
          <w:p>
            <w:pPr>
              <w:ind w:lef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12"/>
                <w:szCs w:val="12"/>
                <w:color w:val="auto"/>
              </w:rPr>
              <w:t xml:space="preserve">2020    </w:t>
            </w:r>
            <w:r>
              <w:rPr>
                <w:rFonts w:ascii="Arial" w:cs="Arial" w:eastAsia="Arial" w:hAnsi="Arial"/>
                <w:sz w:val="22"/>
                <w:szCs w:val="22"/>
                <w:color w:val="auto"/>
                <w:vertAlign w:val="subscript"/>
              </w:rPr>
              <w:t>​ ​</w:t>
            </w:r>
            <w:r>
              <w:rPr>
                <w:rFonts w:ascii="Arial" w:cs="Arial" w:eastAsia="Arial" w:hAnsi="Arial"/>
                <w:sz w:val="12"/>
                <w:szCs w:val="12"/>
                <w:color w:val="auto"/>
              </w:rPr>
              <w:t xml:space="preserve">  2021</w:t>
            </w:r>
            <w:r>
              <w:rPr>
                <w:rFonts w:ascii="Arial" w:cs="Arial" w:eastAsia="Arial" w:hAnsi="Arial"/>
                <w:sz w:val="14"/>
                <w:szCs w:val="14"/>
                <w:color w:val="auto"/>
                <w:vertAlign w:val="superscript"/>
              </w:rPr>
              <w:t>(1)</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13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rPr>
              <w:t>Levels</w:t>
            </w: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auto"/>
            </w:tcBorders>
          </w:tcPr>
          <w:p>
            <w:pPr>
              <w:jc w:val="center"/>
              <w:ind w:right="453"/>
              <w:spacing w:after="0"/>
              <w:rPr>
                <w:sz w:val="20"/>
                <w:szCs w:val="20"/>
                <w:color w:val="auto"/>
              </w:rPr>
            </w:pPr>
            <w:r>
              <w:rPr>
                <w:rFonts w:ascii="Arial" w:cs="Arial" w:eastAsia="Arial" w:hAnsi="Arial"/>
                <w:sz w:val="14"/>
                <w:szCs w:val="14"/>
                <w:color w:val="auto"/>
              </w:rPr>
              <w:t>Levels</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1900" w:type="dxa"/>
            <w:vAlign w:val="bottom"/>
            <w:tcBorders>
              <w:bottom w:val="single" w:sz="8" w:color="666666"/>
            </w:tcBorders>
            <w:gridSpan w:val="3"/>
            <w:shd w:val="clear" w:color="auto" w:fill="CCCCCC"/>
          </w:tcPr>
          <w:p>
            <w:pPr>
              <w:ind w:left="100"/>
              <w:spacing w:after="0"/>
              <w:rPr>
                <w:sz w:val="20"/>
                <w:szCs w:val="20"/>
                <w:color w:val="auto"/>
              </w:rPr>
            </w:pPr>
            <w:r>
              <w:rPr>
                <w:rFonts w:ascii="Arial" w:cs="Arial" w:eastAsia="Arial" w:hAnsi="Arial"/>
                <w:sz w:val="18"/>
                <w:szCs w:val="18"/>
                <w:color w:val="auto"/>
              </w:rPr>
              <w:t>​​​$825,000​​​$900,000</w:t>
            </w:r>
          </w:p>
        </w:tc>
        <w:tc>
          <w:tcPr>
            <w:tcW w:w="740" w:type="dxa"/>
            <w:vAlign w:val="bottom"/>
            <w:tcBorders>
              <w:bottom w:val="single" w:sz="8" w:color="666666"/>
            </w:tcBorders>
            <w:gridSpan w:val="2"/>
            <w:shd w:val="clear" w:color="auto" w:fill="CCCCCC"/>
          </w:tcPr>
          <w:p>
            <w:pPr>
              <w:ind w:left="20"/>
              <w:spacing w:after="0"/>
              <w:rPr>
                <w:sz w:val="20"/>
                <w:szCs w:val="20"/>
                <w:color w:val="auto"/>
              </w:rPr>
            </w:pPr>
            <w:r>
              <w:rPr>
                <w:rFonts w:ascii="Arial" w:cs="Arial" w:eastAsia="Arial" w:hAnsi="Arial"/>
                <w:sz w:val="18"/>
                <w:szCs w:val="18"/>
                <w:color w:val="auto"/>
              </w:rPr>
              <w:t>​​ 125%</w:t>
            </w:r>
          </w:p>
        </w:tc>
        <w:tc>
          <w:tcPr>
            <w:tcW w:w="300" w:type="dxa"/>
            <w:vAlign w:val="bottom"/>
            <w:tcBorders>
              <w:bottom w:val="single" w:sz="8" w:color="666666"/>
            </w:tcBorders>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9"/>
              </w:rPr>
              <w:t>125%</w:t>
            </w:r>
          </w:p>
        </w:tc>
        <w:tc>
          <w:tcPr>
            <w:tcW w:w="980" w:type="dxa"/>
            <w:vAlign w:val="bottom"/>
            <w:tcBorders>
              <w:bottom w:val="single" w:sz="8" w:color="666666"/>
            </w:tcBorders>
            <w:gridSpan w:val="3"/>
            <w:shd w:val="clear" w:color="auto" w:fill="CCCCCC"/>
          </w:tcPr>
          <w:p>
            <w:pPr>
              <w:ind w:left="60"/>
              <w:spacing w:after="0"/>
              <w:rPr>
                <w:sz w:val="20"/>
                <w:szCs w:val="20"/>
                <w:color w:val="auto"/>
              </w:rPr>
            </w:pPr>
            <w:r>
              <w:rPr>
                <w:rFonts w:ascii="Arial" w:cs="Arial" w:eastAsia="Arial" w:hAnsi="Arial"/>
                <w:sz w:val="18"/>
                <w:szCs w:val="18"/>
                <w:color w:val="auto"/>
              </w:rPr>
              <w:t>​ ​425% ​​</w:t>
            </w:r>
          </w:p>
        </w:tc>
        <w:tc>
          <w:tcPr>
            <w:tcW w:w="1360" w:type="dxa"/>
            <w:vAlign w:val="bottom"/>
            <w:tcBorders>
              <w:bottom w:val="single" w:sz="8" w:color="666666"/>
            </w:tcBorders>
            <w:shd w:val="clear" w:color="auto" w:fill="CCCCCC"/>
          </w:tcPr>
          <w:p>
            <w:pPr>
              <w:jc w:val="center"/>
              <w:ind w:right="57"/>
              <w:spacing w:after="0"/>
              <w:rPr>
                <w:sz w:val="20"/>
                <w:szCs w:val="20"/>
                <w:color w:val="auto"/>
              </w:rPr>
            </w:pPr>
            <w:r>
              <w:rPr>
                <w:rFonts w:ascii="Arial" w:cs="Arial" w:eastAsia="Arial" w:hAnsi="Arial"/>
                <w:sz w:val="18"/>
                <w:szCs w:val="18"/>
                <w:color w:val="auto"/>
                <w:w w:val="99"/>
              </w:rPr>
              <w:t>425%</w:t>
            </w:r>
          </w:p>
        </w:tc>
        <w:tc>
          <w:tcPr>
            <w:tcW w:w="720" w:type="dxa"/>
            <w:vAlign w:val="bottom"/>
            <w:tcBorders>
              <w:bottom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shd w:val="clear" w:color="auto" w:fill="CCCCCC"/>
          </w:tcPr>
          <w:p>
            <w:pPr>
              <w:jc w:val="center"/>
              <w:ind w:right="453"/>
              <w:spacing w:after="0"/>
              <w:rPr>
                <w:sz w:val="20"/>
                <w:szCs w:val="20"/>
                <w:color w:val="auto"/>
              </w:rPr>
            </w:pPr>
            <w:r>
              <w:rPr>
                <w:rFonts w:ascii="Arial" w:cs="Arial" w:eastAsia="Arial" w:hAnsi="Arial"/>
                <w:sz w:val="18"/>
                <w:szCs w:val="18"/>
                <w:color w:val="auto"/>
                <w:w w:val="99"/>
              </w:rPr>
              <w:t>690%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18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H. Keith Jennings</w:t>
            </w:r>
          </w:p>
        </w:tc>
        <w:tc>
          <w:tcPr>
            <w:tcW w:w="1900" w:type="dxa"/>
            <w:vAlign w:val="bottom"/>
            <w:tcBorders>
              <w:bottom w:val="single" w:sz="8" w:color="666666"/>
            </w:tcBorders>
            <w:gridSpan w:val="3"/>
          </w:tcPr>
          <w:p>
            <w:pPr>
              <w:ind w:left="100"/>
              <w:spacing w:after="0"/>
              <w:rPr>
                <w:sz w:val="20"/>
                <w:szCs w:val="20"/>
                <w:color w:val="auto"/>
              </w:rPr>
            </w:pPr>
            <w:r>
              <w:rPr>
                <w:rFonts w:ascii="Arial" w:cs="Arial" w:eastAsia="Arial" w:hAnsi="Arial"/>
                <w:sz w:val="18"/>
                <w:szCs w:val="18"/>
                <w:color w:val="auto"/>
              </w:rPr>
              <w:t>​​​$500,000​​​$500,000</w:t>
            </w:r>
          </w:p>
        </w:tc>
        <w:tc>
          <w:tcPr>
            <w:tcW w:w="740" w:type="dxa"/>
            <w:vAlign w:val="bottom"/>
            <w:tcBorders>
              <w:bottom w:val="single" w:sz="8" w:color="666666"/>
            </w:tcBorders>
            <w:gridSpan w:val="2"/>
          </w:tcPr>
          <w:p>
            <w:pPr>
              <w:ind w:left="20"/>
              <w:spacing w:after="0"/>
              <w:rPr>
                <w:sz w:val="20"/>
                <w:szCs w:val="20"/>
                <w:color w:val="auto"/>
              </w:rPr>
            </w:pPr>
            <w:r>
              <w:rPr>
                <w:rFonts w:ascii="Arial" w:cs="Arial" w:eastAsia="Arial" w:hAnsi="Arial"/>
                <w:sz w:val="18"/>
                <w:szCs w:val="18"/>
                <w:color w:val="auto"/>
              </w:rPr>
              <w:t>​​ 100%</w:t>
            </w:r>
          </w:p>
        </w:tc>
        <w:tc>
          <w:tcPr>
            <w:tcW w:w="30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100%</w:t>
            </w:r>
          </w:p>
        </w:tc>
        <w:tc>
          <w:tcPr>
            <w:tcW w:w="980" w:type="dxa"/>
            <w:vAlign w:val="bottom"/>
            <w:tcBorders>
              <w:bottom w:val="single" w:sz="8" w:color="666666"/>
            </w:tcBorders>
            <w:gridSpan w:val="3"/>
          </w:tcPr>
          <w:p>
            <w:pPr>
              <w:ind w:left="60"/>
              <w:spacing w:after="0"/>
              <w:rPr>
                <w:sz w:val="20"/>
                <w:szCs w:val="20"/>
                <w:color w:val="auto"/>
              </w:rPr>
            </w:pPr>
            <w:r>
              <w:rPr>
                <w:rFonts w:ascii="Arial" w:cs="Arial" w:eastAsia="Arial" w:hAnsi="Arial"/>
                <w:sz w:val="18"/>
                <w:szCs w:val="18"/>
                <w:color w:val="auto"/>
              </w:rPr>
              <w:t>​ ​325% ​​</w:t>
            </w:r>
          </w:p>
        </w:tc>
        <w:tc>
          <w:tcPr>
            <w:tcW w:w="1360" w:type="dxa"/>
            <w:vAlign w:val="bottom"/>
            <w:tcBorders>
              <w:bottom w:val="single" w:sz="8" w:color="666666"/>
            </w:tcBorders>
          </w:tcPr>
          <w:p>
            <w:pPr>
              <w:jc w:val="center"/>
              <w:ind w:right="57"/>
              <w:spacing w:after="0"/>
              <w:rPr>
                <w:sz w:val="20"/>
                <w:szCs w:val="20"/>
                <w:color w:val="auto"/>
              </w:rPr>
            </w:pPr>
            <w:r>
              <w:rPr>
                <w:rFonts w:ascii="Arial" w:cs="Arial" w:eastAsia="Arial" w:hAnsi="Arial"/>
                <w:sz w:val="18"/>
                <w:szCs w:val="18"/>
                <w:color w:val="auto"/>
                <w:w w:val="99"/>
              </w:rPr>
              <w:t>325%</w:t>
            </w:r>
          </w:p>
        </w:tc>
        <w:tc>
          <w:tcPr>
            <w:tcW w:w="720" w:type="dxa"/>
            <w:vAlign w:val="bottom"/>
            <w:tcBorders>
              <w:bottom w:val="single" w:sz="8" w:color="666666"/>
            </w:tcBorders>
          </w:tcPr>
          <w:p>
            <w:pPr>
              <w:ind w:lef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tcPr>
          <w:p>
            <w:pPr>
              <w:jc w:val="center"/>
              <w:ind w:right="453"/>
              <w:spacing w:after="0"/>
              <w:rPr>
                <w:sz w:val="20"/>
                <w:szCs w:val="20"/>
                <w:color w:val="auto"/>
              </w:rPr>
            </w:pPr>
            <w:r>
              <w:rPr>
                <w:rFonts w:ascii="Arial" w:cs="Arial" w:eastAsia="Arial" w:hAnsi="Arial"/>
                <w:sz w:val="18"/>
                <w:szCs w:val="18"/>
                <w:color w:val="auto"/>
                <w:w w:val="99"/>
              </w:rPr>
              <w:t>400%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Scott C. Weatherholt</w:t>
            </w:r>
          </w:p>
        </w:tc>
        <w:tc>
          <w:tcPr>
            <w:tcW w:w="1900" w:type="dxa"/>
            <w:vAlign w:val="bottom"/>
            <w:tcBorders>
              <w:bottom w:val="single" w:sz="8" w:color="666666"/>
            </w:tcBorders>
            <w:gridSpan w:val="3"/>
            <w:shd w:val="clear" w:color="auto" w:fill="CCCCCC"/>
          </w:tcPr>
          <w:p>
            <w:pPr>
              <w:ind w:left="100"/>
              <w:spacing w:after="0"/>
              <w:rPr>
                <w:sz w:val="20"/>
                <w:szCs w:val="20"/>
                <w:color w:val="auto"/>
              </w:rPr>
            </w:pPr>
            <w:r>
              <w:rPr>
                <w:rFonts w:ascii="Arial" w:cs="Arial" w:eastAsia="Arial" w:hAnsi="Arial"/>
                <w:sz w:val="18"/>
                <w:szCs w:val="18"/>
                <w:color w:val="auto"/>
              </w:rPr>
              <w:t>​​​$425,000​​​$425,000</w:t>
            </w:r>
          </w:p>
        </w:tc>
        <w:tc>
          <w:tcPr>
            <w:tcW w:w="180" w:type="dxa"/>
            <w:vAlign w:val="bottom"/>
            <w:tcBorders>
              <w:bottom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5"/>
              </w:rPr>
              <w:t> 90%</w:t>
            </w:r>
          </w:p>
        </w:tc>
        <w:tc>
          <w:tcPr>
            <w:tcW w:w="300" w:type="dxa"/>
            <w:vAlign w:val="bottom"/>
            <w:tcBorders>
              <w:bottom w:val="single" w:sz="8" w:color="666666"/>
            </w:tcBorders>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9"/>
              </w:rPr>
              <w:t>90%</w:t>
            </w:r>
          </w:p>
        </w:tc>
        <w:tc>
          <w:tcPr>
            <w:tcW w:w="980" w:type="dxa"/>
            <w:vAlign w:val="bottom"/>
            <w:tcBorders>
              <w:bottom w:val="single" w:sz="8" w:color="666666"/>
            </w:tcBorders>
            <w:gridSpan w:val="3"/>
            <w:shd w:val="clear" w:color="auto" w:fill="CCCCCC"/>
          </w:tcPr>
          <w:p>
            <w:pPr>
              <w:ind w:left="60"/>
              <w:spacing w:after="0"/>
              <w:rPr>
                <w:sz w:val="20"/>
                <w:szCs w:val="20"/>
                <w:color w:val="auto"/>
              </w:rPr>
            </w:pPr>
            <w:r>
              <w:rPr>
                <w:rFonts w:ascii="Arial" w:cs="Arial" w:eastAsia="Arial" w:hAnsi="Arial"/>
                <w:sz w:val="18"/>
                <w:szCs w:val="18"/>
                <w:color w:val="auto"/>
              </w:rPr>
              <w:t>​ ​235% ​​</w:t>
            </w:r>
          </w:p>
        </w:tc>
        <w:tc>
          <w:tcPr>
            <w:tcW w:w="1360" w:type="dxa"/>
            <w:vAlign w:val="bottom"/>
            <w:tcBorders>
              <w:bottom w:val="single" w:sz="8" w:color="666666"/>
            </w:tcBorders>
            <w:shd w:val="clear" w:color="auto" w:fill="CCCCCC"/>
          </w:tcPr>
          <w:p>
            <w:pPr>
              <w:jc w:val="center"/>
              <w:ind w:right="57"/>
              <w:spacing w:after="0"/>
              <w:rPr>
                <w:sz w:val="20"/>
                <w:szCs w:val="20"/>
                <w:color w:val="auto"/>
              </w:rPr>
            </w:pPr>
            <w:r>
              <w:rPr>
                <w:rFonts w:ascii="Arial" w:cs="Arial" w:eastAsia="Arial" w:hAnsi="Arial"/>
                <w:sz w:val="18"/>
                <w:szCs w:val="18"/>
                <w:color w:val="auto"/>
                <w:w w:val="99"/>
              </w:rPr>
              <w:t>235%</w:t>
            </w:r>
          </w:p>
        </w:tc>
        <w:tc>
          <w:tcPr>
            <w:tcW w:w="720" w:type="dxa"/>
            <w:vAlign w:val="bottom"/>
            <w:tcBorders>
              <w:bottom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shd w:val="clear" w:color="auto" w:fill="CCCCCC"/>
          </w:tcPr>
          <w:p>
            <w:pPr>
              <w:jc w:val="center"/>
              <w:ind w:right="453"/>
              <w:spacing w:after="0"/>
              <w:rPr>
                <w:sz w:val="20"/>
                <w:szCs w:val="20"/>
                <w:color w:val="auto"/>
              </w:rPr>
            </w:pPr>
            <w:r>
              <w:rPr>
                <w:rFonts w:ascii="Arial" w:cs="Arial" w:eastAsia="Arial" w:hAnsi="Arial"/>
                <w:sz w:val="18"/>
                <w:szCs w:val="18"/>
                <w:color w:val="auto"/>
                <w:w w:val="99"/>
              </w:rPr>
              <w:t>300%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Joseph H. Mongrain</w:t>
            </w:r>
            <w:r>
              <w:rPr>
                <w:rFonts w:ascii="Arial" w:cs="Arial" w:eastAsia="Arial" w:hAnsi="Arial"/>
                <w:sz w:val="23"/>
                <w:szCs w:val="23"/>
                <w:color w:val="auto"/>
                <w:vertAlign w:val="superscript"/>
              </w:rPr>
              <w:t>(2)</w:t>
            </w:r>
          </w:p>
        </w:tc>
        <w:tc>
          <w:tcPr>
            <w:tcW w:w="400" w:type="dxa"/>
            <w:vAlign w:val="bottom"/>
            <w:tcBorders>
              <w:bottom w:val="single" w:sz="8" w:color="666666"/>
            </w:tcBorders>
            <w:gridSpan w:val="2"/>
          </w:tcPr>
          <w:p>
            <w:pPr>
              <w:ind w:left="10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666666"/>
            </w:tcBorders>
          </w:tcPr>
          <w:p>
            <w:pPr>
              <w:ind w:left="420"/>
              <w:spacing w:after="0"/>
              <w:rPr>
                <w:sz w:val="20"/>
                <w:szCs w:val="20"/>
                <w:color w:val="auto"/>
              </w:rPr>
            </w:pPr>
            <w:r>
              <w:rPr>
                <w:rFonts w:ascii="Arial" w:cs="Arial" w:eastAsia="Arial" w:hAnsi="Arial"/>
                <w:sz w:val="18"/>
                <w:szCs w:val="18"/>
                <w:color w:val="auto"/>
              </w:rPr>
              <w:t>—​​​$390,000</w:t>
            </w:r>
          </w:p>
        </w:tc>
        <w:tc>
          <w:tcPr>
            <w:tcW w:w="180" w:type="dxa"/>
            <w:vAlign w:val="bottom"/>
            <w:tcBorders>
              <w:bottom w:val="single" w:sz="8" w:color="666666"/>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75%</w:t>
            </w:r>
          </w:p>
        </w:tc>
        <w:tc>
          <w:tcPr>
            <w:tcW w:w="26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666666"/>
            </w:tcBorders>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666666"/>
            </w:tcBorders>
          </w:tcPr>
          <w:p>
            <w:pPr>
              <w:jc w:val="center"/>
              <w:ind w:right="57"/>
              <w:spacing w:after="0"/>
              <w:rPr>
                <w:sz w:val="20"/>
                <w:szCs w:val="20"/>
                <w:color w:val="auto"/>
              </w:rPr>
            </w:pPr>
            <w:r>
              <w:rPr>
                <w:rFonts w:ascii="Arial" w:cs="Arial" w:eastAsia="Arial" w:hAnsi="Arial"/>
                <w:sz w:val="18"/>
                <w:szCs w:val="18"/>
                <w:color w:val="auto"/>
                <w:w w:val="99"/>
              </w:rPr>
              <w:t>128%</w:t>
            </w:r>
          </w:p>
        </w:tc>
        <w:tc>
          <w:tcPr>
            <w:tcW w:w="720" w:type="dxa"/>
            <w:vAlign w:val="bottom"/>
            <w:tcBorders>
              <w:bottom w:val="single" w:sz="8" w:color="666666"/>
            </w:tcBorders>
          </w:tcPr>
          <w:p>
            <w:pPr>
              <w:ind w:lef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tcPr>
          <w:p>
            <w:pPr>
              <w:jc w:val="center"/>
              <w:ind w:right="453"/>
              <w:spacing w:after="0"/>
              <w:rPr>
                <w:sz w:val="20"/>
                <w:szCs w:val="20"/>
                <w:color w:val="auto"/>
              </w:rPr>
            </w:pPr>
            <w:r>
              <w:rPr>
                <w:rFonts w:ascii="Arial" w:cs="Arial" w:eastAsia="Arial" w:hAnsi="Arial"/>
                <w:sz w:val="18"/>
                <w:szCs w:val="18"/>
                <w:color w:val="auto"/>
                <w:w w:val="99"/>
              </w:rPr>
              <w:t>150%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Desmond J. Mills</w:t>
            </w:r>
            <w:r>
              <w:rPr>
                <w:rFonts w:ascii="Arial" w:cs="Arial" w:eastAsia="Arial" w:hAnsi="Arial"/>
                <w:sz w:val="23"/>
                <w:szCs w:val="23"/>
                <w:color w:val="auto"/>
                <w:vertAlign w:val="superscript"/>
              </w:rPr>
              <w:t>(2)</w:t>
            </w:r>
          </w:p>
        </w:tc>
        <w:tc>
          <w:tcPr>
            <w:tcW w:w="40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—​​​$360,000</w:t>
            </w:r>
          </w:p>
        </w:tc>
        <w:tc>
          <w:tcPr>
            <w:tcW w:w="18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65%</w:t>
            </w:r>
          </w:p>
        </w:tc>
        <w:tc>
          <w:tcPr>
            <w:tcW w:w="2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CCCC"/>
          </w:tcPr>
          <w:p>
            <w:pPr>
              <w:jc w:val="center"/>
              <w:ind w:right="57"/>
              <w:spacing w:after="0"/>
              <w:rPr>
                <w:sz w:val="20"/>
                <w:szCs w:val="20"/>
                <w:color w:val="auto"/>
              </w:rPr>
            </w:pPr>
            <w:r>
              <w:rPr>
                <w:rFonts w:ascii="Arial" w:cs="Arial" w:eastAsia="Arial" w:hAnsi="Arial"/>
                <w:sz w:val="18"/>
                <w:szCs w:val="18"/>
                <w:color w:val="auto"/>
                <w:w w:val="99"/>
              </w:rPr>
              <w:t>100%</w:t>
            </w:r>
          </w:p>
        </w:tc>
        <w:tc>
          <w:tcPr>
            <w:tcW w:w="7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shd w:val="clear" w:color="auto" w:fill="CCCCCC"/>
          </w:tcPr>
          <w:p>
            <w:pPr>
              <w:jc w:val="center"/>
              <w:ind w:right="453"/>
              <w:spacing w:after="0"/>
              <w:rPr>
                <w:sz w:val="20"/>
                <w:szCs w:val="20"/>
                <w:color w:val="auto"/>
              </w:rPr>
            </w:pPr>
            <w:r>
              <w:rPr>
                <w:rFonts w:ascii="Arial" w:cs="Arial" w:eastAsia="Arial" w:hAnsi="Arial"/>
                <w:sz w:val="18"/>
                <w:szCs w:val="18"/>
                <w:color w:val="auto"/>
                <w:w w:val="99"/>
              </w:rPr>
              <w:t>100%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-1113790</wp:posOffset>
            </wp:positionV>
            <wp:extent cx="14744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74470" cy="17145"/>
                    </a:xfrm>
                    <a:prstGeom prst="rect">
                      <a:avLst/>
                    </a:prstGeom>
                    <a:noFill/>
                  </pic:spPr>
                </pic:pic>
              </a:graphicData>
            </a:graphic>
          </wp:anchor>
        </w:drawing>
      </w:r>
    </w:p>
    <w:p>
      <w:pPr>
        <w:spacing w:after="0" w:line="119" w:lineRule="exact"/>
        <w:rPr>
          <w:sz w:val="20"/>
          <w:szCs w:val="20"/>
          <w:color w:val="auto"/>
        </w:rPr>
      </w:pPr>
    </w:p>
    <w:p>
      <w:pPr>
        <w:ind w:left="800" w:right="420" w:hanging="362"/>
        <w:spacing w:after="0" w:line="211" w:lineRule="auto"/>
        <w:tabs>
          <w:tab w:leader="none" w:pos="800" w:val="left"/>
        </w:tabs>
        <w:numPr>
          <w:ilvl w:val="0"/>
          <w:numId w:val="35"/>
        </w:numPr>
        <w:rPr>
          <w:rFonts w:ascii="Arial" w:cs="Arial" w:eastAsia="Arial" w:hAnsi="Arial"/>
          <w:sz w:val="22"/>
          <w:szCs w:val="22"/>
          <w:color w:val="BA0C2F"/>
          <w:vertAlign w:val="superscript"/>
        </w:rPr>
      </w:pPr>
      <w:r>
        <w:rPr>
          <w:rFonts w:ascii="Arial" w:cs="Arial" w:eastAsia="Arial" w:hAnsi="Arial"/>
          <w:sz w:val="14"/>
          <w:szCs w:val="14"/>
          <w:color w:val="auto"/>
        </w:rPr>
        <w:t>Reflects compensation changes made effective November 1, 2021. See discussion in the “Base Salary” section below for additional information regarding these changes.</w:t>
      </w:r>
    </w:p>
    <w:p>
      <w:pPr>
        <w:spacing w:after="0" w:line="1" w:lineRule="exact"/>
        <w:rPr>
          <w:rFonts w:ascii="Arial" w:cs="Arial" w:eastAsia="Arial" w:hAnsi="Arial"/>
          <w:sz w:val="22"/>
          <w:szCs w:val="22"/>
          <w:color w:val="BA0C2F"/>
          <w:vertAlign w:val="superscript"/>
        </w:rPr>
      </w:pPr>
    </w:p>
    <w:p>
      <w:pPr>
        <w:ind w:left="800" w:right="160" w:hanging="362"/>
        <w:spacing w:after="0" w:line="225" w:lineRule="auto"/>
        <w:tabs>
          <w:tab w:leader="none" w:pos="800" w:val="left"/>
        </w:tabs>
        <w:numPr>
          <w:ilvl w:val="0"/>
          <w:numId w:val="35"/>
        </w:numPr>
        <w:rPr>
          <w:rFonts w:ascii="Arial" w:cs="Arial" w:eastAsia="Arial" w:hAnsi="Arial"/>
          <w:sz w:val="22"/>
          <w:szCs w:val="22"/>
          <w:color w:val="BA0C2F"/>
          <w:vertAlign w:val="superscript"/>
        </w:rPr>
      </w:pPr>
      <w:r>
        <w:rPr>
          <w:rFonts w:ascii="Arial" w:cs="Arial" w:eastAsia="Arial" w:hAnsi="Arial"/>
          <w:sz w:val="14"/>
          <w:szCs w:val="14"/>
          <w:color w:val="auto"/>
        </w:rPr>
        <w:t>Messrs. Mongrain and Mills started with the Company in 2021 and therefore no information is provided for them in 2020. As discussed further in the following section, Messrs. Mongrain and Mills were promoted effective November 1, 2021, making changes to their base salary, annual incentive targets and long-term incentive targets.</w:t>
      </w:r>
    </w:p>
    <w:p>
      <w:pPr>
        <w:ind w:left="800" w:hanging="362"/>
        <w:spacing w:after="0" w:line="183" w:lineRule="auto"/>
        <w:tabs>
          <w:tab w:leader="none" w:pos="800" w:val="left"/>
        </w:tabs>
        <w:numPr>
          <w:ilvl w:val="0"/>
          <w:numId w:val="35"/>
        </w:numPr>
        <w:rPr>
          <w:rFonts w:ascii="Arial" w:cs="Arial" w:eastAsia="Arial" w:hAnsi="Arial"/>
          <w:sz w:val="20"/>
          <w:szCs w:val="20"/>
          <w:color w:val="BA0C2F"/>
          <w:vertAlign w:val="superscript"/>
        </w:rPr>
      </w:pPr>
      <w:r>
        <w:rPr>
          <w:rFonts w:ascii="Arial" w:cs="Arial" w:eastAsia="Arial" w:hAnsi="Arial"/>
          <w:sz w:val="14"/>
          <w:szCs w:val="14"/>
          <w:color w:val="auto"/>
        </w:rPr>
        <w:t>Excludes one-time long-term incentive award under the WAGE Program.</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BASE SALARY</w:t>
      </w:r>
    </w:p>
    <w:p>
      <w:pPr>
        <w:spacing w:after="0" w:line="114" w:lineRule="exact"/>
        <w:rPr>
          <w:sz w:val="20"/>
          <w:szCs w:val="20"/>
          <w:color w:val="auto"/>
        </w:rPr>
      </w:pPr>
    </w:p>
    <w:p>
      <w:pPr>
        <w:ind w:left="440" w:right="260"/>
        <w:spacing w:after="0" w:line="246" w:lineRule="auto"/>
        <w:rPr>
          <w:sz w:val="20"/>
          <w:szCs w:val="20"/>
          <w:color w:val="auto"/>
        </w:rPr>
      </w:pPr>
      <w:r>
        <w:rPr>
          <w:rFonts w:ascii="Arial" w:cs="Arial" w:eastAsia="Arial" w:hAnsi="Arial"/>
          <w:sz w:val="18"/>
          <w:szCs w:val="18"/>
          <w:color w:val="auto"/>
        </w:rPr>
        <w:t>Base salary provides a fixed element of an NEO’s annual cash compensation and a foundation for a market-competitive package intended to attract and retain highly qualified executives. The Committee reviews the base salary for each of our NEOs on at least an annual basis and considers the following factors in making its determinations:</w:t>
      </w:r>
    </w:p>
    <w:p>
      <w:pPr>
        <w:spacing w:after="0" w:line="3" w:lineRule="exact"/>
        <w:rPr>
          <w:sz w:val="20"/>
          <w:szCs w:val="20"/>
          <w:color w:val="auto"/>
        </w:rPr>
      </w:pPr>
    </w:p>
    <w:p>
      <w:pPr>
        <w:ind w:left="880" w:hanging="226"/>
        <w:spacing w:after="0"/>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the NEO’s position including roles and responsibilities;</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experience, expertise, knowledge and qualifications;</w:t>
      </w:r>
    </w:p>
    <w:p>
      <w:pPr>
        <w:spacing w:after="0" w:line="9" w:lineRule="exact"/>
        <w:rPr>
          <w:rFonts w:ascii="Arial" w:cs="Arial" w:eastAsia="Arial" w:hAnsi="Arial"/>
          <w:sz w:val="18"/>
          <w:szCs w:val="18"/>
          <w:color w:val="BA0C2F"/>
        </w:rPr>
      </w:pPr>
    </w:p>
    <w:p>
      <w:pPr>
        <w:ind w:left="880" w:hanging="226"/>
        <w:spacing w:after="0" w:line="234" w:lineRule="auto"/>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market factors and the industry(ies) in which we operate and compete;</w:t>
      </w:r>
    </w:p>
    <w:p>
      <w:pPr>
        <w:ind w:left="880" w:hanging="226"/>
        <w:spacing w:after="0"/>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recruitment and retention considerations;</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the NEO’s individual compensation history;</w:t>
      </w:r>
    </w:p>
    <w:p>
      <w:pPr>
        <w:spacing w:after="0" w:line="9" w:lineRule="exact"/>
        <w:rPr>
          <w:rFonts w:ascii="Arial" w:cs="Arial" w:eastAsia="Arial" w:hAnsi="Arial"/>
          <w:sz w:val="18"/>
          <w:szCs w:val="18"/>
          <w:color w:val="BA0C2F"/>
        </w:rPr>
      </w:pPr>
    </w:p>
    <w:p>
      <w:pPr>
        <w:ind w:left="880" w:right="900" w:hanging="226"/>
        <w:spacing w:after="0" w:line="242" w:lineRule="auto"/>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internal equity among salary levels of the members of our executive team and similarly situated/comparable executives in our peer group; and</w:t>
      </w:r>
    </w:p>
    <w:p>
      <w:pPr>
        <w:spacing w:after="0" w:line="1" w:lineRule="exact"/>
        <w:rPr>
          <w:rFonts w:ascii="Arial" w:cs="Arial" w:eastAsia="Arial" w:hAnsi="Arial"/>
          <w:sz w:val="18"/>
          <w:szCs w:val="18"/>
          <w:color w:val="BA0C2F"/>
        </w:rPr>
      </w:pPr>
    </w:p>
    <w:p>
      <w:pPr>
        <w:ind w:left="880" w:hanging="226"/>
        <w:spacing w:after="0"/>
        <w:tabs>
          <w:tab w:leader="none" w:pos="880" w:val="left"/>
        </w:tabs>
        <w:numPr>
          <w:ilvl w:val="0"/>
          <w:numId w:val="36"/>
        </w:numPr>
        <w:rPr>
          <w:rFonts w:ascii="Arial" w:cs="Arial" w:eastAsia="Arial" w:hAnsi="Arial"/>
          <w:sz w:val="18"/>
          <w:szCs w:val="18"/>
          <w:color w:val="BA0C2F"/>
        </w:rPr>
      </w:pPr>
      <w:r>
        <w:rPr>
          <w:rFonts w:ascii="Arial" w:cs="Arial" w:eastAsia="Arial" w:hAnsi="Arial"/>
          <w:sz w:val="18"/>
          <w:szCs w:val="18"/>
          <w:color w:val="auto"/>
        </w:rPr>
        <w:t>our overall compensation philosophy.</w:t>
      </w:r>
    </w:p>
    <w:p>
      <w:pPr>
        <w:spacing w:after="0" w:line="99" w:lineRule="exact"/>
        <w:rPr>
          <w:sz w:val="20"/>
          <w:szCs w:val="20"/>
          <w:color w:val="auto"/>
        </w:rPr>
      </w:pPr>
    </w:p>
    <w:p>
      <w:pPr>
        <w:ind w:left="440" w:right="400"/>
        <w:spacing w:after="0" w:line="318" w:lineRule="auto"/>
        <w:rPr>
          <w:sz w:val="20"/>
          <w:szCs w:val="20"/>
          <w:color w:val="auto"/>
        </w:rPr>
      </w:pPr>
      <w:r>
        <w:rPr>
          <w:rFonts w:ascii="Arial" w:cs="Arial" w:eastAsia="Arial" w:hAnsi="Arial"/>
          <w:sz w:val="17"/>
          <w:szCs w:val="17"/>
          <w:color w:val="auto"/>
        </w:rPr>
        <w:t>During our October 2021 annual review of competitive executive compensation, it was identified that our CEO and two additional NEOs were aligned neither with our compensation strategy, nor with market peers. At the recommendation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85725</wp:posOffset>
            </wp:positionV>
            <wp:extent cx="6231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47"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LB&amp;Co., Mr. Saligram’s salary was increased 9.1% to 90% of the peer group median. Mr. Mongrain was promoted to Executive Vice President and Chief People Officer and provided a 5.4% increase in base salary and an additional 10% of annual incentive target. Mr. Mills was promoted to Senior Vice President and Chief Accounting Officer and provided a 10.8% increase in base salary and an additional 5% of the annual incentive target. No other NEO’s received a base salary increase. Base salary increases for the aforementioned NEOs were effective November 1, 2021. The table below shows the NEO’s base salaries before and after the November 1, 2021 adjustments:</w:t>
      </w:r>
    </w:p>
    <w:p>
      <w:pPr>
        <w:spacing w:after="0" w:line="133"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4160" w:type="dxa"/>
            <w:vAlign w:val="bottom"/>
          </w:tcPr>
          <w:p>
            <w:pPr>
              <w:spacing w:after="0"/>
              <w:rPr>
                <w:sz w:val="20"/>
                <w:szCs w:val="20"/>
                <w:color w:val="auto"/>
              </w:rPr>
            </w:pPr>
            <w:r>
              <w:rPr>
                <w:rFonts w:ascii="Arial" w:cs="Arial" w:eastAsia="Arial" w:hAnsi="Arial"/>
                <w:sz w:val="14"/>
                <w:szCs w:val="14"/>
                <w:color w:val="FFFFFF"/>
              </w:rPr>
              <w:t>​</w:t>
            </w:r>
          </w:p>
        </w:tc>
        <w:tc>
          <w:tcPr>
            <w:tcW w:w="2160" w:type="dxa"/>
            <w:vAlign w:val="bottom"/>
          </w:tcPr>
          <w:p>
            <w:pPr>
              <w:ind w:left="2080"/>
              <w:spacing w:after="0"/>
              <w:rPr>
                <w:sz w:val="20"/>
                <w:szCs w:val="20"/>
                <w:color w:val="auto"/>
              </w:rPr>
            </w:pPr>
            <w:r>
              <w:rPr>
                <w:rFonts w:ascii="Arial" w:cs="Arial" w:eastAsia="Arial" w:hAnsi="Arial"/>
                <w:sz w:val="14"/>
                <w:szCs w:val="14"/>
                <w:color w:val="FFFFFF"/>
              </w:rPr>
              <w:t>​</w:t>
            </w:r>
          </w:p>
        </w:tc>
        <w:tc>
          <w:tcPr>
            <w:tcW w:w="80" w:type="dxa"/>
            <w:vAlign w:val="bottom"/>
            <w:shd w:val="clear" w:color="auto" w:fill="BA0C2F"/>
          </w:tcPr>
          <w:p>
            <w:pPr>
              <w:spacing w:after="0"/>
              <w:rPr>
                <w:sz w:val="20"/>
                <w:szCs w:val="20"/>
                <w:color w:val="auto"/>
              </w:rPr>
            </w:pPr>
            <w:r>
              <w:rPr>
                <w:rFonts w:ascii="Arial" w:cs="Arial" w:eastAsia="Arial" w:hAnsi="Arial"/>
                <w:sz w:val="14"/>
                <w:szCs w:val="14"/>
                <w:color w:val="FFFFFF"/>
              </w:rPr>
              <w:t>​</w:t>
            </w:r>
          </w:p>
        </w:tc>
        <w:tc>
          <w:tcPr>
            <w:tcW w:w="180" w:type="dxa"/>
            <w:vAlign w:val="bottom"/>
            <w:shd w:val="clear" w:color="auto" w:fill="BA0C2F"/>
          </w:tcPr>
          <w:p>
            <w:pPr>
              <w:spacing w:after="0"/>
              <w:rPr>
                <w:sz w:val="23"/>
                <w:szCs w:val="23"/>
                <w:color w:val="auto"/>
              </w:rPr>
            </w:pPr>
          </w:p>
        </w:tc>
        <w:tc>
          <w:tcPr>
            <w:tcW w:w="1540" w:type="dxa"/>
            <w:vAlign w:val="bottom"/>
            <w:shd w:val="clear" w:color="auto" w:fill="BA0C2F"/>
          </w:tcPr>
          <w:p>
            <w:pPr>
              <w:ind w:left="720"/>
              <w:spacing w:after="0"/>
              <w:rPr>
                <w:sz w:val="20"/>
                <w:szCs w:val="20"/>
                <w:color w:val="auto"/>
              </w:rPr>
            </w:pPr>
            <w:r>
              <w:rPr>
                <w:rFonts w:ascii="Arial" w:cs="Arial" w:eastAsia="Arial" w:hAnsi="Arial"/>
                <w:sz w:val="14"/>
                <w:szCs w:val="14"/>
                <w:color w:val="FFFFFF"/>
              </w:rPr>
              <w:t>Base Salary</w:t>
            </w:r>
          </w:p>
        </w:tc>
        <w:tc>
          <w:tcPr>
            <w:tcW w:w="920" w:type="dxa"/>
            <w:vAlign w:val="bottom"/>
            <w:shd w:val="clear" w:color="auto" w:fill="BA0C2F"/>
          </w:tcPr>
          <w:p>
            <w:pPr>
              <w:ind w:left="840"/>
              <w:spacing w:after="0"/>
              <w:rPr>
                <w:sz w:val="20"/>
                <w:szCs w:val="20"/>
                <w:color w:val="auto"/>
              </w:rPr>
            </w:pPr>
            <w:r>
              <w:rPr>
                <w:rFonts w:ascii="Arial" w:cs="Arial" w:eastAsia="Arial" w:hAnsi="Arial"/>
                <w:sz w:val="14"/>
                <w:szCs w:val="14"/>
                <w:color w:val="FFFFFF"/>
              </w:rPr>
              <w:t>​</w:t>
            </w:r>
          </w:p>
        </w:tc>
        <w:tc>
          <w:tcPr>
            <w:tcW w:w="160" w:type="dxa"/>
            <w:vAlign w:val="bottom"/>
          </w:tcPr>
          <w:p>
            <w:pPr>
              <w:spacing w:after="0"/>
              <w:rPr>
                <w:sz w:val="20"/>
                <w:szCs w:val="20"/>
                <w:color w:val="auto"/>
              </w:rPr>
            </w:pPr>
            <w:r>
              <w:rPr>
                <w:rFonts w:ascii="Arial" w:cs="Arial" w:eastAsia="Arial" w:hAnsi="Arial"/>
                <w:sz w:val="14"/>
                <w:szCs w:val="14"/>
                <w:color w:val="FFFFFF"/>
              </w:rPr>
              <w:t>​</w:t>
            </w:r>
          </w:p>
        </w:tc>
        <w:tc>
          <w:tcPr>
            <w:tcW w:w="5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FFFFFF"/>
              </w:rPr>
              <w:t>​</w:t>
            </w:r>
          </w:p>
        </w:tc>
      </w:tr>
      <w:tr>
        <w:trPr>
          <w:trHeight w:val="173"/>
        </w:trPr>
        <w:tc>
          <w:tcPr>
            <w:tcW w:w="4160" w:type="dxa"/>
            <w:vAlign w:val="bottom"/>
            <w:tcBorders>
              <w:top w:val="single" w:sz="8" w:color="BA0C2F"/>
            </w:tcBorders>
            <w:shd w:val="clear" w:color="auto" w:fill="BA0C2F"/>
          </w:tcPr>
          <w:p>
            <w:pPr>
              <w:spacing w:after="0"/>
              <w:rPr>
                <w:sz w:val="15"/>
                <w:szCs w:val="15"/>
                <w:color w:val="auto"/>
              </w:rPr>
            </w:pPr>
          </w:p>
        </w:tc>
        <w:tc>
          <w:tcPr>
            <w:tcW w:w="2160" w:type="dxa"/>
            <w:vAlign w:val="bottom"/>
            <w:tcBorders>
              <w:top w:val="single" w:sz="8" w:color="BA0C2F"/>
            </w:tcBorders>
            <w:shd w:val="clear" w:color="auto" w:fill="BA0C2F"/>
          </w:tcPr>
          <w:p>
            <w:pPr>
              <w:spacing w:after="0"/>
              <w:rPr>
                <w:sz w:val="15"/>
                <w:szCs w:val="15"/>
                <w:color w:val="auto"/>
              </w:rPr>
            </w:pPr>
          </w:p>
        </w:tc>
        <w:tc>
          <w:tcPr>
            <w:tcW w:w="80" w:type="dxa"/>
            <w:vAlign w:val="bottom"/>
            <w:tcBorders>
              <w:top w:val="single" w:sz="8" w:color="auto"/>
            </w:tcBorders>
            <w:shd w:val="clear" w:color="auto" w:fill="BA0C2F"/>
          </w:tcPr>
          <w:p>
            <w:pPr>
              <w:spacing w:after="0"/>
              <w:rPr>
                <w:sz w:val="15"/>
                <w:szCs w:val="15"/>
                <w:color w:val="auto"/>
              </w:rPr>
            </w:pPr>
          </w:p>
        </w:tc>
        <w:tc>
          <w:tcPr>
            <w:tcW w:w="180" w:type="dxa"/>
            <w:vAlign w:val="bottom"/>
            <w:tcBorders>
              <w:top w:val="single" w:sz="8" w:color="auto"/>
            </w:tcBorders>
            <w:shd w:val="clear" w:color="auto" w:fill="BA0C2F"/>
          </w:tcPr>
          <w:p>
            <w:pPr>
              <w:spacing w:after="0"/>
              <w:rPr>
                <w:sz w:val="15"/>
                <w:szCs w:val="15"/>
                <w:color w:val="auto"/>
              </w:rPr>
            </w:pPr>
          </w:p>
        </w:tc>
        <w:tc>
          <w:tcPr>
            <w:tcW w:w="1540" w:type="dxa"/>
            <w:vAlign w:val="bottom"/>
            <w:tcBorders>
              <w:top w:val="single" w:sz="8" w:color="auto"/>
            </w:tcBorders>
            <w:shd w:val="clear" w:color="auto" w:fill="BA0C2F"/>
          </w:tcPr>
          <w:p>
            <w:pPr>
              <w:ind w:left="180"/>
              <w:spacing w:after="0"/>
              <w:rPr>
                <w:sz w:val="20"/>
                <w:szCs w:val="20"/>
                <w:color w:val="auto"/>
              </w:rPr>
            </w:pPr>
            <w:r>
              <w:rPr>
                <w:rFonts w:ascii="Arial" w:cs="Arial" w:eastAsia="Arial" w:hAnsi="Arial"/>
                <w:sz w:val="14"/>
                <w:szCs w:val="14"/>
                <w:color w:val="FFFFFF"/>
              </w:rPr>
              <w:t>Before</w:t>
            </w:r>
          </w:p>
        </w:tc>
        <w:tc>
          <w:tcPr>
            <w:tcW w:w="920" w:type="dxa"/>
            <w:vAlign w:val="bottom"/>
            <w:tcBorders>
              <w:top w:val="single" w:sz="8" w:color="auto"/>
            </w:tcBorders>
            <w:shd w:val="clear" w:color="auto" w:fill="BA0C2F"/>
          </w:tcPr>
          <w:p>
            <w:pPr>
              <w:ind w:left="80"/>
              <w:spacing w:after="0"/>
              <w:rPr>
                <w:sz w:val="20"/>
                <w:szCs w:val="20"/>
                <w:color w:val="auto"/>
              </w:rPr>
            </w:pPr>
            <w:r>
              <w:rPr>
                <w:rFonts w:ascii="Arial" w:cs="Arial" w:eastAsia="Arial" w:hAnsi="Arial"/>
                <w:sz w:val="14"/>
                <w:szCs w:val="14"/>
                <w:color w:val="FFFFFF"/>
              </w:rPr>
              <w:t>After</w:t>
            </w:r>
          </w:p>
        </w:tc>
        <w:tc>
          <w:tcPr>
            <w:tcW w:w="160" w:type="dxa"/>
            <w:vAlign w:val="bottom"/>
            <w:tcBorders>
              <w:top w:val="single" w:sz="8" w:color="BA0C2F"/>
            </w:tcBorders>
            <w:shd w:val="clear" w:color="auto" w:fill="BA0C2F"/>
          </w:tcPr>
          <w:p>
            <w:pPr>
              <w:spacing w:after="0"/>
              <w:rPr>
                <w:sz w:val="15"/>
                <w:szCs w:val="15"/>
                <w:color w:val="auto"/>
              </w:rPr>
            </w:pPr>
          </w:p>
        </w:tc>
        <w:tc>
          <w:tcPr>
            <w:tcW w:w="520" w:type="dxa"/>
            <w:vAlign w:val="bottom"/>
            <w:tcBorders>
              <w:top w:val="single" w:sz="8" w:color="BA0C2F"/>
            </w:tcBorders>
            <w:shd w:val="clear" w:color="auto" w:fill="BA0C2F"/>
          </w:tcPr>
          <w:p>
            <w:pPr>
              <w:spacing w:after="0"/>
              <w:rPr>
                <w:sz w:val="15"/>
                <w:szCs w:val="15"/>
                <w:color w:val="auto"/>
              </w:rPr>
            </w:pPr>
          </w:p>
        </w:tc>
        <w:tc>
          <w:tcPr>
            <w:tcW w:w="80" w:type="dxa"/>
            <w:vAlign w:val="bottom"/>
            <w:tcBorders>
              <w:top w:val="single" w:sz="8" w:color="BA0C2F"/>
            </w:tcBorders>
            <w:shd w:val="clear" w:color="auto" w:fill="BA0C2F"/>
          </w:tcPr>
          <w:p>
            <w:pPr>
              <w:spacing w:after="0"/>
              <w:rPr>
                <w:sz w:val="15"/>
                <w:szCs w:val="15"/>
                <w:color w:val="auto"/>
              </w:rPr>
            </w:pPr>
          </w:p>
        </w:tc>
        <w:tc>
          <w:tcPr>
            <w:tcW w:w="40" w:type="dxa"/>
            <w:vAlign w:val="bottom"/>
          </w:tcPr>
          <w:p>
            <w:pPr>
              <w:spacing w:after="0"/>
              <w:rPr>
                <w:sz w:val="15"/>
                <w:szCs w:val="15"/>
                <w:color w:val="auto"/>
              </w:rPr>
            </w:pPr>
          </w:p>
        </w:tc>
      </w:tr>
      <w:tr>
        <w:trPr>
          <w:trHeight w:val="198"/>
        </w:trPr>
        <w:tc>
          <w:tcPr>
            <w:tcW w:w="41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2160" w:type="dxa"/>
            <w:vAlign w:val="bottom"/>
            <w:tcBorders>
              <w:bottom w:val="single" w:sz="8" w:color="auto"/>
            </w:tcBorders>
            <w:shd w:val="clear" w:color="auto" w:fill="BA0C2F"/>
          </w:tcPr>
          <w:p>
            <w:pPr>
              <w:ind w:left="2120"/>
              <w:spacing w:after="0"/>
              <w:rPr>
                <w:sz w:val="20"/>
                <w:szCs w:val="20"/>
                <w:color w:val="auto"/>
              </w:rPr>
            </w:pPr>
            <w:r>
              <w:rPr>
                <w:rFonts w:ascii="Arial" w:cs="Arial" w:eastAsia="Arial" w:hAnsi="Arial"/>
                <w:sz w:val="14"/>
                <w:szCs w:val="14"/>
                <w:color w:val="FFFFFF"/>
              </w:rPr>
              <w:t>​</w:t>
            </w:r>
          </w:p>
        </w:tc>
        <w:tc>
          <w:tcPr>
            <w:tcW w:w="80" w:type="dxa"/>
            <w:vAlign w:val="bottom"/>
            <w:tcBorders>
              <w:bottom w:val="single" w:sz="8" w:color="auto"/>
            </w:tcBorders>
            <w:shd w:val="clear" w:color="auto" w:fill="BA0C2F"/>
          </w:tcPr>
          <w:p>
            <w:pPr>
              <w:ind w:left="40"/>
              <w:spacing w:after="0"/>
              <w:rPr>
                <w:sz w:val="20"/>
                <w:szCs w:val="20"/>
                <w:color w:val="auto"/>
              </w:rPr>
            </w:pPr>
            <w:r>
              <w:rPr>
                <w:rFonts w:ascii="Arial" w:cs="Arial" w:eastAsia="Arial" w:hAnsi="Arial"/>
                <w:sz w:val="14"/>
                <w:szCs w:val="14"/>
                <w:color w:val="FFFFFF"/>
              </w:rPr>
              <w:t>​</w:t>
            </w:r>
          </w:p>
        </w:tc>
        <w:tc>
          <w:tcPr>
            <w:tcW w:w="3400" w:type="dxa"/>
            <w:vAlign w:val="bottom"/>
            <w:tcBorders>
              <w:bottom w:val="single" w:sz="8" w:color="auto"/>
            </w:tcBorders>
            <w:gridSpan w:val="6"/>
            <w:shd w:val="clear" w:color="auto" w:fill="BA0C2F"/>
          </w:tcPr>
          <w:p>
            <w:pPr>
              <w:spacing w:after="0" w:line="199" w:lineRule="exact"/>
              <w:rPr>
                <w:sz w:val="20"/>
                <w:szCs w:val="20"/>
                <w:color w:val="auto"/>
              </w:rPr>
            </w:pPr>
            <w:r>
              <w:rPr>
                <w:rFonts w:ascii="Arial" w:cs="Arial" w:eastAsia="Arial" w:hAnsi="Arial"/>
                <w:sz w:val="12"/>
                <w:szCs w:val="12"/>
                <w:color w:val="FFFFFF"/>
              </w:rPr>
              <w:t xml:space="preserve">November 1, 2021 </w:t>
            </w:r>
            <w:r>
              <w:rPr>
                <w:rFonts w:ascii="Arial" w:cs="Arial" w:eastAsia="Arial" w:hAnsi="Arial"/>
                <w:sz w:val="22"/>
                <w:szCs w:val="22"/>
                <w:color w:val="FFFFFF"/>
                <w:vertAlign w:val="subscript"/>
              </w:rPr>
              <w:t>​ ​</w:t>
            </w:r>
            <w:r>
              <w:rPr>
                <w:rFonts w:ascii="Arial" w:cs="Arial" w:eastAsia="Arial" w:hAnsi="Arial"/>
                <w:sz w:val="12"/>
                <w:szCs w:val="12"/>
                <w:color w:val="FFFFFF"/>
              </w:rPr>
              <w:t xml:space="preserve">November 1, 2021 </w:t>
            </w:r>
            <w:r>
              <w:rPr>
                <w:rFonts w:ascii="Arial" w:cs="Arial" w:eastAsia="Arial" w:hAnsi="Arial"/>
                <w:sz w:val="22"/>
                <w:szCs w:val="22"/>
                <w:color w:val="FFFFFF"/>
                <w:vertAlign w:val="subscript"/>
              </w:rPr>
              <w:t>​ ​</w:t>
            </w:r>
            <w:r>
              <w:rPr>
                <w:rFonts w:ascii="Arial" w:cs="Arial" w:eastAsia="Arial" w:hAnsi="Arial"/>
                <w:sz w:val="12"/>
                <w:szCs w:val="12"/>
                <w:color w:val="FFFFFF"/>
              </w:rPr>
              <w:t>% Change</w:t>
            </w:r>
          </w:p>
        </w:tc>
        <w:tc>
          <w:tcPr>
            <w:tcW w:w="40" w:type="dxa"/>
            <w:vAlign w:val="bottom"/>
          </w:tcPr>
          <w:p>
            <w:pPr>
              <w:jc w:val="right"/>
              <w:spacing w:after="0"/>
              <w:rPr>
                <w:sz w:val="20"/>
                <w:szCs w:val="20"/>
                <w:color w:val="auto"/>
              </w:rPr>
            </w:pPr>
            <w:r>
              <w:rPr>
                <w:rFonts w:ascii="Arial" w:cs="Arial" w:eastAsia="Arial" w:hAnsi="Arial"/>
                <w:sz w:val="14"/>
                <w:szCs w:val="14"/>
                <w:color w:val="FFFFFF"/>
              </w:rPr>
              <w:t>​</w:t>
            </w:r>
          </w:p>
        </w:tc>
      </w:tr>
      <w:tr>
        <w:trPr>
          <w:trHeight w:val="237"/>
        </w:trPr>
        <w:tc>
          <w:tcPr>
            <w:tcW w:w="416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2420" w:type="dxa"/>
            <w:vAlign w:val="bottom"/>
            <w:tcBorders>
              <w:bottom w:val="single" w:sz="8" w:color="666666"/>
            </w:tcBorders>
            <w:gridSpan w:val="3"/>
            <w:shd w:val="clear" w:color="auto" w:fill="CCCCCC"/>
          </w:tcPr>
          <w:p>
            <w:pPr>
              <w:ind w:left="21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666666"/>
            </w:tcBorders>
            <w:shd w:val="clear" w:color="auto" w:fill="CCCCCC"/>
          </w:tcPr>
          <w:p>
            <w:pPr>
              <w:ind w:left="240"/>
              <w:spacing w:after="0"/>
              <w:rPr>
                <w:sz w:val="20"/>
                <w:szCs w:val="20"/>
                <w:color w:val="auto"/>
              </w:rPr>
            </w:pPr>
            <w:r>
              <w:rPr>
                <w:rFonts w:ascii="Arial" w:cs="Arial" w:eastAsia="Arial" w:hAnsi="Arial"/>
                <w:sz w:val="18"/>
                <w:szCs w:val="18"/>
                <w:color w:val="auto"/>
              </w:rPr>
              <w:t>​$825,000​​ ​</w:t>
            </w:r>
          </w:p>
        </w:tc>
        <w:tc>
          <w:tcPr>
            <w:tcW w:w="1080" w:type="dxa"/>
            <w:vAlign w:val="bottom"/>
            <w:tcBorders>
              <w:bottom w:val="single" w:sz="8" w:color="666666"/>
            </w:tcBorders>
            <w:gridSpan w:val="2"/>
            <w:shd w:val="clear" w:color="auto" w:fill="CCCCCC"/>
          </w:tcPr>
          <w:p>
            <w:pPr>
              <w:ind w:left="80"/>
              <w:spacing w:after="0"/>
              <w:rPr>
                <w:sz w:val="20"/>
                <w:szCs w:val="20"/>
                <w:color w:val="auto"/>
              </w:rPr>
            </w:pPr>
            <w:r>
              <w:rPr>
                <w:rFonts w:ascii="Arial" w:cs="Arial" w:eastAsia="Arial" w:hAnsi="Arial"/>
                <w:sz w:val="18"/>
                <w:szCs w:val="18"/>
                <w:color w:val="auto"/>
              </w:rPr>
              <w:t>​$900,000​​ ​</w:t>
            </w:r>
          </w:p>
        </w:tc>
        <w:tc>
          <w:tcPr>
            <w:tcW w:w="5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7"/>
              </w:rPr>
              <w:t>9.1%</w:t>
            </w:r>
          </w:p>
        </w:tc>
        <w:tc>
          <w:tcPr>
            <w:tcW w:w="80" w:type="dxa"/>
            <w:vAlign w:val="bottom"/>
            <w:tcBorders>
              <w:bottom w:val="single" w:sz="8" w:color="666666"/>
            </w:tcBorders>
            <w:shd w:val="clear" w:color="auto" w:fill="CCCCCC"/>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H. Keith Jennings</w:t>
            </w:r>
          </w:p>
        </w:tc>
        <w:tc>
          <w:tcPr>
            <w:tcW w:w="2420" w:type="dxa"/>
            <w:vAlign w:val="bottom"/>
            <w:tcBorders>
              <w:bottom w:val="single" w:sz="8" w:color="666666"/>
            </w:tcBorders>
            <w:gridSpan w:val="3"/>
          </w:tcPr>
          <w:p>
            <w:pPr>
              <w:ind w:left="21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666666"/>
            </w:tcBorders>
          </w:tcPr>
          <w:p>
            <w:pPr>
              <w:ind w:left="240"/>
              <w:spacing w:after="0"/>
              <w:rPr>
                <w:sz w:val="20"/>
                <w:szCs w:val="20"/>
                <w:color w:val="auto"/>
              </w:rPr>
            </w:pPr>
            <w:r>
              <w:rPr>
                <w:rFonts w:ascii="Arial" w:cs="Arial" w:eastAsia="Arial" w:hAnsi="Arial"/>
                <w:sz w:val="18"/>
                <w:szCs w:val="18"/>
                <w:color w:val="auto"/>
              </w:rPr>
              <w:t>​$500,000​​ ​</w:t>
            </w:r>
          </w:p>
        </w:tc>
        <w:tc>
          <w:tcPr>
            <w:tcW w:w="1080" w:type="dxa"/>
            <w:vAlign w:val="bottom"/>
            <w:tcBorders>
              <w:bottom w:val="single" w:sz="8" w:color="666666"/>
            </w:tcBorders>
            <w:gridSpan w:val="2"/>
          </w:tcPr>
          <w:p>
            <w:pPr>
              <w:ind w:left="80"/>
              <w:spacing w:after="0"/>
              <w:rPr>
                <w:sz w:val="20"/>
                <w:szCs w:val="20"/>
                <w:color w:val="auto"/>
              </w:rPr>
            </w:pPr>
            <w:r>
              <w:rPr>
                <w:rFonts w:ascii="Arial" w:cs="Arial" w:eastAsia="Arial" w:hAnsi="Arial"/>
                <w:sz w:val="18"/>
                <w:szCs w:val="18"/>
                <w:color w:val="auto"/>
              </w:rPr>
              <w:t>​$500,000​​ ​</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666666"/>
            </w:tcBorders>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Scott C. Weatherholt</w:t>
            </w:r>
          </w:p>
        </w:tc>
        <w:tc>
          <w:tcPr>
            <w:tcW w:w="2420" w:type="dxa"/>
            <w:vAlign w:val="bottom"/>
            <w:tcBorders>
              <w:bottom w:val="single" w:sz="8" w:color="666666"/>
            </w:tcBorders>
            <w:gridSpan w:val="3"/>
            <w:shd w:val="clear" w:color="auto" w:fill="CCCCCC"/>
          </w:tcPr>
          <w:p>
            <w:pPr>
              <w:ind w:left="21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666666"/>
            </w:tcBorders>
            <w:shd w:val="clear" w:color="auto" w:fill="CCCCCC"/>
          </w:tcPr>
          <w:p>
            <w:pPr>
              <w:ind w:left="240"/>
              <w:spacing w:after="0"/>
              <w:rPr>
                <w:sz w:val="20"/>
                <w:szCs w:val="20"/>
                <w:color w:val="auto"/>
              </w:rPr>
            </w:pPr>
            <w:r>
              <w:rPr>
                <w:rFonts w:ascii="Arial" w:cs="Arial" w:eastAsia="Arial" w:hAnsi="Arial"/>
                <w:sz w:val="18"/>
                <w:szCs w:val="18"/>
                <w:color w:val="auto"/>
              </w:rPr>
              <w:t>​$425,000​​ ​</w:t>
            </w:r>
          </w:p>
        </w:tc>
        <w:tc>
          <w:tcPr>
            <w:tcW w:w="1080" w:type="dxa"/>
            <w:vAlign w:val="bottom"/>
            <w:tcBorders>
              <w:bottom w:val="single" w:sz="8" w:color="666666"/>
            </w:tcBorders>
            <w:gridSpan w:val="2"/>
            <w:shd w:val="clear" w:color="auto" w:fill="CCCCCC"/>
          </w:tcPr>
          <w:p>
            <w:pPr>
              <w:ind w:left="80"/>
              <w:spacing w:after="0"/>
              <w:rPr>
                <w:sz w:val="20"/>
                <w:szCs w:val="20"/>
                <w:color w:val="auto"/>
              </w:rPr>
            </w:pPr>
            <w:r>
              <w:rPr>
                <w:rFonts w:ascii="Arial" w:cs="Arial" w:eastAsia="Arial" w:hAnsi="Arial"/>
                <w:sz w:val="18"/>
                <w:szCs w:val="18"/>
                <w:color w:val="auto"/>
              </w:rPr>
              <w:t>​$425,000​​ ​</w:t>
            </w:r>
          </w:p>
        </w:tc>
        <w:tc>
          <w:tcPr>
            <w:tcW w:w="5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666666"/>
            </w:tcBorders>
            <w:shd w:val="clear" w:color="auto" w:fill="CCCCCC"/>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Joseph H. Mongrain</w:t>
            </w:r>
          </w:p>
        </w:tc>
        <w:tc>
          <w:tcPr>
            <w:tcW w:w="2420" w:type="dxa"/>
            <w:vAlign w:val="bottom"/>
            <w:tcBorders>
              <w:bottom w:val="single" w:sz="8" w:color="666666"/>
            </w:tcBorders>
            <w:gridSpan w:val="3"/>
          </w:tcPr>
          <w:p>
            <w:pPr>
              <w:ind w:left="21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666666"/>
            </w:tcBorders>
          </w:tcPr>
          <w:p>
            <w:pPr>
              <w:ind w:left="240"/>
              <w:spacing w:after="0"/>
              <w:rPr>
                <w:sz w:val="20"/>
                <w:szCs w:val="20"/>
                <w:color w:val="auto"/>
              </w:rPr>
            </w:pPr>
            <w:r>
              <w:rPr>
                <w:rFonts w:ascii="Arial" w:cs="Arial" w:eastAsia="Arial" w:hAnsi="Arial"/>
                <w:sz w:val="18"/>
                <w:szCs w:val="18"/>
                <w:color w:val="auto"/>
              </w:rPr>
              <w:t>​$370,000​​ ​</w:t>
            </w:r>
          </w:p>
        </w:tc>
        <w:tc>
          <w:tcPr>
            <w:tcW w:w="1080" w:type="dxa"/>
            <w:vAlign w:val="bottom"/>
            <w:tcBorders>
              <w:bottom w:val="single" w:sz="8" w:color="666666"/>
            </w:tcBorders>
            <w:gridSpan w:val="2"/>
          </w:tcPr>
          <w:p>
            <w:pPr>
              <w:ind w:left="80"/>
              <w:spacing w:after="0"/>
              <w:rPr>
                <w:sz w:val="20"/>
                <w:szCs w:val="20"/>
                <w:color w:val="auto"/>
              </w:rPr>
            </w:pPr>
            <w:r>
              <w:rPr>
                <w:rFonts w:ascii="Arial" w:cs="Arial" w:eastAsia="Arial" w:hAnsi="Arial"/>
                <w:sz w:val="18"/>
                <w:szCs w:val="18"/>
                <w:color w:val="auto"/>
              </w:rPr>
              <w:t>​$390,000​​ ​</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7"/>
              </w:rPr>
              <w:t>5.4%</w:t>
            </w:r>
          </w:p>
        </w:tc>
        <w:tc>
          <w:tcPr>
            <w:tcW w:w="80" w:type="dxa"/>
            <w:vAlign w:val="bottom"/>
            <w:tcBorders>
              <w:bottom w:val="single" w:sz="8" w:color="666666"/>
            </w:tcBorders>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Desmond J. Mills</w:t>
            </w:r>
          </w:p>
        </w:tc>
        <w:tc>
          <w:tcPr>
            <w:tcW w:w="2420" w:type="dxa"/>
            <w:vAlign w:val="bottom"/>
            <w:tcBorders>
              <w:bottom w:val="single" w:sz="8" w:color="auto"/>
            </w:tcBorders>
            <w:gridSpan w:val="3"/>
            <w:shd w:val="clear" w:color="auto" w:fill="CCCCCC"/>
          </w:tcPr>
          <w:p>
            <w:pPr>
              <w:ind w:left="212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8"/>
                <w:szCs w:val="18"/>
                <w:color w:val="auto"/>
              </w:rPr>
              <w:t>​$325,000​​ ​</w:t>
            </w:r>
          </w:p>
        </w:tc>
        <w:tc>
          <w:tcPr>
            <w:tcW w:w="1680" w:type="dxa"/>
            <w:vAlign w:val="bottom"/>
            <w:tcBorders>
              <w:bottom w:val="single" w:sz="8" w:color="auto"/>
            </w:tcBorders>
            <w:gridSpan w:val="4"/>
            <w:shd w:val="clear" w:color="auto" w:fill="CCCCCC"/>
          </w:tcPr>
          <w:p>
            <w:pPr>
              <w:ind w:left="80"/>
              <w:spacing w:after="0"/>
              <w:rPr>
                <w:sz w:val="20"/>
                <w:szCs w:val="20"/>
                <w:color w:val="auto"/>
              </w:rPr>
            </w:pPr>
            <w:r>
              <w:rPr>
                <w:rFonts w:ascii="Arial" w:cs="Arial" w:eastAsia="Arial" w:hAnsi="Arial"/>
                <w:sz w:val="18"/>
                <w:szCs w:val="18"/>
                <w:color w:val="auto"/>
              </w:rPr>
              <w:t>​$360,000​​ ​ 10.8%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6020435</wp:posOffset>
            </wp:positionH>
            <wp:positionV relativeFrom="paragraph">
              <wp:posOffset>-1113790</wp:posOffset>
            </wp:positionV>
            <wp:extent cx="4800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0060" cy="1714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-1113790</wp:posOffset>
            </wp:positionV>
            <wp:extent cx="401193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ANNUAL (CASH) INCENTIVE COMPENSATION</w:t>
      </w:r>
    </w:p>
    <w:p>
      <w:pPr>
        <w:spacing w:after="0" w:line="114" w:lineRule="exact"/>
        <w:rPr>
          <w:sz w:val="20"/>
          <w:szCs w:val="20"/>
          <w:color w:val="auto"/>
        </w:rPr>
      </w:pPr>
    </w:p>
    <w:p>
      <w:pPr>
        <w:ind w:left="440" w:right="60"/>
        <w:spacing w:after="0" w:line="274" w:lineRule="auto"/>
        <w:rPr>
          <w:sz w:val="20"/>
          <w:szCs w:val="20"/>
          <w:color w:val="auto"/>
        </w:rPr>
      </w:pPr>
      <w:r>
        <w:rPr>
          <w:rFonts w:ascii="Arial" w:cs="Arial" w:eastAsia="Arial" w:hAnsi="Arial"/>
          <w:sz w:val="17"/>
          <w:szCs w:val="17"/>
          <w:color w:val="auto"/>
        </w:rPr>
        <w:t>Weatherford’s annual cash incentive program is an important component of the executive compensation program designed to reinforce the Company’s goals and strategic initiatives and reward executives for Company, functional, business, and individual performance. In January 2021, to better align and simplify the Company’s annual incentive programs, the Committee combined all existing short-term plans and adopted the Short-Term Incentive Plan (the “STI Plan”). The STI Plan covers NEOs and other enterprise-wide eligible employees and measures all participants against the same established metrics. The STI Plan provides payout opportunities based on the annual achievement of pre-determined corporate performance objective(s), with actual cash bonuses earned based on the achievement of such performance objective(s).</w:t>
      </w:r>
    </w:p>
    <w:p>
      <w:pPr>
        <w:spacing w:after="0" w:line="58" w:lineRule="exact"/>
        <w:rPr>
          <w:sz w:val="20"/>
          <w:szCs w:val="20"/>
          <w:color w:val="auto"/>
        </w:rPr>
      </w:pPr>
    </w:p>
    <w:p>
      <w:pPr>
        <w:ind w:left="440" w:right="100"/>
        <w:spacing w:after="0" w:line="256" w:lineRule="auto"/>
        <w:rPr>
          <w:sz w:val="20"/>
          <w:szCs w:val="20"/>
          <w:color w:val="auto"/>
        </w:rPr>
      </w:pPr>
      <w:r>
        <w:rPr>
          <w:rFonts w:ascii="Arial" w:cs="Arial" w:eastAsia="Arial" w:hAnsi="Arial"/>
          <w:sz w:val="18"/>
          <w:szCs w:val="18"/>
          <w:color w:val="auto"/>
        </w:rPr>
        <w:t>Generally, once a year, the Committee determines the annual target bonus opportunity for each NEO and structures annual cash incentive compensation to deliver payouts in line with market multiples when performance targets are achieved or exceeded. With the addition of each member of the executive leadership team, the executive’s annual target bonus opportunity was established upon joining the Company. In January 2021, the Committee, in consultation with LB&amp;Co. and management, reviewed the annual bonus targets of the NEOs and determined no changes were warranted at the time. Upon adoption of the STI Plan, the Committee established performance targets based on EBITDA and Free Cash Flow, equally weighted, with HS&amp;E and individual performance modifiers.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the executive compensation review in October 2021, the annual incentive targets under the STI Plan were as follows: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shd w:val="clear" w:color="auto" w:fill="BA0C2F"/>
          </w:tcPr>
          <w:p>
            <w:pPr>
              <w:spacing w:after="0"/>
              <w:rPr>
                <w:sz w:val="20"/>
                <w:szCs w:val="20"/>
                <w:color w:val="auto"/>
              </w:rPr>
            </w:pPr>
          </w:p>
        </w:tc>
        <w:tc>
          <w:tcPr>
            <w:tcW w:w="120" w:type="dxa"/>
            <w:vAlign w:val="bottom"/>
            <w:shd w:val="clear" w:color="auto" w:fill="BA0C2F"/>
          </w:tcPr>
          <w:p>
            <w:pPr>
              <w:spacing w:after="0"/>
              <w:rPr>
                <w:sz w:val="20"/>
                <w:szCs w:val="20"/>
                <w:color w:val="auto"/>
              </w:rPr>
            </w:pPr>
          </w:p>
        </w:tc>
        <w:tc>
          <w:tcPr>
            <w:tcW w:w="2420" w:type="dxa"/>
            <w:vAlign w:val="bottom"/>
            <w:gridSpan w:val="3"/>
            <w:shd w:val="clear" w:color="auto" w:fill="BA0C2F"/>
          </w:tcPr>
          <w:p>
            <w:pPr>
              <w:jc w:val="center"/>
              <w:ind w:right="73"/>
              <w:spacing w:after="0"/>
              <w:rPr>
                <w:sz w:val="20"/>
                <w:szCs w:val="20"/>
                <w:color w:val="auto"/>
              </w:rPr>
            </w:pPr>
            <w:r>
              <w:rPr>
                <w:rFonts w:ascii="Arial" w:cs="Arial" w:eastAsia="Arial" w:hAnsi="Arial"/>
                <w:sz w:val="14"/>
                <w:szCs w:val="14"/>
                <w:color w:val="FFFFFF"/>
              </w:rPr>
              <w:t>Annual Incentive Target</w:t>
            </w:r>
          </w:p>
        </w:tc>
        <w:tc>
          <w:tcPr>
            <w:tcW w:w="40" w:type="dxa"/>
            <w:vAlign w:val="bottom"/>
          </w:tcPr>
          <w:p>
            <w:pPr>
              <w:spacing w:after="0"/>
              <w:rPr>
                <w:sz w:val="20"/>
                <w:szCs w:val="20"/>
                <w:color w:val="auto"/>
              </w:rPr>
            </w:pPr>
          </w:p>
        </w:tc>
      </w:tr>
      <w:tr>
        <w:trPr>
          <w:trHeight w:val="198"/>
        </w:trPr>
        <w:tc>
          <w:tcPr>
            <w:tcW w:w="4600" w:type="dxa"/>
            <w:vAlign w:val="bottom"/>
            <w:tcBorders>
              <w:bottom w:val="single" w:sz="8" w:color="BA0C2F"/>
            </w:tcBorders>
          </w:tcPr>
          <w:p>
            <w:pPr>
              <w:spacing w:after="0"/>
              <w:rPr>
                <w:sz w:val="20"/>
                <w:szCs w:val="20"/>
                <w:color w:val="auto"/>
              </w:rPr>
            </w:pPr>
            <w:r>
              <w:rPr>
                <w:rFonts w:ascii="Arial" w:cs="Arial" w:eastAsia="Arial" w:hAnsi="Arial"/>
                <w:sz w:val="14"/>
                <w:szCs w:val="14"/>
                <w:color w:val="FFFFFF"/>
              </w:rPr>
              <w:t>​</w:t>
            </w:r>
          </w:p>
        </w:tc>
        <w:tc>
          <w:tcPr>
            <w:tcW w:w="2580" w:type="dxa"/>
            <w:vAlign w:val="bottom"/>
            <w:tcBorders>
              <w:bottom w:val="single" w:sz="8" w:color="BA0C2F"/>
            </w:tcBorders>
          </w:tcPr>
          <w:p>
            <w:pPr>
              <w:ind w:left="2500"/>
              <w:spacing w:after="0"/>
              <w:rPr>
                <w:sz w:val="20"/>
                <w:szCs w:val="20"/>
                <w:color w:val="auto"/>
              </w:rPr>
            </w:pPr>
            <w:r>
              <w:rPr>
                <w:rFonts w:ascii="Arial" w:cs="Arial" w:eastAsia="Arial" w:hAnsi="Arial"/>
                <w:sz w:val="14"/>
                <w:szCs w:val="14"/>
                <w:color w:val="FFFFFF"/>
              </w:rPr>
              <w:t>​</w:t>
            </w:r>
          </w:p>
        </w:tc>
        <w:tc>
          <w:tcPr>
            <w:tcW w:w="8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120" w:type="dxa"/>
            <w:vAlign w:val="bottom"/>
            <w:tcBorders>
              <w:bottom w:val="single" w:sz="8" w:color="auto"/>
            </w:tcBorders>
            <w:shd w:val="clear" w:color="auto" w:fill="BA0C2F"/>
          </w:tcPr>
          <w:p>
            <w:pPr>
              <w:spacing w:after="0"/>
              <w:rPr>
                <w:sz w:val="17"/>
                <w:szCs w:val="17"/>
                <w:color w:val="auto"/>
              </w:rPr>
            </w:pPr>
          </w:p>
        </w:tc>
        <w:tc>
          <w:tcPr>
            <w:tcW w:w="2420" w:type="dxa"/>
            <w:vAlign w:val="bottom"/>
            <w:tcBorders>
              <w:bottom w:val="single" w:sz="8" w:color="auto"/>
            </w:tcBorders>
            <w:gridSpan w:val="3"/>
            <w:shd w:val="clear" w:color="auto" w:fill="BA0C2F"/>
          </w:tcPr>
          <w:p>
            <w:pPr>
              <w:jc w:val="center"/>
              <w:ind w:right="33"/>
              <w:spacing w:after="0"/>
              <w:rPr>
                <w:sz w:val="20"/>
                <w:szCs w:val="20"/>
                <w:color w:val="auto"/>
              </w:rPr>
            </w:pPr>
            <w:r>
              <w:rPr>
                <w:rFonts w:ascii="Arial" w:cs="Arial" w:eastAsia="Arial" w:hAnsi="Arial"/>
                <w:sz w:val="14"/>
                <w:szCs w:val="14"/>
                <w:color w:val="FFFFFF"/>
              </w:rPr>
              <w:t>(as a percentage of base salary)</w:t>
            </w:r>
          </w:p>
        </w:tc>
        <w:tc>
          <w:tcPr>
            <w:tcW w:w="40" w:type="dxa"/>
            <w:vAlign w:val="bottom"/>
          </w:tcPr>
          <w:p>
            <w:pPr>
              <w:spacing w:after="0"/>
              <w:rPr>
                <w:sz w:val="20"/>
                <w:szCs w:val="20"/>
                <w:color w:val="auto"/>
              </w:rPr>
            </w:pPr>
            <w:r>
              <w:rPr>
                <w:rFonts w:ascii="Arial" w:cs="Arial" w:eastAsia="Arial" w:hAnsi="Arial"/>
                <w:sz w:val="14"/>
                <w:szCs w:val="14"/>
                <w:color w:val="FFFFFF"/>
              </w:rPr>
              <w:t>​</w:t>
            </w:r>
          </w:p>
        </w:tc>
      </w:tr>
      <w:tr>
        <w:trPr>
          <w:trHeight w:val="173"/>
        </w:trPr>
        <w:tc>
          <w:tcPr>
            <w:tcW w:w="4600" w:type="dxa"/>
            <w:vAlign w:val="bottom"/>
            <w:shd w:val="clear" w:color="auto" w:fill="BA0C2F"/>
          </w:tcPr>
          <w:p>
            <w:pPr>
              <w:spacing w:after="0"/>
              <w:rPr>
                <w:sz w:val="15"/>
                <w:szCs w:val="15"/>
                <w:color w:val="auto"/>
              </w:rPr>
            </w:pPr>
          </w:p>
        </w:tc>
        <w:tc>
          <w:tcPr>
            <w:tcW w:w="2580" w:type="dxa"/>
            <w:vAlign w:val="bottom"/>
            <w:shd w:val="clear" w:color="auto" w:fill="BA0C2F"/>
          </w:tcPr>
          <w:p>
            <w:pPr>
              <w:spacing w:after="0"/>
              <w:rPr>
                <w:sz w:val="15"/>
                <w:szCs w:val="15"/>
                <w:color w:val="auto"/>
              </w:rPr>
            </w:pPr>
          </w:p>
        </w:tc>
        <w:tc>
          <w:tcPr>
            <w:tcW w:w="80" w:type="dxa"/>
            <w:vAlign w:val="bottom"/>
            <w:shd w:val="clear" w:color="auto" w:fill="BA0C2F"/>
          </w:tcPr>
          <w:p>
            <w:pPr>
              <w:spacing w:after="0"/>
              <w:rPr>
                <w:sz w:val="15"/>
                <w:szCs w:val="15"/>
                <w:color w:val="auto"/>
              </w:rPr>
            </w:pPr>
          </w:p>
        </w:tc>
        <w:tc>
          <w:tcPr>
            <w:tcW w:w="120" w:type="dxa"/>
            <w:vAlign w:val="bottom"/>
            <w:shd w:val="clear" w:color="auto" w:fill="BA0C2F"/>
          </w:tcPr>
          <w:p>
            <w:pPr>
              <w:spacing w:after="0"/>
              <w:rPr>
                <w:sz w:val="15"/>
                <w:szCs w:val="15"/>
                <w:color w:val="auto"/>
              </w:rPr>
            </w:pPr>
          </w:p>
        </w:tc>
        <w:tc>
          <w:tcPr>
            <w:tcW w:w="900" w:type="dxa"/>
            <w:vAlign w:val="bottom"/>
            <w:shd w:val="clear" w:color="auto" w:fill="BA0C2F"/>
          </w:tcPr>
          <w:p>
            <w:pPr>
              <w:ind w:left="240"/>
              <w:spacing w:after="0"/>
              <w:rPr>
                <w:sz w:val="20"/>
                <w:szCs w:val="20"/>
                <w:color w:val="auto"/>
              </w:rPr>
            </w:pPr>
            <w:r>
              <w:rPr>
                <w:rFonts w:ascii="Arial" w:cs="Arial" w:eastAsia="Arial" w:hAnsi="Arial"/>
                <w:sz w:val="14"/>
                <w:szCs w:val="14"/>
                <w:color w:val="FFFFFF"/>
              </w:rPr>
              <w:t>Before</w:t>
            </w:r>
          </w:p>
        </w:tc>
        <w:tc>
          <w:tcPr>
            <w:tcW w:w="520" w:type="dxa"/>
            <w:vAlign w:val="bottom"/>
            <w:shd w:val="clear" w:color="auto" w:fill="BA0C2F"/>
          </w:tcPr>
          <w:p>
            <w:pPr>
              <w:spacing w:after="0"/>
              <w:rPr>
                <w:sz w:val="15"/>
                <w:szCs w:val="15"/>
                <w:color w:val="auto"/>
              </w:rPr>
            </w:pPr>
          </w:p>
        </w:tc>
        <w:tc>
          <w:tcPr>
            <w:tcW w:w="1000" w:type="dxa"/>
            <w:vAlign w:val="bottom"/>
            <w:shd w:val="clear" w:color="auto" w:fill="BA0C2F"/>
          </w:tcPr>
          <w:p>
            <w:pPr>
              <w:ind w:left="240"/>
              <w:spacing w:after="0"/>
              <w:rPr>
                <w:sz w:val="20"/>
                <w:szCs w:val="20"/>
                <w:color w:val="auto"/>
              </w:rPr>
            </w:pPr>
            <w:r>
              <w:rPr>
                <w:rFonts w:ascii="Arial" w:cs="Arial" w:eastAsia="Arial" w:hAnsi="Arial"/>
                <w:sz w:val="14"/>
                <w:szCs w:val="14"/>
                <w:color w:val="FFFFFF"/>
              </w:rPr>
              <w:t>After</w:t>
            </w:r>
          </w:p>
        </w:tc>
        <w:tc>
          <w:tcPr>
            <w:tcW w:w="40" w:type="dxa"/>
            <w:vAlign w:val="bottom"/>
          </w:tcPr>
          <w:p>
            <w:pPr>
              <w:spacing w:after="0"/>
              <w:rPr>
                <w:sz w:val="15"/>
                <w:szCs w:val="15"/>
                <w:color w:val="auto"/>
              </w:rPr>
            </w:pPr>
          </w:p>
        </w:tc>
      </w:tr>
      <w:tr>
        <w:trPr>
          <w:trHeight w:val="198"/>
        </w:trPr>
        <w:tc>
          <w:tcPr>
            <w:tcW w:w="460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2580" w:type="dxa"/>
            <w:vAlign w:val="bottom"/>
            <w:tcBorders>
              <w:bottom w:val="single" w:sz="8" w:color="auto"/>
            </w:tcBorders>
            <w:shd w:val="clear" w:color="auto" w:fill="BA0C2F"/>
          </w:tcPr>
          <w:p>
            <w:pPr>
              <w:ind w:left="2540"/>
              <w:spacing w:after="0"/>
              <w:rPr>
                <w:sz w:val="20"/>
                <w:szCs w:val="20"/>
                <w:color w:val="auto"/>
              </w:rPr>
            </w:pPr>
            <w:r>
              <w:rPr>
                <w:rFonts w:ascii="Arial" w:cs="Arial" w:eastAsia="Arial" w:hAnsi="Arial"/>
                <w:sz w:val="14"/>
                <w:szCs w:val="14"/>
                <w:color w:val="FFFFFF"/>
              </w:rPr>
              <w:t>​</w:t>
            </w:r>
          </w:p>
        </w:tc>
        <w:tc>
          <w:tcPr>
            <w:tcW w:w="80" w:type="dxa"/>
            <w:vAlign w:val="bottom"/>
            <w:tcBorders>
              <w:bottom w:val="single" w:sz="8" w:color="auto"/>
            </w:tcBorders>
            <w:shd w:val="clear" w:color="auto" w:fill="BA0C2F"/>
          </w:tcPr>
          <w:p>
            <w:pPr>
              <w:ind w:left="40"/>
              <w:spacing w:after="0"/>
              <w:rPr>
                <w:sz w:val="20"/>
                <w:szCs w:val="20"/>
                <w:color w:val="auto"/>
              </w:rPr>
            </w:pPr>
            <w:r>
              <w:rPr>
                <w:rFonts w:ascii="Arial" w:cs="Arial" w:eastAsia="Arial" w:hAnsi="Arial"/>
                <w:sz w:val="14"/>
                <w:szCs w:val="14"/>
                <w:color w:val="FFFFFF"/>
              </w:rPr>
              <w:t>​</w:t>
            </w:r>
          </w:p>
        </w:tc>
        <w:tc>
          <w:tcPr>
            <w:tcW w:w="2540" w:type="dxa"/>
            <w:vAlign w:val="bottom"/>
            <w:tcBorders>
              <w:bottom w:val="single" w:sz="8" w:color="auto"/>
            </w:tcBorders>
            <w:gridSpan w:val="4"/>
            <w:shd w:val="clear" w:color="auto" w:fill="BA0C2F"/>
          </w:tcPr>
          <w:p>
            <w:pPr>
              <w:jc w:val="center"/>
              <w:spacing w:after="0" w:line="199" w:lineRule="exact"/>
              <w:rPr>
                <w:sz w:val="20"/>
                <w:szCs w:val="20"/>
                <w:color w:val="auto"/>
              </w:rPr>
            </w:pPr>
            <w:r>
              <w:rPr>
                <w:rFonts w:ascii="Arial" w:cs="Arial" w:eastAsia="Arial" w:hAnsi="Arial"/>
                <w:sz w:val="12"/>
                <w:szCs w:val="12"/>
                <w:color w:val="FFFFFF"/>
              </w:rPr>
              <w:t xml:space="preserve">November 1, 2021 </w:t>
            </w:r>
            <w:r>
              <w:rPr>
                <w:rFonts w:ascii="Arial" w:cs="Arial" w:eastAsia="Arial" w:hAnsi="Arial"/>
                <w:sz w:val="22"/>
                <w:szCs w:val="22"/>
                <w:color w:val="FFFFFF"/>
                <w:vertAlign w:val="subscript"/>
              </w:rPr>
              <w:t>​ ​</w:t>
            </w:r>
            <w:r>
              <w:rPr>
                <w:rFonts w:ascii="Arial" w:cs="Arial" w:eastAsia="Arial" w:hAnsi="Arial"/>
                <w:sz w:val="12"/>
                <w:szCs w:val="12"/>
                <w:color w:val="FFFFFF"/>
              </w:rPr>
              <w:t>November 1, 2021</w:t>
            </w:r>
          </w:p>
        </w:tc>
        <w:tc>
          <w:tcPr>
            <w:tcW w:w="40" w:type="dxa"/>
            <w:vAlign w:val="bottom"/>
          </w:tcPr>
          <w:p>
            <w:pPr>
              <w:spacing w:after="0"/>
              <w:rPr>
                <w:sz w:val="20"/>
                <w:szCs w:val="20"/>
                <w:color w:val="auto"/>
              </w:rPr>
            </w:pPr>
            <w:r>
              <w:rPr>
                <w:rFonts w:ascii="Arial" w:cs="Arial" w:eastAsia="Arial" w:hAnsi="Arial"/>
                <w:sz w:val="14"/>
                <w:szCs w:val="14"/>
                <w:color w:val="FFFFFF"/>
              </w:rPr>
              <w:t>​</w:t>
            </w:r>
          </w:p>
        </w:tc>
      </w:tr>
      <w:tr>
        <w:trPr>
          <w:trHeight w:val="236"/>
        </w:trPr>
        <w:tc>
          <w:tcPr>
            <w:tcW w:w="460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2780" w:type="dxa"/>
            <w:vAlign w:val="bottom"/>
            <w:tcBorders>
              <w:bottom w:val="single" w:sz="8" w:color="666666"/>
            </w:tcBorders>
            <w:gridSpan w:val="3"/>
            <w:shd w:val="clear" w:color="auto" w:fill="CCCCCC"/>
          </w:tcPr>
          <w:p>
            <w:pPr>
              <w:ind w:left="25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9"/>
              </w:rPr>
              <w:t>125%</w:t>
            </w:r>
          </w:p>
        </w:tc>
        <w:tc>
          <w:tcPr>
            <w:tcW w:w="5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shd w:val="clear" w:color="auto" w:fill="CCCCCC"/>
          </w:tcPr>
          <w:p>
            <w:pPr>
              <w:jc w:val="center"/>
              <w:ind w:right="93"/>
              <w:spacing w:after="0"/>
              <w:rPr>
                <w:sz w:val="20"/>
                <w:szCs w:val="20"/>
                <w:color w:val="auto"/>
              </w:rPr>
            </w:pPr>
            <w:r>
              <w:rPr>
                <w:rFonts w:ascii="Arial" w:cs="Arial" w:eastAsia="Arial" w:hAnsi="Arial"/>
                <w:sz w:val="18"/>
                <w:szCs w:val="18"/>
                <w:color w:val="auto"/>
                <w:w w:val="99"/>
              </w:rPr>
              <w:t>125%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H. Keith Jennings</w:t>
            </w:r>
          </w:p>
        </w:tc>
        <w:tc>
          <w:tcPr>
            <w:tcW w:w="2780" w:type="dxa"/>
            <w:vAlign w:val="bottom"/>
            <w:tcBorders>
              <w:bottom w:val="single" w:sz="8" w:color="666666"/>
            </w:tcBorders>
            <w:gridSpan w:val="3"/>
          </w:tcPr>
          <w:p>
            <w:pPr>
              <w:ind w:left="25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100%</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tcPr>
          <w:p>
            <w:pPr>
              <w:jc w:val="center"/>
              <w:ind w:right="93"/>
              <w:spacing w:after="0"/>
              <w:rPr>
                <w:sz w:val="20"/>
                <w:szCs w:val="20"/>
                <w:color w:val="auto"/>
              </w:rPr>
            </w:pPr>
            <w:r>
              <w:rPr>
                <w:rFonts w:ascii="Arial" w:cs="Arial" w:eastAsia="Arial" w:hAnsi="Arial"/>
                <w:sz w:val="18"/>
                <w:szCs w:val="18"/>
                <w:color w:val="auto"/>
                <w:w w:val="99"/>
              </w:rPr>
              <w:t>100%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Scott C. Weatherholt</w:t>
            </w:r>
          </w:p>
        </w:tc>
        <w:tc>
          <w:tcPr>
            <w:tcW w:w="2780" w:type="dxa"/>
            <w:vAlign w:val="bottom"/>
            <w:tcBorders>
              <w:bottom w:val="single" w:sz="8" w:color="666666"/>
            </w:tcBorders>
            <w:gridSpan w:val="3"/>
            <w:shd w:val="clear" w:color="auto" w:fill="CCCCCC"/>
          </w:tcPr>
          <w:p>
            <w:pPr>
              <w:ind w:left="25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9"/>
              </w:rPr>
              <w:t>90%</w:t>
            </w:r>
          </w:p>
        </w:tc>
        <w:tc>
          <w:tcPr>
            <w:tcW w:w="5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shd w:val="clear" w:color="auto" w:fill="CCCCCC"/>
          </w:tcPr>
          <w:p>
            <w:pPr>
              <w:jc w:val="center"/>
              <w:ind w:right="113"/>
              <w:spacing w:after="0"/>
              <w:rPr>
                <w:sz w:val="20"/>
                <w:szCs w:val="20"/>
                <w:color w:val="auto"/>
              </w:rPr>
            </w:pPr>
            <w:r>
              <w:rPr>
                <w:rFonts w:ascii="Arial" w:cs="Arial" w:eastAsia="Arial" w:hAnsi="Arial"/>
                <w:sz w:val="18"/>
                <w:szCs w:val="18"/>
                <w:color w:val="auto"/>
                <w:w w:val="99"/>
              </w:rPr>
              <w:t>90%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Joseph H. Mongrain</w:t>
            </w:r>
          </w:p>
        </w:tc>
        <w:tc>
          <w:tcPr>
            <w:tcW w:w="2780" w:type="dxa"/>
            <w:vAlign w:val="bottom"/>
            <w:tcBorders>
              <w:bottom w:val="single" w:sz="8" w:color="666666"/>
            </w:tcBorders>
            <w:gridSpan w:val="3"/>
          </w:tcPr>
          <w:p>
            <w:pPr>
              <w:ind w:left="25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65%</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666666"/>
            </w:tcBorders>
          </w:tcPr>
          <w:p>
            <w:pPr>
              <w:jc w:val="center"/>
              <w:ind w:right="113"/>
              <w:spacing w:after="0"/>
              <w:rPr>
                <w:sz w:val="20"/>
                <w:szCs w:val="20"/>
                <w:color w:val="auto"/>
              </w:rPr>
            </w:pPr>
            <w:r>
              <w:rPr>
                <w:rFonts w:ascii="Arial" w:cs="Arial" w:eastAsia="Arial" w:hAnsi="Arial"/>
                <w:sz w:val="18"/>
                <w:szCs w:val="18"/>
                <w:color w:val="auto"/>
                <w:w w:val="99"/>
              </w:rPr>
              <w:t>75%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Desmond J. Mills</w:t>
            </w:r>
          </w:p>
        </w:tc>
        <w:tc>
          <w:tcPr>
            <w:tcW w:w="2780" w:type="dxa"/>
            <w:vAlign w:val="bottom"/>
            <w:tcBorders>
              <w:bottom w:val="single" w:sz="8" w:color="auto"/>
            </w:tcBorders>
            <w:gridSpan w:val="3"/>
            <w:shd w:val="clear" w:color="auto" w:fill="CCCCCC"/>
          </w:tcPr>
          <w:p>
            <w:pPr>
              <w:ind w:left="25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60%</w:t>
            </w:r>
          </w:p>
        </w:tc>
        <w:tc>
          <w:tcPr>
            <w:tcW w:w="5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shd w:val="clear" w:color="auto" w:fill="CCCCCC"/>
          </w:tcPr>
          <w:p>
            <w:pPr>
              <w:jc w:val="center"/>
              <w:ind w:right="113"/>
              <w:spacing w:after="0"/>
              <w:rPr>
                <w:sz w:val="20"/>
                <w:szCs w:val="20"/>
                <w:color w:val="auto"/>
              </w:rPr>
            </w:pPr>
            <w:r>
              <w:rPr>
                <w:rFonts w:ascii="Arial" w:cs="Arial" w:eastAsia="Arial" w:hAnsi="Arial"/>
                <w:sz w:val="18"/>
                <w:szCs w:val="18"/>
                <w:color w:val="auto"/>
                <w:w w:val="99"/>
              </w:rPr>
              <w:t>65%</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-1113790</wp:posOffset>
            </wp:positionV>
            <wp:extent cx="45605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60570" cy="17145"/>
                    </a:xfrm>
                    <a:prstGeom prst="rect">
                      <a:avLst/>
                    </a:prstGeom>
                    <a:noFill/>
                  </pic:spPr>
                </pic:pic>
              </a:graphicData>
            </a:graphic>
          </wp:anchor>
        </w:drawing>
      </w:r>
    </w:p>
    <w:p>
      <w:pPr>
        <w:spacing w:after="0" w:line="164"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The Committee set 2021 performance goals to drive exceptional performance focused on the key financial metrics that are indicative of our performance and the Company’s overall health. In setting the 2021 STI Plan goals, the Committee selected EBITDA and Free Cash Flow, equally weighted, as the two metrics that, should we achieve the goals set, would have the most significant effect in strengthening our strategic and financial position. The Committee believes the targets set were rigorous, being set at or above market expectations, as well as appropriate both for our market and the shifting industry landscape. In addition, as safety and individual performance achievement are also key to Weatherford’s current and future success, a modifier was built into the Plan to allow for adjustments to financial payouts based on our HS&amp;E performance and adjustments to individual payouts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120650</wp:posOffset>
            </wp:positionV>
            <wp:extent cx="6231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1" w:lineRule="exact"/>
        <w:rPr>
          <w:sz w:val="20"/>
          <w:szCs w:val="20"/>
          <w:color w:val="auto"/>
        </w:rPr>
      </w:pPr>
    </w:p>
    <w:p>
      <w:pPr>
        <w:ind w:left="720" w:hanging="282"/>
        <w:spacing w:after="0"/>
        <w:tabs>
          <w:tab w:leader="none" w:pos="720" w:val="left"/>
        </w:tabs>
        <w:numPr>
          <w:ilvl w:val="0"/>
          <w:numId w:val="3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2021, the metrics governing the generation of annual incentives for our executives were:</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6900" w:type="dxa"/>
            <w:vAlign w:val="bottom"/>
            <w:shd w:val="clear" w:color="auto" w:fill="BA0C2F"/>
          </w:tcPr>
          <w:p>
            <w:pPr>
              <w:spacing w:after="0"/>
              <w:rPr>
                <w:sz w:val="20"/>
                <w:szCs w:val="20"/>
                <w:color w:val="auto"/>
              </w:rPr>
            </w:pPr>
            <w:r>
              <w:rPr>
                <w:rFonts w:ascii="Arial" w:cs="Arial" w:eastAsia="Arial" w:hAnsi="Arial"/>
                <w:sz w:val="14"/>
                <w:szCs w:val="14"/>
                <w:color w:val="FFFFFF"/>
              </w:rPr>
              <w:t>​</w:t>
            </w:r>
          </w:p>
        </w:tc>
        <w:tc>
          <w:tcPr>
            <w:tcW w:w="1160" w:type="dxa"/>
            <w:vAlign w:val="bottom"/>
            <w:gridSpan w:val="3"/>
            <w:shd w:val="clear" w:color="auto" w:fill="BA0C2F"/>
          </w:tcPr>
          <w:p>
            <w:pPr>
              <w:ind w:left="60"/>
              <w:spacing w:after="0"/>
              <w:rPr>
                <w:sz w:val="20"/>
                <w:szCs w:val="20"/>
                <w:color w:val="auto"/>
              </w:rPr>
            </w:pPr>
            <w:r>
              <w:rPr>
                <w:rFonts w:ascii="Arial" w:cs="Arial" w:eastAsia="Arial" w:hAnsi="Arial"/>
                <w:sz w:val="28"/>
                <w:szCs w:val="28"/>
                <w:color w:val="FFFFFF"/>
                <w:vertAlign w:val="subscript"/>
              </w:rPr>
              <w:t>​ ​</w:t>
            </w:r>
            <w:r>
              <w:rPr>
                <w:rFonts w:ascii="Arial" w:cs="Arial" w:eastAsia="Arial" w:hAnsi="Arial"/>
                <w:sz w:val="14"/>
                <w:szCs w:val="14"/>
                <w:color w:val="FFFFFF"/>
              </w:rPr>
              <w:t xml:space="preserve">Threshold </w:t>
            </w:r>
            <w:r>
              <w:rPr>
                <w:rFonts w:ascii="Arial" w:cs="Arial" w:eastAsia="Arial" w:hAnsi="Arial"/>
                <w:sz w:val="28"/>
                <w:szCs w:val="28"/>
                <w:color w:val="FFFFFF"/>
                <w:vertAlign w:val="subscript"/>
              </w:rPr>
              <w:t>​ ​</w:t>
            </w:r>
          </w:p>
        </w:tc>
        <w:tc>
          <w:tcPr>
            <w:tcW w:w="960" w:type="dxa"/>
            <w:vAlign w:val="bottom"/>
            <w:shd w:val="clear" w:color="auto" w:fill="BA0C2F"/>
          </w:tcPr>
          <w:p>
            <w:pPr>
              <w:jc w:val="center"/>
              <w:ind w:right="99"/>
              <w:spacing w:after="0"/>
              <w:rPr>
                <w:sz w:val="20"/>
                <w:szCs w:val="20"/>
                <w:color w:val="auto"/>
              </w:rPr>
            </w:pPr>
            <w:r>
              <w:rPr>
                <w:rFonts w:ascii="Arial" w:cs="Arial" w:eastAsia="Arial" w:hAnsi="Arial"/>
                <w:sz w:val="14"/>
                <w:szCs w:val="14"/>
                <w:color w:val="FFFFFF"/>
                <w:w w:val="93"/>
              </w:rPr>
              <w:t>Target</w:t>
            </w:r>
          </w:p>
        </w:tc>
        <w:tc>
          <w:tcPr>
            <w:tcW w:w="780" w:type="dxa"/>
            <w:vAlign w:val="bottom"/>
            <w:gridSpan w:val="2"/>
            <w:shd w:val="clear" w:color="auto" w:fill="BA0C2F"/>
          </w:tcPr>
          <w:p>
            <w:pPr>
              <w:ind w:left="40"/>
              <w:spacing w:after="0"/>
              <w:rPr>
                <w:sz w:val="20"/>
                <w:szCs w:val="20"/>
                <w:color w:val="auto"/>
              </w:rPr>
            </w:pPr>
            <w:r>
              <w:rPr>
                <w:rFonts w:ascii="Arial" w:cs="Arial" w:eastAsia="Arial" w:hAnsi="Arial"/>
                <w:sz w:val="28"/>
                <w:szCs w:val="28"/>
                <w:color w:val="FFFFFF"/>
                <w:vertAlign w:val="subscript"/>
              </w:rPr>
              <w:t>​ ​</w:t>
            </w:r>
            <w:r>
              <w:rPr>
                <w:rFonts w:ascii="Arial" w:cs="Arial" w:eastAsia="Arial" w:hAnsi="Arial"/>
                <w:sz w:val="14"/>
                <w:szCs w:val="14"/>
                <w:color w:val="FFFFFF"/>
              </w:rPr>
              <w:t>Maximum</w:t>
            </w:r>
          </w:p>
        </w:tc>
        <w:tc>
          <w:tcPr>
            <w:tcW w:w="40" w:type="dxa"/>
            <w:vAlign w:val="bottom"/>
          </w:tcPr>
          <w:p>
            <w:pPr>
              <w:spacing w:after="0"/>
              <w:rPr>
                <w:sz w:val="20"/>
                <w:szCs w:val="20"/>
                <w:color w:val="auto"/>
              </w:rPr>
            </w:pPr>
            <w:r>
              <w:rPr>
                <w:rFonts w:ascii="Arial" w:cs="Arial" w:eastAsia="Arial" w:hAnsi="Arial"/>
                <w:sz w:val="14"/>
                <w:szCs w:val="14"/>
                <w:color w:val="FFFFFF"/>
              </w:rPr>
              <w:t>​</w:t>
            </w:r>
          </w:p>
        </w:tc>
      </w:tr>
      <w:tr>
        <w:trPr>
          <w:trHeight w:val="20"/>
        </w:trPr>
        <w:tc>
          <w:tcPr>
            <w:tcW w:w="6900" w:type="dxa"/>
            <w:vAlign w:val="bottom"/>
            <w:shd w:val="clear" w:color="auto" w:fill="BA0C2F"/>
          </w:tcPr>
          <w:p>
            <w:pPr>
              <w:spacing w:after="0" w:line="20" w:lineRule="exact"/>
              <w:rPr>
                <w:sz w:val="1"/>
                <w:szCs w:val="1"/>
                <w:color w:val="auto"/>
              </w:rPr>
            </w:pPr>
          </w:p>
        </w:tc>
        <w:tc>
          <w:tcPr>
            <w:tcW w:w="80" w:type="dxa"/>
            <w:vAlign w:val="bottom"/>
            <w:shd w:val="clear" w:color="auto" w:fill="BA0C2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90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EBITDA (in millions)</w:t>
            </w:r>
          </w:p>
        </w:tc>
        <w:tc>
          <w:tcPr>
            <w:tcW w:w="800" w:type="dxa"/>
            <w:vAlign w:val="bottom"/>
            <w:tcBorders>
              <w:bottom w:val="single" w:sz="8" w:color="666666"/>
            </w:tcBorders>
            <w:gridSpan w:val="2"/>
            <w:shd w:val="clear" w:color="auto" w:fill="CCCCCC"/>
          </w:tcPr>
          <w:p>
            <w:pPr>
              <w:ind w:left="60"/>
              <w:spacing w:after="0"/>
              <w:rPr>
                <w:sz w:val="20"/>
                <w:szCs w:val="20"/>
                <w:color w:val="auto"/>
              </w:rPr>
            </w:pPr>
            <w:r>
              <w:rPr>
                <w:rFonts w:ascii="Arial" w:cs="Arial" w:eastAsia="Arial" w:hAnsi="Arial"/>
                <w:sz w:val="18"/>
                <w:szCs w:val="18"/>
                <w:color w:val="auto"/>
              </w:rPr>
              <w:t>​ ​ $375</w:t>
            </w:r>
          </w:p>
        </w:tc>
        <w:tc>
          <w:tcPr>
            <w:tcW w:w="1320" w:type="dxa"/>
            <w:vAlign w:val="bottom"/>
            <w:tcBorders>
              <w:bottom w:val="single" w:sz="8" w:color="666666"/>
            </w:tcBorders>
            <w:gridSpan w:val="2"/>
            <w:shd w:val="clear" w:color="auto" w:fill="CCCCCC"/>
          </w:tcPr>
          <w:p>
            <w:pPr>
              <w:ind w:left="60"/>
              <w:spacing w:after="0"/>
              <w:rPr>
                <w:sz w:val="20"/>
                <w:szCs w:val="20"/>
                <w:color w:val="auto"/>
              </w:rPr>
            </w:pPr>
            <w:r>
              <w:rPr>
                <w:rFonts w:ascii="Arial" w:cs="Arial" w:eastAsia="Arial" w:hAnsi="Arial"/>
                <w:sz w:val="18"/>
                <w:szCs w:val="18"/>
                <w:color w:val="auto"/>
              </w:rPr>
              <w:t>​ ​ $410 – $440</w:t>
            </w:r>
          </w:p>
        </w:tc>
        <w:tc>
          <w:tcPr>
            <w:tcW w:w="220" w:type="dxa"/>
            <w:vAlign w:val="bottom"/>
            <w:tcBorders>
              <w:bottom w:val="single" w:sz="8" w:color="666666"/>
            </w:tcBorders>
            <w:shd w:val="clear" w:color="auto" w:fill="CCCCCC"/>
          </w:tcPr>
          <w:p>
            <w:pPr>
              <w:ind w:left="4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666666"/>
            </w:tcBorders>
            <w:shd w:val="clear" w:color="auto" w:fill="CCCCCC"/>
          </w:tcPr>
          <w:p>
            <w:pPr>
              <w:jc w:val="right"/>
              <w:ind w:right="30"/>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6900" w:type="dxa"/>
            <w:vAlign w:val="bottom"/>
            <w:tcBorders>
              <w:bottom w:val="single" w:sz="8" w:color="666666"/>
            </w:tcBorders>
          </w:tcPr>
          <w:p>
            <w:pPr>
              <w:spacing w:after="0"/>
              <w:rPr>
                <w:sz w:val="20"/>
                <w:szCs w:val="20"/>
                <w:color w:val="auto"/>
              </w:rPr>
            </w:pPr>
            <w:r>
              <w:rPr>
                <w:rFonts w:ascii="Arial" w:cs="Arial" w:eastAsia="Arial" w:hAnsi="Arial"/>
                <w:sz w:val="18"/>
                <w:szCs w:val="18"/>
                <w:color w:val="auto"/>
              </w:rPr>
              <w:t>Free Cash Flow (in millions)</w:t>
            </w:r>
          </w:p>
        </w:tc>
        <w:tc>
          <w:tcPr>
            <w:tcW w:w="800" w:type="dxa"/>
            <w:vAlign w:val="bottom"/>
            <w:tcBorders>
              <w:bottom w:val="single" w:sz="8" w:color="666666"/>
            </w:tcBorders>
            <w:gridSpan w:val="2"/>
          </w:tcPr>
          <w:p>
            <w:pPr>
              <w:ind w:left="60"/>
              <w:spacing w:after="0"/>
              <w:rPr>
                <w:sz w:val="20"/>
                <w:szCs w:val="20"/>
                <w:color w:val="auto"/>
              </w:rPr>
            </w:pPr>
            <w:r>
              <w:rPr>
                <w:rFonts w:ascii="Arial" w:cs="Arial" w:eastAsia="Arial" w:hAnsi="Arial"/>
                <w:sz w:val="18"/>
                <w:szCs w:val="18"/>
                <w:color w:val="auto"/>
              </w:rPr>
              <w:t>​ ​ $(130)</w:t>
            </w:r>
          </w:p>
        </w:tc>
        <w:tc>
          <w:tcPr>
            <w:tcW w:w="1320" w:type="dxa"/>
            <w:vAlign w:val="bottom"/>
            <w:tcBorders>
              <w:bottom w:val="single" w:sz="8" w:color="666666"/>
            </w:tcBorders>
            <w:gridSpan w:val="2"/>
          </w:tcPr>
          <w:p>
            <w:pPr>
              <w:ind w:left="60"/>
              <w:spacing w:after="0"/>
              <w:rPr>
                <w:sz w:val="20"/>
                <w:szCs w:val="20"/>
                <w:color w:val="auto"/>
              </w:rPr>
            </w:pPr>
            <w:r>
              <w:rPr>
                <w:rFonts w:ascii="Arial" w:cs="Arial" w:eastAsia="Arial" w:hAnsi="Arial"/>
                <w:sz w:val="18"/>
                <w:szCs w:val="18"/>
                <w:color w:val="auto"/>
              </w:rPr>
              <w:t>​ ​$(110) – $(90)</w:t>
            </w:r>
          </w:p>
        </w:tc>
        <w:tc>
          <w:tcPr>
            <w:tcW w:w="220" w:type="dxa"/>
            <w:vAlign w:val="bottom"/>
            <w:tcBorders>
              <w:bottom w:val="single" w:sz="8" w:color="666666"/>
            </w:tcBorders>
          </w:tcPr>
          <w:p>
            <w:pPr>
              <w:ind w:left="4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666666"/>
            </w:tcBorders>
          </w:tcPr>
          <w:p>
            <w:pPr>
              <w:jc w:val="right"/>
              <w:ind w:right="1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690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Payout (as a percentage of individual annual targets)</w:t>
            </w:r>
          </w:p>
        </w:tc>
        <w:tc>
          <w:tcPr>
            <w:tcW w:w="800" w:type="dxa"/>
            <w:vAlign w:val="bottom"/>
            <w:tcBorders>
              <w:bottom w:val="single" w:sz="8" w:color="666666"/>
            </w:tcBorders>
            <w:gridSpan w:val="2"/>
            <w:shd w:val="clear" w:color="auto" w:fill="CCCCCC"/>
          </w:tcPr>
          <w:p>
            <w:pPr>
              <w:ind w:left="60"/>
              <w:spacing w:after="0"/>
              <w:rPr>
                <w:sz w:val="20"/>
                <w:szCs w:val="20"/>
                <w:color w:val="auto"/>
              </w:rPr>
            </w:pPr>
            <w:r>
              <w:rPr>
                <w:rFonts w:ascii="Arial" w:cs="Arial" w:eastAsia="Arial" w:hAnsi="Arial"/>
                <w:sz w:val="18"/>
                <w:szCs w:val="18"/>
                <w:color w:val="auto"/>
              </w:rPr>
              <w:t>​ ​  50%</w:t>
            </w:r>
          </w:p>
        </w:tc>
        <w:tc>
          <w:tcPr>
            <w:tcW w:w="360" w:type="dxa"/>
            <w:vAlign w:val="bottom"/>
            <w:tcBorders>
              <w:bottom w:val="single" w:sz="8" w:color="666666"/>
            </w:tcBorders>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666666"/>
            </w:tcBorders>
            <w:shd w:val="clear" w:color="auto" w:fill="CCCCCC"/>
          </w:tcPr>
          <w:p>
            <w:pPr>
              <w:jc w:val="right"/>
              <w:ind w:right="259"/>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666666"/>
            </w:tcBorders>
            <w:gridSpan w:val="2"/>
            <w:shd w:val="clear" w:color="auto" w:fill="CCCCCC"/>
          </w:tcPr>
          <w:p>
            <w:pPr>
              <w:ind w:left="40"/>
              <w:spacing w:after="0"/>
              <w:rPr>
                <w:sz w:val="20"/>
                <w:szCs w:val="20"/>
                <w:color w:val="auto"/>
              </w:rPr>
            </w:pPr>
            <w:r>
              <w:rPr>
                <w:rFonts w:ascii="Arial" w:cs="Arial" w:eastAsia="Arial" w:hAnsi="Arial"/>
                <w:sz w:val="18"/>
                <w:szCs w:val="18"/>
                <w:color w:val="auto"/>
              </w:rPr>
              <w:t>​ ​ 150%</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70" w:lineRule="exact"/>
        <w:rPr>
          <w:sz w:val="20"/>
          <w:szCs w:val="20"/>
          <w:color w:val="auto"/>
        </w:rPr>
      </w:pPr>
    </w:p>
    <w:p>
      <w:pPr>
        <w:ind w:left="440" w:right="180"/>
        <w:spacing w:after="0" w:line="287" w:lineRule="auto"/>
        <w:rPr>
          <w:sz w:val="20"/>
          <w:szCs w:val="20"/>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 Increasing the Company’s EBITDA was a key objective for 2021. EBITDA is a non-GAAP financial measure,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earnings before interest, taxes, depreciation, and amortization.</w:t>
      </w:r>
    </w:p>
    <w:p>
      <w:pPr>
        <w:spacing w:after="0" w:line="45" w:lineRule="exact"/>
        <w:rPr>
          <w:sz w:val="20"/>
          <w:szCs w:val="20"/>
          <w:color w:val="auto"/>
        </w:rPr>
      </w:pPr>
    </w:p>
    <w:p>
      <w:pPr>
        <w:ind w:left="440" w:right="60"/>
        <w:spacing w:after="0" w:line="274" w:lineRule="auto"/>
        <w:rPr>
          <w:sz w:val="20"/>
          <w:szCs w:val="20"/>
          <w:color w:val="auto"/>
        </w:rPr>
      </w:pPr>
      <w:r>
        <w:rPr>
          <w:rFonts w:ascii="Arial" w:cs="Arial" w:eastAsia="Arial" w:hAnsi="Arial"/>
          <w:sz w:val="17"/>
          <w:szCs w:val="17"/>
          <w:b w:val="1"/>
          <w:bCs w:val="1"/>
          <w:color w:val="auto"/>
        </w:rPr>
        <w:t>Free Cash Flow (“FCF”)</w:t>
      </w:r>
      <w:r>
        <w:rPr>
          <w:rFonts w:ascii="Arial" w:cs="Arial" w:eastAsia="Arial" w:hAnsi="Arial"/>
          <w:sz w:val="17"/>
          <w:szCs w:val="17"/>
          <w:color w:val="auto"/>
        </w:rPr>
        <w:t>. The Committee believed the free cash flow metric was important to the Company’s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and generally viewed as a measure of financial success and ability to reduce debt, a key focus of the Company. In setting dollar thresholds, the Committee evaluated historical performance and information used by the Company’s shareholders, as well as internal projections and expectations. Specifically, “free cash flow” is a non-GAAP financial measure calculated as cash flows provided by (used in) operating activities, less capital expenditures plus proceeds from disposition of assets. The threshold, target and maximum metrics were set as negative numbers due to the industry outlook at the time following the COVID-19 pandemic and the challenges facing the Company as we entered 2021.</w:t>
      </w:r>
    </w:p>
    <w:p>
      <w:pPr>
        <w:spacing w:after="0" w:line="58" w:lineRule="exact"/>
        <w:rPr>
          <w:sz w:val="20"/>
          <w:szCs w:val="20"/>
          <w:color w:val="auto"/>
        </w:rPr>
      </w:pPr>
    </w:p>
    <w:p>
      <w:pPr>
        <w:jc w:val="both"/>
        <w:ind w:left="440" w:right="660"/>
        <w:spacing w:after="0" w:line="268" w:lineRule="auto"/>
        <w:rPr>
          <w:sz w:val="20"/>
          <w:szCs w:val="20"/>
          <w:color w:val="auto"/>
        </w:rPr>
      </w:pPr>
      <w:r>
        <w:rPr>
          <w:rFonts w:ascii="Arial" w:cs="Arial" w:eastAsia="Arial" w:hAnsi="Arial"/>
          <w:sz w:val="18"/>
          <w:szCs w:val="18"/>
          <w:b w:val="1"/>
          <w:bCs w:val="1"/>
          <w:color w:val="auto"/>
        </w:rPr>
        <w:t>HS&amp;E</w:t>
      </w:r>
      <w:r>
        <w:rPr>
          <w:rFonts w:ascii="Arial" w:cs="Arial" w:eastAsia="Arial" w:hAnsi="Arial"/>
          <w:sz w:val="18"/>
          <w:szCs w:val="18"/>
          <w:color w:val="auto"/>
        </w:rPr>
        <w:t>. Safety is a top priority for the Company. The financial metric payout achievement can be modified at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Committee in the event safety metrics are not achieved, which can be taken at a Company, country, geozone or regional level.</w:t>
      </w:r>
    </w:p>
    <w:p>
      <w:pPr>
        <w:spacing w:after="0" w:line="63" w:lineRule="exact"/>
        <w:rPr>
          <w:sz w:val="20"/>
          <w:szCs w:val="20"/>
          <w:color w:val="auto"/>
        </w:rPr>
      </w:pPr>
    </w:p>
    <w:p>
      <w:pPr>
        <w:ind w:left="440" w:right="120"/>
        <w:spacing w:after="0" w:line="287" w:lineRule="auto"/>
        <w:rPr>
          <w:sz w:val="20"/>
          <w:szCs w:val="20"/>
          <w:color w:val="auto"/>
        </w:rPr>
      </w:pPr>
      <w:r>
        <w:rPr>
          <w:rFonts w:ascii="Arial" w:cs="Arial" w:eastAsia="Arial" w:hAnsi="Arial"/>
          <w:sz w:val="18"/>
          <w:szCs w:val="18"/>
          <w:b w:val="1"/>
          <w:bCs w:val="1"/>
          <w:color w:val="auto"/>
        </w:rPr>
        <w:t>Individual Modifier</w:t>
      </w:r>
      <w:r>
        <w:rPr>
          <w:rFonts w:ascii="Arial" w:cs="Arial" w:eastAsia="Arial" w:hAnsi="Arial"/>
          <w:sz w:val="18"/>
          <w:szCs w:val="18"/>
          <w:color w:val="auto"/>
        </w:rPr>
        <w:t>. The STI Plan also allows for an individual modifier based on an individual’s performance,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or decrease to the actual STI payout.</w:t>
      </w:r>
    </w:p>
    <w:p>
      <w:pPr>
        <w:spacing w:after="0" w:line="45" w:lineRule="exact"/>
        <w:rPr>
          <w:sz w:val="20"/>
          <w:szCs w:val="20"/>
          <w:color w:val="auto"/>
        </w:rPr>
      </w:pPr>
    </w:p>
    <w:p>
      <w:pPr>
        <w:ind w:left="440" w:right="380"/>
        <w:spacing w:after="0" w:line="287" w:lineRule="auto"/>
        <w:rPr>
          <w:sz w:val="20"/>
          <w:szCs w:val="20"/>
          <w:color w:val="auto"/>
        </w:rPr>
      </w:pPr>
      <w:r>
        <w:rPr>
          <w:rFonts w:ascii="Arial" w:cs="Arial" w:eastAsia="Arial" w:hAnsi="Arial"/>
          <w:sz w:val="18"/>
          <w:szCs w:val="18"/>
          <w:b w:val="1"/>
          <w:bCs w:val="1"/>
          <w:color w:val="auto"/>
        </w:rPr>
        <w:t>Payment Timing</w:t>
      </w:r>
      <w:r>
        <w:rPr>
          <w:rFonts w:ascii="Arial" w:cs="Arial" w:eastAsia="Arial" w:hAnsi="Arial"/>
          <w:sz w:val="18"/>
          <w:szCs w:val="18"/>
          <w:color w:val="auto"/>
        </w:rPr>
        <w:t>. Plan awards earned for a given year generally are paid in March of the following year. All NEO award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are approved by the Committee prior to any payment made.</w:t>
      </w:r>
    </w:p>
    <w:p>
      <w:pPr>
        <w:spacing w:after="0" w:line="45" w:lineRule="exact"/>
        <w:rPr>
          <w:sz w:val="20"/>
          <w:szCs w:val="20"/>
          <w:color w:val="auto"/>
        </w:rPr>
      </w:pPr>
    </w:p>
    <w:p>
      <w:pPr>
        <w:ind w:left="440" w:right="100"/>
        <w:spacing w:after="0" w:line="268" w:lineRule="auto"/>
        <w:rPr>
          <w:sz w:val="20"/>
          <w:szCs w:val="20"/>
          <w:color w:val="auto"/>
        </w:rPr>
      </w:pPr>
      <w:r>
        <w:rPr>
          <w:rFonts w:ascii="Arial" w:cs="Arial" w:eastAsia="Arial" w:hAnsi="Arial"/>
          <w:sz w:val="18"/>
          <w:szCs w:val="18"/>
          <w:b w:val="1"/>
          <w:bCs w:val="1"/>
          <w:color w:val="auto"/>
        </w:rPr>
        <w:t>Maximum Payment</w:t>
      </w:r>
      <w:r>
        <w:rPr>
          <w:rFonts w:ascii="Arial" w:cs="Arial" w:eastAsia="Arial" w:hAnsi="Arial"/>
          <w:sz w:val="18"/>
          <w:szCs w:val="18"/>
          <w:color w:val="auto"/>
        </w:rPr>
        <w:t>. Notwithstanding the achievement of maximum performance on the financial metrics and any HS&amp;E or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multiplier applicable to any individual, the maximum payout any individual can receive is capped at 200% of the individual’s target incentive.</w:t>
      </w:r>
    </w:p>
    <w:p>
      <w:pPr>
        <w:spacing w:after="0" w:line="63" w:lineRule="exact"/>
        <w:rPr>
          <w:sz w:val="20"/>
          <w:szCs w:val="20"/>
          <w:color w:val="auto"/>
        </w:rPr>
      </w:pPr>
    </w:p>
    <w:p>
      <w:pPr>
        <w:ind w:left="440" w:right="380"/>
        <w:spacing w:after="0" w:line="268" w:lineRule="auto"/>
        <w:rPr>
          <w:sz w:val="20"/>
          <w:szCs w:val="20"/>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In the event of unforeseen developments, the Committee may determine that modifying the STI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goals or the potential award payments would be appropriate based on extraordinary circumstances. However, the Committee does not intend to exercise this discretion.</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STI Plan – 2021 Performance and Payouts</w:t>
      </w:r>
    </w:p>
    <w:p>
      <w:pPr>
        <w:spacing w:after="0" w:line="114" w:lineRule="exact"/>
        <w:rPr>
          <w:sz w:val="20"/>
          <w:szCs w:val="20"/>
          <w:color w:val="auto"/>
        </w:rPr>
      </w:pPr>
    </w:p>
    <w:p>
      <w:pPr>
        <w:ind w:left="440" w:right="100"/>
        <w:spacing w:after="0" w:line="268" w:lineRule="auto"/>
        <w:rPr>
          <w:sz w:val="20"/>
          <w:szCs w:val="20"/>
          <w:color w:val="auto"/>
        </w:rPr>
      </w:pPr>
      <w:r>
        <w:rPr>
          <w:rFonts w:ascii="Arial" w:cs="Arial" w:eastAsia="Arial" w:hAnsi="Arial"/>
          <w:sz w:val="18"/>
          <w:szCs w:val="18"/>
          <w:color w:val="auto"/>
        </w:rPr>
        <w:t>As stated earlier, 2021 was an excellent year in terms of financial performance. Overall performance versus targets far outperformed the goals established for the year resulting in maximum achievement on both EBITDA and FCF performance, as shown in the table below:</w:t>
      </w:r>
    </w:p>
    <w:p>
      <w:pPr>
        <w:spacing w:after="0" w:line="56"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4320" w:type="dxa"/>
            <w:vAlign w:val="bottom"/>
            <w:tcBorders>
              <w:bottom w:val="single" w:sz="8" w:color="BA0C2F"/>
            </w:tcBorders>
            <w:shd w:val="clear" w:color="auto" w:fill="BA0C2F"/>
          </w:tcPr>
          <w:p>
            <w:pPr>
              <w:spacing w:after="0"/>
              <w:rPr>
                <w:sz w:val="20"/>
                <w:szCs w:val="20"/>
                <w:color w:val="auto"/>
              </w:rPr>
            </w:pPr>
            <w:r>
              <w:rPr>
                <w:rFonts w:ascii="Arial" w:cs="Arial" w:eastAsia="Arial" w:hAnsi="Arial"/>
                <w:sz w:val="14"/>
                <w:szCs w:val="14"/>
                <w:color w:val="FFFFFF"/>
              </w:rPr>
              <w:t>​</w:t>
            </w:r>
          </w:p>
        </w:tc>
        <w:tc>
          <w:tcPr>
            <w:tcW w:w="80" w:type="dxa"/>
            <w:vAlign w:val="bottom"/>
            <w:tcBorders>
              <w:bottom w:val="single" w:sz="8" w:color="BA0C2F"/>
            </w:tcBorders>
            <w:shd w:val="clear" w:color="auto" w:fill="BA0C2F"/>
          </w:tcPr>
          <w:p>
            <w:pPr>
              <w:spacing w:after="0"/>
              <w:rPr>
                <w:sz w:val="24"/>
                <w:szCs w:val="24"/>
                <w:color w:val="auto"/>
              </w:rPr>
            </w:pPr>
          </w:p>
        </w:tc>
        <w:tc>
          <w:tcPr>
            <w:tcW w:w="740" w:type="dxa"/>
            <w:vAlign w:val="bottom"/>
            <w:tcBorders>
              <w:bottom w:val="single" w:sz="8" w:color="auto"/>
            </w:tcBorders>
            <w:gridSpan w:val="2"/>
            <w:shd w:val="clear" w:color="auto" w:fill="BA0C2F"/>
          </w:tcPr>
          <w:p>
            <w:pPr>
              <w:spacing w:after="0"/>
              <w:rPr>
                <w:sz w:val="20"/>
                <w:szCs w:val="20"/>
                <w:color w:val="auto"/>
              </w:rPr>
            </w:pPr>
            <w:r>
              <w:rPr>
                <w:rFonts w:ascii="Arial" w:cs="Arial" w:eastAsia="Arial" w:hAnsi="Arial"/>
                <w:sz w:val="28"/>
                <w:szCs w:val="28"/>
                <w:color w:val="FFFFFF"/>
                <w:vertAlign w:val="subscript"/>
              </w:rPr>
              <w:t>​ ​</w:t>
            </w:r>
            <w:r>
              <w:rPr>
                <w:rFonts w:ascii="Arial" w:cs="Arial" w:eastAsia="Arial" w:hAnsi="Arial"/>
                <w:sz w:val="14"/>
                <w:szCs w:val="14"/>
                <w:color w:val="FFFFFF"/>
              </w:rPr>
              <w:t>Threshold</w:t>
            </w:r>
          </w:p>
        </w:tc>
        <w:tc>
          <w:tcPr>
            <w:tcW w:w="260" w:type="dxa"/>
            <w:vAlign w:val="bottom"/>
            <w:tcBorders>
              <w:bottom w:val="single" w:sz="8" w:color="auto"/>
            </w:tcBorders>
            <w:shd w:val="clear" w:color="auto" w:fill="BA0C2F"/>
          </w:tcPr>
          <w:p>
            <w:pPr>
              <w:jc w:val="right"/>
              <w:ind w:right="10"/>
              <w:spacing w:after="0"/>
              <w:rPr>
                <w:sz w:val="20"/>
                <w:szCs w:val="20"/>
                <w:color w:val="auto"/>
              </w:rPr>
            </w:pPr>
            <w:r>
              <w:rPr>
                <w:rFonts w:ascii="Arial" w:cs="Arial" w:eastAsia="Arial" w:hAnsi="Arial"/>
                <w:sz w:val="14"/>
                <w:szCs w:val="14"/>
                <w:color w:val="FFFFFF"/>
              </w:rPr>
              <w:t>​ ​</w:t>
            </w:r>
          </w:p>
        </w:tc>
        <w:tc>
          <w:tcPr>
            <w:tcW w:w="1840" w:type="dxa"/>
            <w:vAlign w:val="bottom"/>
            <w:tcBorders>
              <w:bottom w:val="single" w:sz="8" w:color="auto"/>
            </w:tcBorders>
            <w:gridSpan w:val="3"/>
            <w:shd w:val="clear" w:color="auto" w:fill="BA0C2F"/>
          </w:tcPr>
          <w:p>
            <w:pPr>
              <w:ind w:left="640"/>
              <w:spacing w:after="0"/>
              <w:rPr>
                <w:sz w:val="20"/>
                <w:szCs w:val="20"/>
                <w:color w:val="auto"/>
              </w:rPr>
            </w:pPr>
            <w:r>
              <w:rPr>
                <w:rFonts w:ascii="Arial" w:cs="Arial" w:eastAsia="Arial" w:hAnsi="Arial"/>
                <w:sz w:val="14"/>
                <w:szCs w:val="14"/>
                <w:color w:val="FFFFFF"/>
              </w:rPr>
              <w:t xml:space="preserve">Target </w:t>
            </w:r>
            <w:r>
              <w:rPr>
                <w:rFonts w:ascii="Arial" w:cs="Arial" w:eastAsia="Arial" w:hAnsi="Arial"/>
                <w:sz w:val="28"/>
                <w:szCs w:val="28"/>
                <w:color w:val="FFFFFF"/>
                <w:vertAlign w:val="subscript"/>
              </w:rPr>
              <w:t>​ ​</w:t>
            </w:r>
            <w:r>
              <w:rPr>
                <w:rFonts w:ascii="Arial" w:cs="Arial" w:eastAsia="Arial" w:hAnsi="Arial"/>
                <w:sz w:val="14"/>
                <w:szCs w:val="14"/>
                <w:color w:val="FFFFFF"/>
              </w:rPr>
              <w:t>Maximum</w:t>
            </w:r>
          </w:p>
        </w:tc>
        <w:tc>
          <w:tcPr>
            <w:tcW w:w="2560" w:type="dxa"/>
            <w:vAlign w:val="bottom"/>
            <w:tcBorders>
              <w:bottom w:val="single" w:sz="8" w:color="auto"/>
            </w:tcBorders>
            <w:gridSpan w:val="5"/>
            <w:shd w:val="clear" w:color="auto" w:fill="BA0C2F"/>
          </w:tcPr>
          <w:p>
            <w:pPr>
              <w:jc w:val="right"/>
              <w:spacing w:after="0"/>
              <w:rPr>
                <w:sz w:val="20"/>
                <w:szCs w:val="20"/>
                <w:color w:val="auto"/>
              </w:rPr>
            </w:pPr>
            <w:r>
              <w:rPr>
                <w:rFonts w:ascii="Arial" w:cs="Arial" w:eastAsia="Arial" w:hAnsi="Arial"/>
                <w:sz w:val="28"/>
                <w:szCs w:val="28"/>
                <w:color w:val="FFFFFF"/>
                <w:vertAlign w:val="subscript"/>
              </w:rPr>
              <w:t>​ ​</w:t>
            </w:r>
            <w:r>
              <w:rPr>
                <w:rFonts w:ascii="Arial" w:cs="Arial" w:eastAsia="Arial" w:hAnsi="Arial"/>
                <w:sz w:val="14"/>
                <w:szCs w:val="14"/>
                <w:color w:val="FFFFFF"/>
              </w:rPr>
              <w:t xml:space="preserve"> Actual Achievement </w:t>
            </w:r>
            <w:r>
              <w:rPr>
                <w:rFonts w:ascii="Arial" w:cs="Arial" w:eastAsia="Arial" w:hAnsi="Arial"/>
                <w:sz w:val="28"/>
                <w:szCs w:val="28"/>
                <w:color w:val="FFFFFF"/>
                <w:vertAlign w:val="subscript"/>
              </w:rPr>
              <w:t>​ ​</w:t>
            </w:r>
            <w:r>
              <w:rPr>
                <w:rFonts w:ascii="Arial" w:cs="Arial" w:eastAsia="Arial" w:hAnsi="Arial"/>
                <w:sz w:val="14"/>
                <w:szCs w:val="14"/>
                <w:color w:val="FFFFFF"/>
              </w:rPr>
              <w:t>STI % Payout</w:t>
            </w:r>
          </w:p>
        </w:tc>
        <w:tc>
          <w:tcPr>
            <w:tcW w:w="40" w:type="dxa"/>
            <w:vAlign w:val="bottom"/>
          </w:tcPr>
          <w:p>
            <w:pPr>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EBITDA (in millions)</w:t>
            </w:r>
          </w:p>
        </w:tc>
        <w:tc>
          <w:tcPr>
            <w:tcW w:w="260" w:type="dxa"/>
            <w:vAlign w:val="bottom"/>
            <w:tcBorders>
              <w:bottom w:val="single" w:sz="8" w:color="666666"/>
            </w:tcBorders>
            <w:gridSpan w:val="2"/>
            <w:shd w:val="clear" w:color="auto" w:fill="CCCCCC"/>
          </w:tcPr>
          <w:p>
            <w:pPr>
              <w:ind w:left="4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666666"/>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​$ 375​​ ​</w:t>
            </w:r>
          </w:p>
        </w:tc>
        <w:tc>
          <w:tcPr>
            <w:tcW w:w="1320" w:type="dxa"/>
            <w:vAlign w:val="bottom"/>
            <w:tcBorders>
              <w:bottom w:val="single" w:sz="8" w:color="666666"/>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​$410 – $440​​ ​</w:t>
            </w:r>
          </w:p>
        </w:tc>
        <w:tc>
          <w:tcPr>
            <w:tcW w:w="1140" w:type="dxa"/>
            <w:vAlign w:val="bottom"/>
            <w:tcBorders>
              <w:bottom w:val="single" w:sz="8" w:color="666666"/>
            </w:tcBorders>
            <w:gridSpan w:val="2"/>
            <w:shd w:val="clear" w:color="auto" w:fill="CCCCCC"/>
          </w:tcPr>
          <w:p>
            <w:pPr>
              <w:jc w:val="right"/>
              <w:ind w:right="390"/>
              <w:spacing w:after="0"/>
              <w:rPr>
                <w:sz w:val="20"/>
                <w:szCs w:val="20"/>
                <w:color w:val="auto"/>
              </w:rPr>
            </w:pPr>
            <w:r>
              <w:rPr>
                <w:rFonts w:ascii="Arial" w:cs="Arial" w:eastAsia="Arial" w:hAnsi="Arial"/>
                <w:sz w:val="18"/>
                <w:szCs w:val="18"/>
                <w:color w:val="auto"/>
              </w:rPr>
              <w:t>​$470​​ ​</w:t>
            </w:r>
          </w:p>
        </w:tc>
        <w:tc>
          <w:tcPr>
            <w:tcW w:w="560" w:type="dxa"/>
            <w:vAlign w:val="bottom"/>
            <w:tcBorders>
              <w:bottom w:val="single" w:sz="8" w:color="666666"/>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666666"/>
            </w:tcBorders>
            <w:gridSpan w:val="2"/>
            <w:shd w:val="clear" w:color="auto" w:fill="CCCCCC"/>
          </w:tcPr>
          <w:p>
            <w:pPr>
              <w:jc w:val="right"/>
              <w:ind w:right="10"/>
              <w:spacing w:after="0"/>
              <w:rPr>
                <w:sz w:val="20"/>
                <w:szCs w:val="20"/>
                <w:color w:val="auto"/>
              </w:rPr>
            </w:pPr>
            <w:r>
              <w:rPr>
                <w:rFonts w:ascii="Arial" w:cs="Arial" w:eastAsia="Arial" w:hAnsi="Arial"/>
                <w:sz w:val="18"/>
                <w:szCs w:val="18"/>
                <w:color w:val="auto"/>
              </w:rPr>
              <w:t>527​​ ​</w:t>
            </w:r>
          </w:p>
        </w:tc>
        <w:tc>
          <w:tcPr>
            <w:tcW w:w="780" w:type="dxa"/>
            <w:vAlign w:val="bottom"/>
            <w:tcBorders>
              <w:bottom w:val="single" w:sz="8" w:color="666666"/>
            </w:tcBorders>
            <w:shd w:val="clear" w:color="auto" w:fill="CCCCCC"/>
          </w:tcPr>
          <w:p>
            <w:pPr>
              <w:jc w:val="right"/>
              <w:ind w:right="13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Free Cash Flow (in millions)</w:t>
            </w:r>
          </w:p>
        </w:tc>
        <w:tc>
          <w:tcPr>
            <w:tcW w:w="26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86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$(130) $(110) – $(90)</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 (70)</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w w:val="99"/>
              </w:rPr>
              <w:t>278</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150%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Borders>
              <w:bottom w:val="single" w:sz="8" w:color="666666"/>
            </w:tcBorders>
          </w:tcPr>
          <w:p>
            <w:pPr>
              <w:spacing w:after="0"/>
              <w:rPr>
                <w:sz w:val="4"/>
                <w:szCs w:val="4"/>
                <w:color w:val="auto"/>
              </w:rPr>
            </w:pPr>
          </w:p>
        </w:tc>
        <w:tc>
          <w:tcPr>
            <w:tcW w:w="260" w:type="dxa"/>
            <w:vAlign w:val="bottom"/>
            <w:tcBorders>
              <w:bottom w:val="single" w:sz="8" w:color="666666"/>
            </w:tcBorders>
            <w:gridSpan w:val="2"/>
            <w:vMerge w:val="continue"/>
          </w:tcPr>
          <w:p>
            <w:pPr>
              <w:spacing w:after="0"/>
              <w:rPr>
                <w:sz w:val="4"/>
                <w:szCs w:val="4"/>
                <w:color w:val="auto"/>
              </w:rPr>
            </w:pPr>
          </w:p>
        </w:tc>
        <w:tc>
          <w:tcPr>
            <w:tcW w:w="560" w:type="dxa"/>
            <w:vAlign w:val="bottom"/>
            <w:tcBorders>
              <w:bottom w:val="single" w:sz="8" w:color="666666"/>
            </w:tcBorders>
          </w:tcPr>
          <w:p>
            <w:pPr>
              <w:ind w:left="80"/>
              <w:spacing w:after="0" w:line="54"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666666"/>
            </w:tcBorders>
          </w:tcPr>
          <w:p>
            <w:pPr>
              <w:jc w:val="right"/>
              <w:ind w:right="30"/>
              <w:spacing w:after="0" w:line="54" w:lineRule="exact"/>
              <w:rPr>
                <w:sz w:val="20"/>
                <w:szCs w:val="20"/>
                <w:color w:val="auto"/>
              </w:rPr>
            </w:pPr>
            <w:r>
              <w:rPr>
                <w:rFonts w:ascii="Arial" w:cs="Arial" w:eastAsia="Arial" w:hAnsi="Arial"/>
                <w:sz w:val="6"/>
                <w:szCs w:val="6"/>
                <w:color w:val="auto"/>
              </w:rPr>
              <w:t>​​ ​</w:t>
            </w:r>
          </w:p>
        </w:tc>
        <w:tc>
          <w:tcPr>
            <w:tcW w:w="1040" w:type="dxa"/>
            <w:vAlign w:val="bottom"/>
            <w:tcBorders>
              <w:bottom w:val="single" w:sz="8" w:color="666666"/>
            </w:tcBorders>
          </w:tcPr>
          <w:p>
            <w:pPr>
              <w:spacing w:after="0"/>
              <w:rPr>
                <w:sz w:val="4"/>
                <w:szCs w:val="4"/>
                <w:color w:val="auto"/>
              </w:rPr>
            </w:pPr>
          </w:p>
        </w:tc>
        <w:tc>
          <w:tcPr>
            <w:tcW w:w="280" w:type="dxa"/>
            <w:vAlign w:val="bottom"/>
            <w:tcBorders>
              <w:bottom w:val="single" w:sz="8" w:color="666666"/>
            </w:tcBorders>
            <w:vMerge w:val="continue"/>
          </w:tcPr>
          <w:p>
            <w:pPr>
              <w:spacing w:after="0"/>
              <w:rPr>
                <w:sz w:val="4"/>
                <w:szCs w:val="4"/>
                <w:color w:val="auto"/>
              </w:rPr>
            </w:pPr>
          </w:p>
        </w:tc>
        <w:tc>
          <w:tcPr>
            <w:tcW w:w="520" w:type="dxa"/>
            <w:vAlign w:val="bottom"/>
            <w:tcBorders>
              <w:bottom w:val="single" w:sz="8" w:color="666666"/>
            </w:tcBorders>
          </w:tcPr>
          <w:p>
            <w:pPr>
              <w:ind w:left="10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666666"/>
            </w:tcBorders>
          </w:tcPr>
          <w:p>
            <w:pPr>
              <w:jc w:val="right"/>
              <w:ind w:right="390"/>
              <w:spacing w:after="0" w:line="54" w:lineRule="exact"/>
              <w:rPr>
                <w:sz w:val="20"/>
                <w:szCs w:val="20"/>
                <w:color w:val="auto"/>
              </w:rPr>
            </w:pPr>
            <w:r>
              <w:rPr>
                <w:rFonts w:ascii="Arial" w:cs="Arial" w:eastAsia="Arial" w:hAnsi="Arial"/>
                <w:sz w:val="6"/>
                <w:szCs w:val="6"/>
                <w:color w:val="auto"/>
              </w:rPr>
              <w:t>​​ ​</w:t>
            </w:r>
          </w:p>
        </w:tc>
        <w:tc>
          <w:tcPr>
            <w:tcW w:w="560" w:type="dxa"/>
            <w:vAlign w:val="bottom"/>
            <w:tcBorders>
              <w:bottom w:val="single" w:sz="8" w:color="666666"/>
            </w:tcBorders>
          </w:tcPr>
          <w:p>
            <w:pPr>
              <w:jc w:val="right"/>
              <w:ind w:right="11"/>
              <w:spacing w:after="0" w:line="54" w:lineRule="exact"/>
              <w:rPr>
                <w:sz w:val="20"/>
                <w:szCs w:val="20"/>
                <w:color w:val="auto"/>
              </w:rPr>
            </w:pPr>
            <w:r>
              <w:rPr>
                <w:rFonts w:ascii="Arial" w:cs="Arial" w:eastAsia="Arial" w:hAnsi="Arial"/>
                <w:sz w:val="6"/>
                <w:szCs w:val="6"/>
                <w:color w:val="auto"/>
              </w:rPr>
              <w:t>​</w:t>
            </w:r>
          </w:p>
        </w:tc>
        <w:tc>
          <w:tcPr>
            <w:tcW w:w="320" w:type="dxa"/>
            <w:vAlign w:val="bottom"/>
            <w:tcBorders>
              <w:bottom w:val="single" w:sz="8" w:color="666666"/>
            </w:tcBorders>
          </w:tcPr>
          <w:p>
            <w:pPr>
              <w:spacing w:after="0"/>
              <w:rPr>
                <w:sz w:val="4"/>
                <w:szCs w:val="4"/>
                <w:color w:val="auto"/>
              </w:rPr>
            </w:pPr>
          </w:p>
        </w:tc>
        <w:tc>
          <w:tcPr>
            <w:tcW w:w="280" w:type="dxa"/>
            <w:vAlign w:val="bottom"/>
            <w:tcBorders>
              <w:bottom w:val="single" w:sz="8" w:color="666666"/>
            </w:tcBorders>
            <w:vMerge w:val="continue"/>
          </w:tcPr>
          <w:p>
            <w:pPr>
              <w:spacing w:after="0"/>
              <w:rPr>
                <w:sz w:val="4"/>
                <w:szCs w:val="4"/>
                <w:color w:val="auto"/>
              </w:rPr>
            </w:pPr>
          </w:p>
        </w:tc>
        <w:tc>
          <w:tcPr>
            <w:tcW w:w="780" w:type="dxa"/>
            <w:vAlign w:val="bottom"/>
            <w:tcBorders>
              <w:bottom w:val="single" w:sz="8" w:color="666666"/>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right="60"/>
        <w:spacing w:after="0" w:line="287" w:lineRule="auto"/>
        <w:rPr>
          <w:sz w:val="20"/>
          <w:szCs w:val="20"/>
          <w:color w:val="auto"/>
        </w:rPr>
      </w:pPr>
      <w:r>
        <w:rPr>
          <w:rFonts w:ascii="Arial" w:cs="Arial" w:eastAsia="Arial" w:hAnsi="Arial"/>
          <w:sz w:val="18"/>
          <w:szCs w:val="18"/>
          <w:color w:val="auto"/>
        </w:rPr>
        <w:t>In addition, each of the NEO’s performed well above average resulting in an Individual Performance Multiplier for each NEO ranging from 125% to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1292225</wp:posOffset>
            </wp:positionV>
            <wp:extent cx="6231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3740" w:type="dxa"/>
            <w:vAlign w:val="bottom"/>
          </w:tcPr>
          <w:p>
            <w:pPr>
              <w:spacing w:after="0"/>
              <w:rPr>
                <w:sz w:val="20"/>
                <w:szCs w:val="20"/>
                <w:color w:val="auto"/>
              </w:rPr>
            </w:pPr>
            <w:r>
              <w:rPr>
                <w:rFonts w:ascii="Arial" w:cs="Arial" w:eastAsia="Arial" w:hAnsi="Arial"/>
                <w:sz w:val="14"/>
                <w:szCs w:val="14"/>
                <w:b w:val="1"/>
                <w:bCs w:val="1"/>
                <w:color w:val="666666"/>
              </w:rPr>
              <w:t>COMPENSATION DISCUSSION AND ANALYSIS</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BA0C2F"/>
          </w:tcPr>
          <w:p>
            <w:pPr>
              <w:spacing w:after="0"/>
              <w:rPr>
                <w:sz w:val="20"/>
                <w:szCs w:val="20"/>
                <w:color w:val="auto"/>
              </w:rPr>
            </w:pPr>
          </w:p>
        </w:tc>
        <w:tc>
          <w:tcPr>
            <w:tcW w:w="720" w:type="dxa"/>
            <w:vAlign w:val="bottom"/>
            <w:shd w:val="clear" w:color="auto" w:fill="BA0C2F"/>
          </w:tcPr>
          <w:p>
            <w:pPr>
              <w:spacing w:after="0"/>
              <w:rPr>
                <w:sz w:val="20"/>
                <w:szCs w:val="20"/>
                <w:color w:val="auto"/>
              </w:rPr>
            </w:pPr>
          </w:p>
        </w:tc>
        <w:tc>
          <w:tcPr>
            <w:tcW w:w="820" w:type="dxa"/>
            <w:vAlign w:val="bottom"/>
            <w:shd w:val="clear" w:color="auto" w:fill="BA0C2F"/>
          </w:tcPr>
          <w:p>
            <w:pPr>
              <w:spacing w:after="0"/>
              <w:rPr>
                <w:sz w:val="20"/>
                <w:szCs w:val="20"/>
                <w:color w:val="auto"/>
              </w:rPr>
            </w:pPr>
          </w:p>
        </w:tc>
        <w:tc>
          <w:tcPr>
            <w:tcW w:w="1180" w:type="dxa"/>
            <w:vAlign w:val="bottom"/>
            <w:gridSpan w:val="2"/>
            <w:shd w:val="clear" w:color="auto" w:fill="BA0C2F"/>
          </w:tcPr>
          <w:p>
            <w:pPr>
              <w:jc w:val="right"/>
              <w:spacing w:after="0"/>
              <w:rPr>
                <w:sz w:val="20"/>
                <w:szCs w:val="20"/>
                <w:color w:val="auto"/>
              </w:rPr>
            </w:pPr>
            <w:r>
              <w:rPr>
                <w:rFonts w:ascii="Arial" w:cs="Arial" w:eastAsia="Arial" w:hAnsi="Arial"/>
                <w:sz w:val="14"/>
                <w:szCs w:val="14"/>
                <w:color w:val="FFFFFF"/>
              </w:rPr>
              <w:t>2021 Year-End</w:t>
            </w:r>
          </w:p>
        </w:tc>
        <w:tc>
          <w:tcPr>
            <w:tcW w:w="300" w:type="dxa"/>
            <w:vAlign w:val="bottom"/>
            <w:shd w:val="clear" w:color="auto" w:fill="BA0C2F"/>
          </w:tcPr>
          <w:p>
            <w:pPr>
              <w:spacing w:after="0"/>
              <w:rPr>
                <w:sz w:val="20"/>
                <w:szCs w:val="20"/>
                <w:color w:val="auto"/>
              </w:rPr>
            </w:pPr>
          </w:p>
        </w:tc>
        <w:tc>
          <w:tcPr>
            <w:tcW w:w="740" w:type="dxa"/>
            <w:vAlign w:val="bottom"/>
            <w:shd w:val="clear" w:color="auto" w:fill="BA0C2F"/>
          </w:tcPr>
          <w:p>
            <w:pPr>
              <w:spacing w:after="0"/>
              <w:rPr>
                <w:sz w:val="20"/>
                <w:szCs w:val="20"/>
                <w:color w:val="auto"/>
              </w:rPr>
            </w:pPr>
          </w:p>
        </w:tc>
        <w:tc>
          <w:tcPr>
            <w:tcW w:w="300" w:type="dxa"/>
            <w:vAlign w:val="bottom"/>
            <w:shd w:val="clear" w:color="auto" w:fill="BA0C2F"/>
          </w:tcPr>
          <w:p>
            <w:pPr>
              <w:spacing w:after="0"/>
              <w:rPr>
                <w:sz w:val="20"/>
                <w:szCs w:val="20"/>
                <w:color w:val="auto"/>
              </w:rPr>
            </w:pPr>
          </w:p>
        </w:tc>
        <w:tc>
          <w:tcPr>
            <w:tcW w:w="1000" w:type="dxa"/>
            <w:vAlign w:val="bottom"/>
            <w:shd w:val="clear" w:color="auto" w:fill="BA0C2F"/>
          </w:tcPr>
          <w:p>
            <w:pPr>
              <w:spacing w:after="0"/>
              <w:rPr>
                <w:sz w:val="20"/>
                <w:szCs w:val="20"/>
                <w:color w:val="auto"/>
              </w:rPr>
            </w:pPr>
          </w:p>
        </w:tc>
        <w:tc>
          <w:tcPr>
            <w:tcW w:w="200" w:type="dxa"/>
            <w:vAlign w:val="bottom"/>
            <w:shd w:val="clear" w:color="auto" w:fill="BA0C2F"/>
          </w:tcPr>
          <w:p>
            <w:pPr>
              <w:spacing w:after="0"/>
              <w:rPr>
                <w:sz w:val="20"/>
                <w:szCs w:val="20"/>
                <w:color w:val="auto"/>
              </w:rPr>
            </w:pPr>
          </w:p>
        </w:tc>
        <w:tc>
          <w:tcPr>
            <w:tcW w:w="800" w:type="dxa"/>
            <w:vAlign w:val="bottom"/>
            <w:shd w:val="clear" w:color="auto" w:fill="BA0C2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BA0C2F"/>
          </w:tcPr>
          <w:p>
            <w:pPr>
              <w:spacing w:after="0"/>
              <w:rPr>
                <w:sz w:val="14"/>
                <w:szCs w:val="14"/>
                <w:color w:val="auto"/>
              </w:rPr>
            </w:pPr>
          </w:p>
        </w:tc>
        <w:tc>
          <w:tcPr>
            <w:tcW w:w="720" w:type="dxa"/>
            <w:vAlign w:val="bottom"/>
            <w:shd w:val="clear" w:color="auto" w:fill="BA0C2F"/>
          </w:tcPr>
          <w:p>
            <w:pPr>
              <w:spacing w:after="0"/>
              <w:rPr>
                <w:sz w:val="14"/>
                <w:szCs w:val="14"/>
                <w:color w:val="auto"/>
              </w:rPr>
            </w:pPr>
          </w:p>
        </w:tc>
        <w:tc>
          <w:tcPr>
            <w:tcW w:w="820" w:type="dxa"/>
            <w:vAlign w:val="bottom"/>
            <w:shd w:val="clear" w:color="auto" w:fill="BA0C2F"/>
          </w:tcPr>
          <w:p>
            <w:pPr>
              <w:spacing w:after="0"/>
              <w:rPr>
                <w:sz w:val="14"/>
                <w:szCs w:val="14"/>
                <w:color w:val="auto"/>
              </w:rPr>
            </w:pPr>
          </w:p>
        </w:tc>
        <w:tc>
          <w:tcPr>
            <w:tcW w:w="360" w:type="dxa"/>
            <w:vAlign w:val="bottom"/>
            <w:shd w:val="clear" w:color="auto" w:fill="BA0C2F"/>
          </w:tcPr>
          <w:p>
            <w:pPr>
              <w:spacing w:after="0"/>
              <w:rPr>
                <w:sz w:val="14"/>
                <w:szCs w:val="14"/>
                <w:color w:val="auto"/>
              </w:rPr>
            </w:pPr>
          </w:p>
        </w:tc>
        <w:tc>
          <w:tcPr>
            <w:tcW w:w="820" w:type="dxa"/>
            <w:vAlign w:val="bottom"/>
            <w:shd w:val="clear" w:color="auto" w:fill="BA0C2F"/>
          </w:tcPr>
          <w:p>
            <w:pPr>
              <w:jc w:val="right"/>
              <w:spacing w:after="0"/>
              <w:rPr>
                <w:sz w:val="20"/>
                <w:szCs w:val="20"/>
                <w:color w:val="auto"/>
              </w:rPr>
            </w:pPr>
            <w:r>
              <w:rPr>
                <w:rFonts w:ascii="Arial" w:cs="Arial" w:eastAsia="Arial" w:hAnsi="Arial"/>
                <w:sz w:val="14"/>
                <w:szCs w:val="14"/>
                <w:color w:val="FFFFFF"/>
              </w:rPr>
              <w:t>Target</w:t>
            </w:r>
          </w:p>
        </w:tc>
        <w:tc>
          <w:tcPr>
            <w:tcW w:w="300" w:type="dxa"/>
            <w:vAlign w:val="bottom"/>
            <w:shd w:val="clear" w:color="auto" w:fill="BA0C2F"/>
          </w:tcPr>
          <w:p>
            <w:pPr>
              <w:spacing w:after="0"/>
              <w:rPr>
                <w:sz w:val="14"/>
                <w:szCs w:val="14"/>
                <w:color w:val="auto"/>
              </w:rPr>
            </w:pPr>
          </w:p>
        </w:tc>
        <w:tc>
          <w:tcPr>
            <w:tcW w:w="740" w:type="dxa"/>
            <w:vAlign w:val="bottom"/>
            <w:shd w:val="clear" w:color="auto" w:fill="BA0C2F"/>
          </w:tcPr>
          <w:p>
            <w:pPr>
              <w:spacing w:after="0"/>
              <w:rPr>
                <w:sz w:val="14"/>
                <w:szCs w:val="14"/>
                <w:color w:val="auto"/>
              </w:rPr>
            </w:pPr>
          </w:p>
        </w:tc>
        <w:tc>
          <w:tcPr>
            <w:tcW w:w="300" w:type="dxa"/>
            <w:vAlign w:val="bottom"/>
            <w:shd w:val="clear" w:color="auto" w:fill="BA0C2F"/>
          </w:tcPr>
          <w:p>
            <w:pPr>
              <w:spacing w:after="0"/>
              <w:rPr>
                <w:sz w:val="14"/>
                <w:szCs w:val="14"/>
                <w:color w:val="auto"/>
              </w:rPr>
            </w:pPr>
          </w:p>
        </w:tc>
        <w:tc>
          <w:tcPr>
            <w:tcW w:w="1000" w:type="dxa"/>
            <w:vAlign w:val="bottom"/>
            <w:shd w:val="clear" w:color="auto" w:fill="BA0C2F"/>
          </w:tcPr>
          <w:p>
            <w:pPr>
              <w:spacing w:after="0"/>
              <w:rPr>
                <w:sz w:val="14"/>
                <w:szCs w:val="14"/>
                <w:color w:val="auto"/>
              </w:rPr>
            </w:pPr>
          </w:p>
        </w:tc>
        <w:tc>
          <w:tcPr>
            <w:tcW w:w="200" w:type="dxa"/>
            <w:vAlign w:val="bottom"/>
            <w:shd w:val="clear" w:color="auto" w:fill="BA0C2F"/>
          </w:tcPr>
          <w:p>
            <w:pPr>
              <w:spacing w:after="0"/>
              <w:rPr>
                <w:sz w:val="14"/>
                <w:szCs w:val="14"/>
                <w:color w:val="auto"/>
              </w:rPr>
            </w:pPr>
          </w:p>
        </w:tc>
        <w:tc>
          <w:tcPr>
            <w:tcW w:w="800" w:type="dxa"/>
            <w:vAlign w:val="bottom"/>
            <w:shd w:val="clear" w:color="auto" w:fill="BA0C2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BA0C2F"/>
          </w:tcPr>
          <w:p>
            <w:pPr>
              <w:spacing w:after="0"/>
              <w:rPr>
                <w:sz w:val="14"/>
                <w:szCs w:val="14"/>
                <w:color w:val="auto"/>
              </w:rPr>
            </w:pPr>
          </w:p>
        </w:tc>
        <w:tc>
          <w:tcPr>
            <w:tcW w:w="720" w:type="dxa"/>
            <w:vAlign w:val="bottom"/>
            <w:shd w:val="clear" w:color="auto" w:fill="BA0C2F"/>
          </w:tcPr>
          <w:p>
            <w:pPr>
              <w:spacing w:after="0"/>
              <w:rPr>
                <w:sz w:val="14"/>
                <w:szCs w:val="14"/>
                <w:color w:val="auto"/>
              </w:rPr>
            </w:pPr>
          </w:p>
        </w:tc>
        <w:tc>
          <w:tcPr>
            <w:tcW w:w="820" w:type="dxa"/>
            <w:vAlign w:val="bottom"/>
            <w:shd w:val="clear" w:color="auto" w:fill="BA0C2F"/>
          </w:tcPr>
          <w:p>
            <w:pPr>
              <w:spacing w:after="0"/>
              <w:rPr>
                <w:sz w:val="14"/>
                <w:szCs w:val="14"/>
                <w:color w:val="auto"/>
              </w:rPr>
            </w:pPr>
          </w:p>
        </w:tc>
        <w:tc>
          <w:tcPr>
            <w:tcW w:w="360" w:type="dxa"/>
            <w:vAlign w:val="bottom"/>
            <w:shd w:val="clear" w:color="auto" w:fill="BA0C2F"/>
          </w:tcPr>
          <w:p>
            <w:pPr>
              <w:spacing w:after="0"/>
              <w:rPr>
                <w:sz w:val="14"/>
                <w:szCs w:val="14"/>
                <w:color w:val="auto"/>
              </w:rPr>
            </w:pPr>
          </w:p>
        </w:tc>
        <w:tc>
          <w:tcPr>
            <w:tcW w:w="820" w:type="dxa"/>
            <w:vAlign w:val="bottom"/>
            <w:shd w:val="clear" w:color="auto" w:fill="BA0C2F"/>
          </w:tcPr>
          <w:p>
            <w:pPr>
              <w:jc w:val="right"/>
              <w:spacing w:after="0"/>
              <w:rPr>
                <w:sz w:val="20"/>
                <w:szCs w:val="20"/>
                <w:color w:val="auto"/>
              </w:rPr>
            </w:pPr>
            <w:r>
              <w:rPr>
                <w:rFonts w:ascii="Arial" w:cs="Arial" w:eastAsia="Arial" w:hAnsi="Arial"/>
                <w:sz w:val="14"/>
                <w:szCs w:val="14"/>
                <w:color w:val="FFFFFF"/>
              </w:rPr>
              <w:t>(at Target</w:t>
            </w:r>
          </w:p>
        </w:tc>
        <w:tc>
          <w:tcPr>
            <w:tcW w:w="300" w:type="dxa"/>
            <w:vAlign w:val="bottom"/>
            <w:shd w:val="clear" w:color="auto" w:fill="BA0C2F"/>
          </w:tcPr>
          <w:p>
            <w:pPr>
              <w:spacing w:after="0"/>
              <w:rPr>
                <w:sz w:val="14"/>
                <w:szCs w:val="14"/>
                <w:color w:val="auto"/>
              </w:rPr>
            </w:pPr>
          </w:p>
        </w:tc>
        <w:tc>
          <w:tcPr>
            <w:tcW w:w="740" w:type="dxa"/>
            <w:vAlign w:val="bottom"/>
            <w:shd w:val="clear" w:color="auto" w:fill="BA0C2F"/>
          </w:tcPr>
          <w:p>
            <w:pPr>
              <w:spacing w:after="0"/>
              <w:rPr>
                <w:sz w:val="14"/>
                <w:szCs w:val="14"/>
                <w:color w:val="auto"/>
              </w:rPr>
            </w:pPr>
          </w:p>
        </w:tc>
        <w:tc>
          <w:tcPr>
            <w:tcW w:w="300" w:type="dxa"/>
            <w:vAlign w:val="bottom"/>
            <w:shd w:val="clear" w:color="auto" w:fill="BA0C2F"/>
          </w:tcPr>
          <w:p>
            <w:pPr>
              <w:spacing w:after="0"/>
              <w:rPr>
                <w:sz w:val="14"/>
                <w:szCs w:val="14"/>
                <w:color w:val="auto"/>
              </w:rPr>
            </w:pPr>
          </w:p>
        </w:tc>
        <w:tc>
          <w:tcPr>
            <w:tcW w:w="1000" w:type="dxa"/>
            <w:vAlign w:val="bottom"/>
            <w:shd w:val="clear" w:color="auto" w:fill="BA0C2F"/>
          </w:tcPr>
          <w:p>
            <w:pPr>
              <w:jc w:val="right"/>
              <w:ind w:right="240"/>
              <w:spacing w:after="0"/>
              <w:rPr>
                <w:sz w:val="20"/>
                <w:szCs w:val="20"/>
                <w:color w:val="auto"/>
              </w:rPr>
            </w:pPr>
            <w:r>
              <w:rPr>
                <w:rFonts w:ascii="Arial" w:cs="Arial" w:eastAsia="Arial" w:hAnsi="Arial"/>
                <w:sz w:val="14"/>
                <w:szCs w:val="14"/>
                <w:color w:val="FFFFFF"/>
              </w:rPr>
              <w:t>Individual</w:t>
            </w:r>
          </w:p>
        </w:tc>
        <w:tc>
          <w:tcPr>
            <w:tcW w:w="200" w:type="dxa"/>
            <w:vAlign w:val="bottom"/>
            <w:shd w:val="clear" w:color="auto" w:fill="BA0C2F"/>
          </w:tcPr>
          <w:p>
            <w:pPr>
              <w:spacing w:after="0"/>
              <w:rPr>
                <w:sz w:val="14"/>
                <w:szCs w:val="14"/>
                <w:color w:val="auto"/>
              </w:rPr>
            </w:pPr>
          </w:p>
        </w:tc>
        <w:tc>
          <w:tcPr>
            <w:tcW w:w="800" w:type="dxa"/>
            <w:vAlign w:val="bottom"/>
            <w:shd w:val="clear" w:color="auto" w:fill="BA0C2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BA0C2F"/>
          </w:tcPr>
          <w:p>
            <w:pPr>
              <w:spacing w:after="0"/>
              <w:rPr>
                <w:sz w:val="14"/>
                <w:szCs w:val="14"/>
                <w:color w:val="auto"/>
              </w:rPr>
            </w:pPr>
          </w:p>
        </w:tc>
        <w:tc>
          <w:tcPr>
            <w:tcW w:w="720" w:type="dxa"/>
            <w:vAlign w:val="bottom"/>
            <w:shd w:val="clear" w:color="auto" w:fill="BA0C2F"/>
          </w:tcPr>
          <w:p>
            <w:pPr>
              <w:spacing w:after="0"/>
              <w:rPr>
                <w:sz w:val="14"/>
                <w:szCs w:val="14"/>
                <w:color w:val="auto"/>
              </w:rPr>
            </w:pPr>
          </w:p>
        </w:tc>
        <w:tc>
          <w:tcPr>
            <w:tcW w:w="820" w:type="dxa"/>
            <w:vAlign w:val="bottom"/>
            <w:shd w:val="clear" w:color="auto" w:fill="BA0C2F"/>
          </w:tcPr>
          <w:p>
            <w:pPr>
              <w:jc w:val="right"/>
              <w:ind w:right="260"/>
              <w:spacing w:after="0"/>
              <w:rPr>
                <w:sz w:val="20"/>
                <w:szCs w:val="20"/>
                <w:color w:val="auto"/>
              </w:rPr>
            </w:pPr>
            <w:r>
              <w:rPr>
                <w:rFonts w:ascii="Arial" w:cs="Arial" w:eastAsia="Arial" w:hAnsi="Arial"/>
                <w:sz w:val="14"/>
                <w:szCs w:val="14"/>
                <w:color w:val="FFFFFF"/>
              </w:rPr>
              <w:t>Current</w:t>
            </w:r>
          </w:p>
        </w:tc>
        <w:tc>
          <w:tcPr>
            <w:tcW w:w="1180" w:type="dxa"/>
            <w:vAlign w:val="bottom"/>
            <w:gridSpan w:val="2"/>
            <w:shd w:val="clear" w:color="auto" w:fill="BA0C2F"/>
          </w:tcPr>
          <w:p>
            <w:pPr>
              <w:jc w:val="right"/>
              <w:spacing w:after="0"/>
              <w:rPr>
                <w:sz w:val="20"/>
                <w:szCs w:val="20"/>
                <w:color w:val="auto"/>
              </w:rPr>
            </w:pPr>
            <w:r>
              <w:rPr>
                <w:rFonts w:ascii="Arial" w:cs="Arial" w:eastAsia="Arial" w:hAnsi="Arial"/>
                <w:sz w:val="14"/>
                <w:szCs w:val="14"/>
                <w:color w:val="FFFFFF"/>
              </w:rPr>
              <w:t>Achievement on</w:t>
            </w:r>
          </w:p>
        </w:tc>
        <w:tc>
          <w:tcPr>
            <w:tcW w:w="300" w:type="dxa"/>
            <w:vAlign w:val="bottom"/>
            <w:shd w:val="clear" w:color="auto" w:fill="BA0C2F"/>
          </w:tcPr>
          <w:p>
            <w:pPr>
              <w:spacing w:after="0"/>
              <w:rPr>
                <w:sz w:val="14"/>
                <w:szCs w:val="14"/>
                <w:color w:val="auto"/>
              </w:rPr>
            </w:pPr>
          </w:p>
        </w:tc>
        <w:tc>
          <w:tcPr>
            <w:tcW w:w="740" w:type="dxa"/>
            <w:vAlign w:val="bottom"/>
            <w:shd w:val="clear" w:color="auto" w:fill="BA0C2F"/>
          </w:tcPr>
          <w:p>
            <w:pPr>
              <w:ind w:left="120"/>
              <w:spacing w:after="0"/>
              <w:rPr>
                <w:sz w:val="20"/>
                <w:szCs w:val="20"/>
                <w:color w:val="auto"/>
              </w:rPr>
            </w:pPr>
            <w:r>
              <w:rPr>
                <w:rFonts w:ascii="Arial" w:cs="Arial" w:eastAsia="Arial" w:hAnsi="Arial"/>
                <w:sz w:val="14"/>
                <w:szCs w:val="14"/>
                <w:color w:val="FFFFFF"/>
              </w:rPr>
              <w:t>Financial</w:t>
            </w:r>
          </w:p>
        </w:tc>
        <w:tc>
          <w:tcPr>
            <w:tcW w:w="1300" w:type="dxa"/>
            <w:vAlign w:val="bottom"/>
            <w:gridSpan w:val="2"/>
            <w:shd w:val="clear" w:color="auto" w:fill="BA0C2F"/>
          </w:tcPr>
          <w:p>
            <w:pPr>
              <w:jc w:val="right"/>
              <w:ind w:right="240"/>
              <w:spacing w:after="0"/>
              <w:rPr>
                <w:sz w:val="20"/>
                <w:szCs w:val="20"/>
                <w:color w:val="auto"/>
              </w:rPr>
            </w:pPr>
            <w:r>
              <w:rPr>
                <w:rFonts w:ascii="Arial" w:cs="Arial" w:eastAsia="Arial" w:hAnsi="Arial"/>
                <w:sz w:val="14"/>
                <w:szCs w:val="14"/>
                <w:color w:val="FFFFFF"/>
              </w:rPr>
              <w:t>Performance</w:t>
            </w:r>
          </w:p>
        </w:tc>
        <w:tc>
          <w:tcPr>
            <w:tcW w:w="200" w:type="dxa"/>
            <w:vAlign w:val="bottom"/>
            <w:shd w:val="clear" w:color="auto" w:fill="BA0C2F"/>
          </w:tcPr>
          <w:p>
            <w:pPr>
              <w:spacing w:after="0"/>
              <w:rPr>
                <w:sz w:val="14"/>
                <w:szCs w:val="14"/>
                <w:color w:val="auto"/>
              </w:rPr>
            </w:pPr>
          </w:p>
        </w:tc>
        <w:tc>
          <w:tcPr>
            <w:tcW w:w="800" w:type="dxa"/>
            <w:vAlign w:val="bottom"/>
            <w:shd w:val="clear" w:color="auto" w:fill="BA0C2F"/>
          </w:tcPr>
          <w:p>
            <w:pPr>
              <w:jc w:val="right"/>
              <w:spacing w:after="0"/>
              <w:rPr>
                <w:sz w:val="20"/>
                <w:szCs w:val="20"/>
                <w:color w:val="auto"/>
              </w:rPr>
            </w:pPr>
            <w:r>
              <w:rPr>
                <w:rFonts w:ascii="Arial" w:cs="Arial" w:eastAsia="Arial" w:hAnsi="Arial"/>
                <w:sz w:val="14"/>
                <w:szCs w:val="14"/>
                <w:color w:val="FFFFFF"/>
              </w:rPr>
              <w:t>Final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2720" w:type="dxa"/>
            <w:vAlign w:val="bottom"/>
            <w:tcBorders>
              <w:bottom w:val="single" w:sz="8" w:color="auto"/>
            </w:tcBorders>
            <w:gridSpan w:val="4"/>
            <w:shd w:val="clear" w:color="auto" w:fill="BA0C2F"/>
          </w:tcPr>
          <w:p>
            <w:pPr>
              <w:jc w:val="right"/>
              <w:spacing w:after="0" w:line="199" w:lineRule="exact"/>
              <w:rPr>
                <w:sz w:val="20"/>
                <w:szCs w:val="20"/>
                <w:color w:val="auto"/>
              </w:rPr>
            </w:pPr>
            <w:r>
              <w:rPr>
                <w:rFonts w:ascii="Arial" w:cs="Arial" w:eastAsia="Arial" w:hAnsi="Arial"/>
                <w:sz w:val="22"/>
                <w:szCs w:val="22"/>
                <w:color w:val="FFFFFF"/>
                <w:vertAlign w:val="subscript"/>
              </w:rPr>
              <w:t>​ ​</w:t>
            </w:r>
            <w:r>
              <w:rPr>
                <w:rFonts w:ascii="Arial" w:cs="Arial" w:eastAsia="Arial" w:hAnsi="Arial"/>
                <w:sz w:val="12"/>
                <w:szCs w:val="12"/>
                <w:color w:val="FFFFFF"/>
              </w:rPr>
              <w:t xml:space="preserve">Target % </w:t>
            </w:r>
            <w:r>
              <w:rPr>
                <w:rFonts w:ascii="Arial" w:cs="Arial" w:eastAsia="Arial" w:hAnsi="Arial"/>
                <w:sz w:val="22"/>
                <w:szCs w:val="22"/>
                <w:color w:val="FFFFFF"/>
                <w:vertAlign w:val="subscript"/>
              </w:rPr>
              <w:t>​ ​</w:t>
            </w:r>
            <w:r>
              <w:rPr>
                <w:rFonts w:ascii="Arial" w:cs="Arial" w:eastAsia="Arial" w:hAnsi="Arial"/>
                <w:sz w:val="12"/>
                <w:szCs w:val="12"/>
                <w:color w:val="FFFFFF"/>
              </w:rPr>
              <w:t>Financial Metrics)</w:t>
            </w:r>
            <w:r>
              <w:rPr>
                <w:rFonts w:ascii="Arial" w:cs="Arial" w:eastAsia="Arial" w:hAnsi="Arial"/>
                <w:sz w:val="14"/>
                <w:szCs w:val="14"/>
                <w:color w:val="FFFFFF"/>
                <w:vertAlign w:val="superscript"/>
              </w:rPr>
              <w:t>(1)</w:t>
            </w:r>
          </w:p>
        </w:tc>
        <w:tc>
          <w:tcPr>
            <w:tcW w:w="1040" w:type="dxa"/>
            <w:vAlign w:val="bottom"/>
            <w:tcBorders>
              <w:bottom w:val="single" w:sz="8" w:color="auto"/>
            </w:tcBorders>
            <w:gridSpan w:val="2"/>
            <w:shd w:val="clear" w:color="auto" w:fill="BA0C2F"/>
          </w:tcPr>
          <w:p>
            <w:pPr>
              <w:ind w:left="80"/>
              <w:spacing w:after="0" w:line="199" w:lineRule="exact"/>
              <w:rPr>
                <w:sz w:val="20"/>
                <w:szCs w:val="20"/>
                <w:color w:val="auto"/>
              </w:rPr>
            </w:pPr>
            <w:r>
              <w:rPr>
                <w:rFonts w:ascii="Arial" w:cs="Arial" w:eastAsia="Arial" w:hAnsi="Arial"/>
                <w:sz w:val="22"/>
                <w:szCs w:val="22"/>
                <w:color w:val="FFFFFF"/>
                <w:vertAlign w:val="subscript"/>
              </w:rPr>
              <w:t>​ ​</w:t>
            </w:r>
            <w:r>
              <w:rPr>
                <w:rFonts w:ascii="Arial" w:cs="Arial" w:eastAsia="Arial" w:hAnsi="Arial"/>
                <w:sz w:val="12"/>
                <w:szCs w:val="12"/>
                <w:color w:val="FFFFFF"/>
              </w:rPr>
              <w:t>Metric Payout</w:t>
            </w:r>
          </w:p>
        </w:tc>
        <w:tc>
          <w:tcPr>
            <w:tcW w:w="300" w:type="dxa"/>
            <w:vAlign w:val="bottom"/>
            <w:tcBorders>
              <w:bottom w:val="single" w:sz="8" w:color="auto"/>
            </w:tcBorders>
            <w:shd w:val="clear" w:color="auto" w:fill="BA0C2F"/>
          </w:tcPr>
          <w:p>
            <w:pPr>
              <w:jc w:val="right"/>
              <w:ind w:right="59"/>
              <w:spacing w:after="0"/>
              <w:rPr>
                <w:sz w:val="20"/>
                <w:szCs w:val="20"/>
                <w:color w:val="auto"/>
              </w:rPr>
            </w:pPr>
            <w:r>
              <w:rPr>
                <w:rFonts w:ascii="Arial" w:cs="Arial" w:eastAsia="Arial" w:hAnsi="Arial"/>
                <w:sz w:val="14"/>
                <w:szCs w:val="14"/>
                <w:color w:val="FFFFFF"/>
              </w:rPr>
              <w:t>​ ​</w:t>
            </w:r>
          </w:p>
        </w:tc>
        <w:tc>
          <w:tcPr>
            <w:tcW w:w="1000" w:type="dxa"/>
            <w:vAlign w:val="bottom"/>
            <w:tcBorders>
              <w:bottom w:val="single" w:sz="8" w:color="auto"/>
            </w:tcBorders>
            <w:shd w:val="clear" w:color="auto" w:fill="BA0C2F"/>
          </w:tcPr>
          <w:p>
            <w:pPr>
              <w:ind w:left="220"/>
              <w:spacing w:after="0" w:line="199" w:lineRule="exact"/>
              <w:rPr>
                <w:sz w:val="20"/>
                <w:szCs w:val="20"/>
                <w:color w:val="auto"/>
              </w:rPr>
            </w:pPr>
            <w:r>
              <w:rPr>
                <w:rFonts w:ascii="Arial" w:cs="Arial" w:eastAsia="Arial" w:hAnsi="Arial"/>
                <w:sz w:val="12"/>
                <w:szCs w:val="12"/>
                <w:color w:val="FFFFFF"/>
              </w:rPr>
              <w:t xml:space="preserve">Modifier  </w:t>
            </w:r>
            <w:r>
              <w:rPr>
                <w:rFonts w:ascii="Arial" w:cs="Arial" w:eastAsia="Arial" w:hAnsi="Arial"/>
                <w:sz w:val="22"/>
                <w:szCs w:val="22"/>
                <w:color w:val="FFFFFF"/>
                <w:vertAlign w:val="subscript"/>
              </w:rPr>
              <w:t>​</w:t>
            </w:r>
          </w:p>
        </w:tc>
        <w:tc>
          <w:tcPr>
            <w:tcW w:w="200" w:type="dxa"/>
            <w:vAlign w:val="bottom"/>
            <w:tcBorders>
              <w:bottom w:val="single" w:sz="8" w:color="auto"/>
            </w:tcBorders>
            <w:shd w:val="clear" w:color="auto" w:fill="BA0C2F"/>
          </w:tcPr>
          <w:p>
            <w:pPr>
              <w:jc w:val="right"/>
              <w:ind w:right="13"/>
              <w:spacing w:after="0"/>
              <w:rPr>
                <w:sz w:val="20"/>
                <w:szCs w:val="20"/>
                <w:color w:val="auto"/>
              </w:rPr>
            </w:pPr>
            <w:r>
              <w:rPr>
                <w:rFonts w:ascii="Arial" w:cs="Arial" w:eastAsia="Arial" w:hAnsi="Arial"/>
                <w:sz w:val="14"/>
                <w:szCs w:val="14"/>
                <w:color w:val="FFFFFF"/>
              </w:rPr>
              <w:t>​</w:t>
            </w:r>
          </w:p>
        </w:tc>
        <w:tc>
          <w:tcPr>
            <w:tcW w:w="800" w:type="dxa"/>
            <w:vAlign w:val="bottom"/>
            <w:tcBorders>
              <w:bottom w:val="single" w:sz="8" w:color="auto"/>
            </w:tcBorders>
            <w:shd w:val="clear" w:color="auto" w:fill="BA0C2F"/>
          </w:tcPr>
          <w:p>
            <w:pPr>
              <w:jc w:val="right"/>
              <w:spacing w:after="0"/>
              <w:rPr>
                <w:sz w:val="20"/>
                <w:szCs w:val="20"/>
                <w:color w:val="auto"/>
              </w:rPr>
            </w:pPr>
            <w:r>
              <w:rPr>
                <w:rFonts w:ascii="Arial" w:cs="Arial" w:eastAsia="Arial" w:hAnsi="Arial"/>
                <w:sz w:val="14"/>
                <w:szCs w:val="14"/>
                <w:color w:val="FFFFFF"/>
              </w:rPr>
              <w:t>STI Payouts</w:t>
            </w:r>
          </w:p>
        </w:tc>
        <w:tc>
          <w:tcPr>
            <w:tcW w:w="40" w:type="dxa"/>
            <w:vAlign w:val="bottom"/>
          </w:tcPr>
          <w:p>
            <w:pPr>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9"/>
        </w:trPr>
        <w:tc>
          <w:tcPr>
            <w:tcW w:w="3740" w:type="dxa"/>
            <w:vAlign w:val="bottom"/>
            <w:shd w:val="clear" w:color="auto" w:fill="CCCCCC"/>
          </w:tcPr>
          <w:p>
            <w:pPr>
              <w:spacing w:after="0" w:line="210" w:lineRule="exact"/>
              <w:rPr>
                <w:sz w:val="20"/>
                <w:szCs w:val="20"/>
                <w:color w:val="auto"/>
              </w:rPr>
            </w:pPr>
            <w:r>
              <w:rPr>
                <w:rFonts w:ascii="Arial" w:cs="Arial" w:eastAsia="Arial" w:hAnsi="Arial"/>
                <w:sz w:val="18"/>
                <w:szCs w:val="18"/>
                <w:color w:val="auto"/>
              </w:rPr>
              <w:t>Girishchandra K. Saligram</w:t>
            </w:r>
            <w:r>
              <w:rPr>
                <w:rFonts w:ascii="Arial" w:cs="Arial" w:eastAsia="Arial" w:hAnsi="Arial"/>
                <w:sz w:val="23"/>
                <w:szCs w:val="23"/>
                <w:color w:val="auto"/>
                <w:vertAlign w:val="superscript"/>
              </w:rPr>
              <w:t>(2)</w:t>
            </w:r>
          </w:p>
        </w:tc>
        <w:tc>
          <w:tcPr>
            <w:tcW w:w="720" w:type="dxa"/>
            <w:vAlign w:val="bottom"/>
            <w:vMerge w:val="restart"/>
            <w:shd w:val="clear" w:color="auto" w:fill="CCCCCC"/>
          </w:tcPr>
          <w:p>
            <w:pPr>
              <w:ind w:left="5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CCCC"/>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125%</w:t>
            </w:r>
          </w:p>
        </w:tc>
        <w:tc>
          <w:tcPr>
            <w:tcW w:w="3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1,046,875</w:t>
            </w:r>
          </w:p>
        </w:tc>
        <w:tc>
          <w:tcPr>
            <w:tcW w:w="30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CCCC"/>
          </w:tcPr>
          <w:p>
            <w:pPr>
              <w:jc w:val="right"/>
              <w:ind w:right="99"/>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CCCC"/>
          </w:tcPr>
          <w:p>
            <w:pPr>
              <w:ind w:left="400"/>
              <w:spacing w:after="0"/>
              <w:rPr>
                <w:sz w:val="20"/>
                <w:szCs w:val="20"/>
                <w:color w:val="auto"/>
              </w:rPr>
            </w:pPr>
            <w:r>
              <w:rPr>
                <w:rFonts w:ascii="Arial" w:cs="Arial" w:eastAsia="Arial" w:hAnsi="Arial"/>
                <w:sz w:val="18"/>
                <w:szCs w:val="18"/>
                <w:color w:val="auto"/>
              </w:rPr>
              <w:t>​140%</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$2,093,750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666666"/>
            </w:tcBorders>
            <w:shd w:val="clear" w:color="auto" w:fill="CCCCCC"/>
          </w:tcPr>
          <w:p>
            <w:pPr>
              <w:spacing w:after="0"/>
              <w:rPr>
                <w:sz w:val="4"/>
                <w:szCs w:val="4"/>
                <w:color w:val="auto"/>
              </w:rPr>
            </w:pPr>
          </w:p>
        </w:tc>
        <w:tc>
          <w:tcPr>
            <w:tcW w:w="720" w:type="dxa"/>
            <w:vAlign w:val="bottom"/>
            <w:tcBorders>
              <w:bottom w:val="single" w:sz="8" w:color="666666"/>
            </w:tcBorders>
            <w:vMerge w:val="continue"/>
            <w:shd w:val="clear" w:color="auto" w:fill="CCCCCC"/>
          </w:tcPr>
          <w:p>
            <w:pPr>
              <w:spacing w:after="0"/>
              <w:rPr>
                <w:sz w:val="4"/>
                <w:szCs w:val="4"/>
                <w:color w:val="auto"/>
              </w:rPr>
            </w:pPr>
          </w:p>
        </w:tc>
        <w:tc>
          <w:tcPr>
            <w:tcW w:w="820" w:type="dxa"/>
            <w:vAlign w:val="bottom"/>
            <w:tcBorders>
              <w:bottom w:val="single" w:sz="8" w:color="666666"/>
            </w:tcBorders>
            <w:shd w:val="clear" w:color="auto" w:fill="CCCCCC"/>
          </w:tcPr>
          <w:p>
            <w:pPr>
              <w:jc w:val="right"/>
              <w:ind w:right="40"/>
              <w:spacing w:after="0" w:line="54" w:lineRule="exact"/>
              <w:rPr>
                <w:sz w:val="20"/>
                <w:szCs w:val="20"/>
                <w:color w:val="auto"/>
              </w:rPr>
            </w:pPr>
            <w:r>
              <w:rPr>
                <w:rFonts w:ascii="Arial" w:cs="Arial" w:eastAsia="Arial" w:hAnsi="Arial"/>
                <w:sz w:val="6"/>
                <w:szCs w:val="6"/>
                <w:color w:val="auto"/>
              </w:rPr>
              <w:t>​​ ​</w:t>
            </w:r>
          </w:p>
        </w:tc>
        <w:tc>
          <w:tcPr>
            <w:tcW w:w="360" w:type="dxa"/>
            <w:vAlign w:val="bottom"/>
            <w:tcBorders>
              <w:bottom w:val="single" w:sz="8" w:color="666666"/>
            </w:tcBorders>
            <w:shd w:val="clear" w:color="auto" w:fill="CCCCCC"/>
          </w:tcPr>
          <w:p>
            <w:pPr>
              <w:spacing w:after="0"/>
              <w:rPr>
                <w:sz w:val="4"/>
                <w:szCs w:val="4"/>
                <w:color w:val="auto"/>
              </w:rPr>
            </w:pPr>
          </w:p>
        </w:tc>
        <w:tc>
          <w:tcPr>
            <w:tcW w:w="820" w:type="dxa"/>
            <w:vAlign w:val="bottom"/>
            <w:tcBorders>
              <w:bottom w:val="single" w:sz="8" w:color="666666"/>
            </w:tcBorders>
            <w:shd w:val="clear" w:color="auto" w:fill="CCCCCC"/>
          </w:tcPr>
          <w:p>
            <w:pPr>
              <w:spacing w:after="0"/>
              <w:rPr>
                <w:sz w:val="4"/>
                <w:szCs w:val="4"/>
                <w:color w:val="auto"/>
              </w:rPr>
            </w:pPr>
          </w:p>
        </w:tc>
        <w:tc>
          <w:tcPr>
            <w:tcW w:w="300" w:type="dxa"/>
            <w:vAlign w:val="bottom"/>
            <w:tcBorders>
              <w:bottom w:val="single" w:sz="8" w:color="666666"/>
            </w:tcBorders>
            <w:vMerge w:val="continue"/>
            <w:shd w:val="clear" w:color="auto" w:fill="CCCCCC"/>
          </w:tcPr>
          <w:p>
            <w:pPr>
              <w:spacing w:after="0"/>
              <w:rPr>
                <w:sz w:val="4"/>
                <w:szCs w:val="4"/>
                <w:color w:val="auto"/>
              </w:rPr>
            </w:pPr>
          </w:p>
        </w:tc>
        <w:tc>
          <w:tcPr>
            <w:tcW w:w="740" w:type="dxa"/>
            <w:vAlign w:val="bottom"/>
            <w:tcBorders>
              <w:bottom w:val="single" w:sz="8" w:color="666666"/>
            </w:tcBorders>
            <w:shd w:val="clear" w:color="auto" w:fill="CCCCCC"/>
          </w:tcPr>
          <w:p>
            <w:pPr>
              <w:spacing w:after="0"/>
              <w:rPr>
                <w:sz w:val="4"/>
                <w:szCs w:val="4"/>
                <w:color w:val="auto"/>
              </w:rPr>
            </w:pPr>
          </w:p>
        </w:tc>
        <w:tc>
          <w:tcPr>
            <w:tcW w:w="300" w:type="dxa"/>
            <w:vAlign w:val="bottom"/>
            <w:tcBorders>
              <w:bottom w:val="single" w:sz="8" w:color="666666"/>
            </w:tcBorders>
            <w:shd w:val="clear" w:color="auto" w:fill="CCCCCC"/>
          </w:tcPr>
          <w:p>
            <w:pPr>
              <w:jc w:val="right"/>
              <w:ind w:right="79"/>
              <w:spacing w:after="0" w:line="54" w:lineRule="exact"/>
              <w:rPr>
                <w:sz w:val="20"/>
                <w:szCs w:val="20"/>
                <w:color w:val="auto"/>
              </w:rPr>
            </w:pPr>
            <w:r>
              <w:rPr>
                <w:rFonts w:ascii="Arial" w:cs="Arial" w:eastAsia="Arial" w:hAnsi="Arial"/>
                <w:sz w:val="6"/>
                <w:szCs w:val="6"/>
                <w:color w:val="auto"/>
              </w:rPr>
              <w:t>​​ ​</w:t>
            </w:r>
          </w:p>
        </w:tc>
        <w:tc>
          <w:tcPr>
            <w:tcW w:w="1200" w:type="dxa"/>
            <w:vAlign w:val="bottom"/>
            <w:tcBorders>
              <w:bottom w:val="single" w:sz="8" w:color="666666"/>
            </w:tcBorders>
            <w:gridSpan w:val="2"/>
            <w:shd w:val="clear" w:color="auto" w:fill="CCCCCC"/>
          </w:tcPr>
          <w:p>
            <w:pPr>
              <w:jc w:val="right"/>
              <w:spacing w:after="0" w:line="54" w:lineRule="exact"/>
              <w:rPr>
                <w:sz w:val="20"/>
                <w:szCs w:val="20"/>
                <w:color w:val="auto"/>
              </w:rPr>
            </w:pPr>
            <w:r>
              <w:rPr>
                <w:rFonts w:ascii="Arial" w:cs="Arial" w:eastAsia="Arial" w:hAnsi="Arial"/>
                <w:sz w:val="6"/>
                <w:szCs w:val="6"/>
                <w:color w:val="auto"/>
              </w:rPr>
              <w:t>​ ​ ​ ​</w:t>
            </w:r>
          </w:p>
        </w:tc>
        <w:tc>
          <w:tcPr>
            <w:tcW w:w="800" w:type="dxa"/>
            <w:vAlign w:val="bottom"/>
            <w:tcBorders>
              <w:bottom w:val="single" w:sz="8" w:color="666666"/>
            </w:tcBorders>
            <w:shd w:val="clear" w:color="auto" w:fill="CCCCCC"/>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line="182" w:lineRule="exact"/>
              <w:rPr>
                <w:sz w:val="20"/>
                <w:szCs w:val="20"/>
                <w:color w:val="auto"/>
              </w:rPr>
            </w:pPr>
            <w:r>
              <w:rPr>
                <w:rFonts w:ascii="Arial" w:cs="Arial" w:eastAsia="Arial" w:hAnsi="Arial"/>
                <w:sz w:val="18"/>
                <w:szCs w:val="18"/>
                <w:color w:val="auto"/>
              </w:rPr>
              <w:t>H. Keith Jennings</w:t>
            </w:r>
          </w:p>
        </w:tc>
        <w:tc>
          <w:tcPr>
            <w:tcW w:w="720" w:type="dxa"/>
            <w:vAlign w:val="bottom"/>
            <w:vMerge w:val="restart"/>
          </w:tcPr>
          <w:p>
            <w:pPr>
              <w:ind w:left="56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60"/>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500,000</w:t>
            </w:r>
          </w:p>
        </w:tc>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99"/>
              <w:spacing w:after="0" w:line="182" w:lineRule="exact"/>
              <w:rPr>
                <w:sz w:val="20"/>
                <w:szCs w:val="20"/>
                <w:color w:val="auto"/>
              </w:rPr>
            </w:pPr>
            <w:r>
              <w:rPr>
                <w:rFonts w:ascii="Arial" w:cs="Arial" w:eastAsia="Arial" w:hAnsi="Arial"/>
                <w:sz w:val="18"/>
                <w:szCs w:val="18"/>
                <w:color w:val="auto"/>
              </w:rPr>
              <w:t>​150%</w:t>
            </w:r>
          </w:p>
        </w:tc>
        <w:tc>
          <w:tcPr>
            <w:tcW w:w="1000" w:type="dxa"/>
            <w:vAlign w:val="bottom"/>
          </w:tcPr>
          <w:p>
            <w:pPr>
              <w:ind w:left="400"/>
              <w:spacing w:after="0" w:line="182" w:lineRule="exact"/>
              <w:rPr>
                <w:sz w:val="20"/>
                <w:szCs w:val="20"/>
                <w:color w:val="auto"/>
              </w:rPr>
            </w:pPr>
            <w:r>
              <w:rPr>
                <w:rFonts w:ascii="Arial" w:cs="Arial" w:eastAsia="Arial" w:hAnsi="Arial"/>
                <w:sz w:val="18"/>
                <w:szCs w:val="18"/>
                <w:color w:val="auto"/>
              </w:rPr>
              <w:t>​130%</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975,000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666666"/>
            </w:tcBorders>
          </w:tcPr>
          <w:p>
            <w:pPr>
              <w:spacing w:after="0"/>
              <w:rPr>
                <w:sz w:val="4"/>
                <w:szCs w:val="4"/>
                <w:color w:val="auto"/>
              </w:rPr>
            </w:pPr>
          </w:p>
        </w:tc>
        <w:tc>
          <w:tcPr>
            <w:tcW w:w="720" w:type="dxa"/>
            <w:vAlign w:val="bottom"/>
            <w:tcBorders>
              <w:bottom w:val="single" w:sz="8" w:color="666666"/>
            </w:tcBorders>
            <w:vMerge w:val="continue"/>
          </w:tcPr>
          <w:p>
            <w:pPr>
              <w:spacing w:after="0"/>
              <w:rPr>
                <w:sz w:val="4"/>
                <w:szCs w:val="4"/>
                <w:color w:val="auto"/>
              </w:rPr>
            </w:pPr>
          </w:p>
        </w:tc>
        <w:tc>
          <w:tcPr>
            <w:tcW w:w="820" w:type="dxa"/>
            <w:vAlign w:val="bottom"/>
            <w:tcBorders>
              <w:bottom w:val="single" w:sz="8" w:color="666666"/>
            </w:tcBorders>
          </w:tcPr>
          <w:p>
            <w:pPr>
              <w:jc w:val="right"/>
              <w:ind w:right="40"/>
              <w:spacing w:after="0" w:line="54" w:lineRule="exact"/>
              <w:rPr>
                <w:sz w:val="20"/>
                <w:szCs w:val="20"/>
                <w:color w:val="auto"/>
              </w:rPr>
            </w:pPr>
            <w:r>
              <w:rPr>
                <w:rFonts w:ascii="Arial" w:cs="Arial" w:eastAsia="Arial" w:hAnsi="Arial"/>
                <w:sz w:val="6"/>
                <w:szCs w:val="6"/>
                <w:color w:val="auto"/>
              </w:rPr>
              <w:t>​​ ​</w:t>
            </w:r>
          </w:p>
        </w:tc>
        <w:tc>
          <w:tcPr>
            <w:tcW w:w="360" w:type="dxa"/>
            <w:vAlign w:val="bottom"/>
            <w:tcBorders>
              <w:bottom w:val="single" w:sz="8" w:color="666666"/>
            </w:tcBorders>
          </w:tcPr>
          <w:p>
            <w:pPr>
              <w:spacing w:after="0"/>
              <w:rPr>
                <w:sz w:val="4"/>
                <w:szCs w:val="4"/>
                <w:color w:val="auto"/>
              </w:rPr>
            </w:pPr>
          </w:p>
        </w:tc>
        <w:tc>
          <w:tcPr>
            <w:tcW w:w="82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vMerge w:val="continue"/>
          </w:tcPr>
          <w:p>
            <w:pPr>
              <w:spacing w:after="0"/>
              <w:rPr>
                <w:sz w:val="4"/>
                <w:szCs w:val="4"/>
                <w:color w:val="auto"/>
              </w:rPr>
            </w:pPr>
          </w:p>
        </w:tc>
        <w:tc>
          <w:tcPr>
            <w:tcW w:w="74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tcPr>
          <w:p>
            <w:pPr>
              <w:jc w:val="right"/>
              <w:ind w:right="79"/>
              <w:spacing w:after="0" w:line="54" w:lineRule="exact"/>
              <w:rPr>
                <w:sz w:val="20"/>
                <w:szCs w:val="20"/>
                <w:color w:val="auto"/>
              </w:rPr>
            </w:pPr>
            <w:r>
              <w:rPr>
                <w:rFonts w:ascii="Arial" w:cs="Arial" w:eastAsia="Arial" w:hAnsi="Arial"/>
                <w:sz w:val="6"/>
                <w:szCs w:val="6"/>
                <w:color w:val="auto"/>
              </w:rPr>
              <w:t>​​ ​</w:t>
            </w:r>
          </w:p>
        </w:tc>
        <w:tc>
          <w:tcPr>
            <w:tcW w:w="1200" w:type="dxa"/>
            <w:vAlign w:val="bottom"/>
            <w:tcBorders>
              <w:bottom w:val="single" w:sz="8" w:color="666666"/>
            </w:tcBorders>
            <w:gridSpan w:val="2"/>
          </w:tcPr>
          <w:p>
            <w:pPr>
              <w:jc w:val="right"/>
              <w:spacing w:after="0" w:line="54" w:lineRule="exact"/>
              <w:rPr>
                <w:sz w:val="20"/>
                <w:szCs w:val="20"/>
                <w:color w:val="auto"/>
              </w:rPr>
            </w:pPr>
            <w:r>
              <w:rPr>
                <w:rFonts w:ascii="Arial" w:cs="Arial" w:eastAsia="Arial" w:hAnsi="Arial"/>
                <w:sz w:val="6"/>
                <w:szCs w:val="6"/>
                <w:color w:val="auto"/>
              </w:rPr>
              <w:t>​ ​ ​ ​</w:t>
            </w:r>
          </w:p>
        </w:tc>
        <w:tc>
          <w:tcPr>
            <w:tcW w:w="800" w:type="dxa"/>
            <w:vAlign w:val="bottom"/>
            <w:tcBorders>
              <w:bottom w:val="single" w:sz="8" w:color="666666"/>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CCCC"/>
          </w:tcPr>
          <w:p>
            <w:pPr>
              <w:spacing w:after="0" w:line="182" w:lineRule="exact"/>
              <w:rPr>
                <w:sz w:val="20"/>
                <w:szCs w:val="20"/>
                <w:color w:val="auto"/>
              </w:rPr>
            </w:pPr>
            <w:r>
              <w:rPr>
                <w:rFonts w:ascii="Arial" w:cs="Arial" w:eastAsia="Arial" w:hAnsi="Arial"/>
                <w:sz w:val="18"/>
                <w:szCs w:val="18"/>
                <w:color w:val="auto"/>
              </w:rPr>
              <w:t>Scott C. Weatherholt</w:t>
            </w:r>
          </w:p>
        </w:tc>
        <w:tc>
          <w:tcPr>
            <w:tcW w:w="720" w:type="dxa"/>
            <w:vAlign w:val="bottom"/>
            <w:vMerge w:val="restart"/>
            <w:shd w:val="clear" w:color="auto" w:fill="CCCCCC"/>
          </w:tcPr>
          <w:p>
            <w:pPr>
              <w:ind w:left="5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CCCC"/>
          </w:tcPr>
          <w:p>
            <w:pPr>
              <w:jc w:val="right"/>
              <w:ind w:right="60"/>
              <w:spacing w:after="0" w:line="18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90%</w:t>
            </w:r>
          </w:p>
        </w:tc>
        <w:tc>
          <w:tcPr>
            <w:tcW w:w="360" w:type="dxa"/>
            <w:vAlign w:val="bottom"/>
            <w:shd w:val="clear" w:color="auto" w:fill="CCCCCC"/>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line="182" w:lineRule="exact"/>
              <w:rPr>
                <w:sz w:val="20"/>
                <w:szCs w:val="20"/>
                <w:color w:val="auto"/>
              </w:rPr>
            </w:pPr>
            <w:r>
              <w:rPr>
                <w:rFonts w:ascii="Arial" w:cs="Arial" w:eastAsia="Arial" w:hAnsi="Arial"/>
                <w:sz w:val="18"/>
                <w:szCs w:val="18"/>
                <w:color w:val="auto"/>
              </w:rPr>
              <w:t>382,500</w:t>
            </w:r>
          </w:p>
        </w:tc>
        <w:tc>
          <w:tcPr>
            <w:tcW w:w="30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CCCC"/>
          </w:tcPr>
          <w:p>
            <w:pPr>
              <w:jc w:val="right"/>
              <w:ind w:right="99"/>
              <w:spacing w:after="0" w:line="182" w:lineRule="exact"/>
              <w:rPr>
                <w:sz w:val="20"/>
                <w:szCs w:val="20"/>
                <w:color w:val="auto"/>
              </w:rPr>
            </w:pPr>
            <w:r>
              <w:rPr>
                <w:rFonts w:ascii="Arial" w:cs="Arial" w:eastAsia="Arial" w:hAnsi="Arial"/>
                <w:sz w:val="18"/>
                <w:szCs w:val="18"/>
                <w:color w:val="auto"/>
              </w:rPr>
              <w:t>​150%</w:t>
            </w:r>
          </w:p>
        </w:tc>
        <w:tc>
          <w:tcPr>
            <w:tcW w:w="1000" w:type="dxa"/>
            <w:vAlign w:val="bottom"/>
            <w:shd w:val="clear" w:color="auto" w:fill="CCCCCC"/>
          </w:tcPr>
          <w:p>
            <w:pPr>
              <w:ind w:left="400"/>
              <w:spacing w:after="0" w:line="182"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CCCC"/>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line="182" w:lineRule="exact"/>
              <w:rPr>
                <w:sz w:val="20"/>
                <w:szCs w:val="20"/>
                <w:color w:val="auto"/>
              </w:rPr>
            </w:pPr>
            <w:r>
              <w:rPr>
                <w:rFonts w:ascii="Arial" w:cs="Arial" w:eastAsia="Arial" w:hAnsi="Arial"/>
                <w:sz w:val="18"/>
                <w:szCs w:val="18"/>
                <w:color w:val="auto"/>
              </w:rPr>
              <w:t>745,875</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666666"/>
            </w:tcBorders>
            <w:shd w:val="clear" w:color="auto" w:fill="CCCCCC"/>
          </w:tcPr>
          <w:p>
            <w:pPr>
              <w:spacing w:after="0"/>
              <w:rPr>
                <w:sz w:val="4"/>
                <w:szCs w:val="4"/>
                <w:color w:val="auto"/>
              </w:rPr>
            </w:pPr>
          </w:p>
        </w:tc>
        <w:tc>
          <w:tcPr>
            <w:tcW w:w="720" w:type="dxa"/>
            <w:vAlign w:val="bottom"/>
            <w:tcBorders>
              <w:bottom w:val="single" w:sz="8" w:color="666666"/>
            </w:tcBorders>
            <w:vMerge w:val="continue"/>
            <w:shd w:val="clear" w:color="auto" w:fill="CCCCCC"/>
          </w:tcPr>
          <w:p>
            <w:pPr>
              <w:spacing w:after="0"/>
              <w:rPr>
                <w:sz w:val="4"/>
                <w:szCs w:val="4"/>
                <w:color w:val="auto"/>
              </w:rPr>
            </w:pPr>
          </w:p>
        </w:tc>
        <w:tc>
          <w:tcPr>
            <w:tcW w:w="820" w:type="dxa"/>
            <w:vAlign w:val="bottom"/>
            <w:tcBorders>
              <w:bottom w:val="single" w:sz="8" w:color="666666"/>
            </w:tcBorders>
            <w:shd w:val="clear" w:color="auto" w:fill="CCCCCC"/>
          </w:tcPr>
          <w:p>
            <w:pPr>
              <w:jc w:val="right"/>
              <w:ind w:right="40"/>
              <w:spacing w:after="0" w:line="54" w:lineRule="exact"/>
              <w:rPr>
                <w:sz w:val="20"/>
                <w:szCs w:val="20"/>
                <w:color w:val="auto"/>
              </w:rPr>
            </w:pPr>
            <w:r>
              <w:rPr>
                <w:rFonts w:ascii="Arial" w:cs="Arial" w:eastAsia="Arial" w:hAnsi="Arial"/>
                <w:sz w:val="6"/>
                <w:szCs w:val="6"/>
                <w:color w:val="auto"/>
              </w:rPr>
              <w:t>​​ ​</w:t>
            </w:r>
          </w:p>
        </w:tc>
        <w:tc>
          <w:tcPr>
            <w:tcW w:w="360" w:type="dxa"/>
            <w:vAlign w:val="bottom"/>
            <w:tcBorders>
              <w:bottom w:val="single" w:sz="8" w:color="666666"/>
            </w:tcBorders>
            <w:shd w:val="clear" w:color="auto" w:fill="CCCCCC"/>
          </w:tcPr>
          <w:p>
            <w:pPr>
              <w:spacing w:after="0"/>
              <w:rPr>
                <w:sz w:val="4"/>
                <w:szCs w:val="4"/>
                <w:color w:val="auto"/>
              </w:rPr>
            </w:pPr>
          </w:p>
        </w:tc>
        <w:tc>
          <w:tcPr>
            <w:tcW w:w="820" w:type="dxa"/>
            <w:vAlign w:val="bottom"/>
            <w:tcBorders>
              <w:bottom w:val="single" w:sz="8" w:color="666666"/>
            </w:tcBorders>
            <w:shd w:val="clear" w:color="auto" w:fill="CCCCCC"/>
          </w:tcPr>
          <w:p>
            <w:pPr>
              <w:spacing w:after="0"/>
              <w:rPr>
                <w:sz w:val="4"/>
                <w:szCs w:val="4"/>
                <w:color w:val="auto"/>
              </w:rPr>
            </w:pPr>
          </w:p>
        </w:tc>
        <w:tc>
          <w:tcPr>
            <w:tcW w:w="300" w:type="dxa"/>
            <w:vAlign w:val="bottom"/>
            <w:tcBorders>
              <w:bottom w:val="single" w:sz="8" w:color="666666"/>
            </w:tcBorders>
            <w:vMerge w:val="continue"/>
            <w:shd w:val="clear" w:color="auto" w:fill="CCCCCC"/>
          </w:tcPr>
          <w:p>
            <w:pPr>
              <w:spacing w:after="0"/>
              <w:rPr>
                <w:sz w:val="4"/>
                <w:szCs w:val="4"/>
                <w:color w:val="auto"/>
              </w:rPr>
            </w:pPr>
          </w:p>
        </w:tc>
        <w:tc>
          <w:tcPr>
            <w:tcW w:w="740" w:type="dxa"/>
            <w:vAlign w:val="bottom"/>
            <w:tcBorders>
              <w:bottom w:val="single" w:sz="8" w:color="666666"/>
            </w:tcBorders>
            <w:shd w:val="clear" w:color="auto" w:fill="CCCCCC"/>
          </w:tcPr>
          <w:p>
            <w:pPr>
              <w:spacing w:after="0"/>
              <w:rPr>
                <w:sz w:val="4"/>
                <w:szCs w:val="4"/>
                <w:color w:val="auto"/>
              </w:rPr>
            </w:pPr>
          </w:p>
        </w:tc>
        <w:tc>
          <w:tcPr>
            <w:tcW w:w="300" w:type="dxa"/>
            <w:vAlign w:val="bottom"/>
            <w:tcBorders>
              <w:bottom w:val="single" w:sz="8" w:color="666666"/>
            </w:tcBorders>
            <w:shd w:val="clear" w:color="auto" w:fill="CCCCCC"/>
          </w:tcPr>
          <w:p>
            <w:pPr>
              <w:jc w:val="right"/>
              <w:ind w:right="79"/>
              <w:spacing w:after="0" w:line="54" w:lineRule="exact"/>
              <w:rPr>
                <w:sz w:val="20"/>
                <w:szCs w:val="20"/>
                <w:color w:val="auto"/>
              </w:rPr>
            </w:pPr>
            <w:r>
              <w:rPr>
                <w:rFonts w:ascii="Arial" w:cs="Arial" w:eastAsia="Arial" w:hAnsi="Arial"/>
                <w:sz w:val="6"/>
                <w:szCs w:val="6"/>
                <w:color w:val="auto"/>
              </w:rPr>
              <w:t>​​ ​</w:t>
            </w:r>
          </w:p>
        </w:tc>
        <w:tc>
          <w:tcPr>
            <w:tcW w:w="1200" w:type="dxa"/>
            <w:vAlign w:val="bottom"/>
            <w:tcBorders>
              <w:bottom w:val="single" w:sz="8" w:color="666666"/>
            </w:tcBorders>
            <w:gridSpan w:val="2"/>
            <w:shd w:val="clear" w:color="auto" w:fill="CCCCCC"/>
          </w:tcPr>
          <w:p>
            <w:pPr>
              <w:jc w:val="right"/>
              <w:spacing w:after="0" w:line="54" w:lineRule="exact"/>
              <w:rPr>
                <w:sz w:val="20"/>
                <w:szCs w:val="20"/>
                <w:color w:val="auto"/>
              </w:rPr>
            </w:pPr>
            <w:r>
              <w:rPr>
                <w:rFonts w:ascii="Arial" w:cs="Arial" w:eastAsia="Arial" w:hAnsi="Arial"/>
                <w:sz w:val="6"/>
                <w:szCs w:val="6"/>
                <w:color w:val="auto"/>
              </w:rPr>
              <w:t>​ ​ ​ ​</w:t>
            </w:r>
          </w:p>
        </w:tc>
        <w:tc>
          <w:tcPr>
            <w:tcW w:w="800" w:type="dxa"/>
            <w:vAlign w:val="bottom"/>
            <w:tcBorders>
              <w:bottom w:val="single" w:sz="8" w:color="666666"/>
            </w:tcBorders>
            <w:shd w:val="clear" w:color="auto" w:fill="CCCCCC"/>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color w:val="auto"/>
              </w:rPr>
              <w:t>Joseph H. Mongrain</w:t>
            </w:r>
          </w:p>
        </w:tc>
        <w:tc>
          <w:tcPr>
            <w:tcW w:w="720" w:type="dxa"/>
            <w:vAlign w:val="bottom"/>
            <w:vMerge w:val="restart"/>
          </w:tcPr>
          <w:p>
            <w:pPr>
              <w:ind w:left="56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6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189,042</w:t>
            </w:r>
          </w:p>
        </w:tc>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​150%</w:t>
            </w:r>
          </w:p>
        </w:tc>
        <w:tc>
          <w:tcPr>
            <w:tcW w:w="1000" w:type="dxa"/>
            <w:vAlign w:val="bottom"/>
          </w:tcPr>
          <w:p>
            <w:pPr>
              <w:ind w:left="400"/>
              <w:spacing w:after="0" w:line="196" w:lineRule="exact"/>
              <w:rPr>
                <w:sz w:val="20"/>
                <w:szCs w:val="20"/>
                <w:color w:val="auto"/>
              </w:rPr>
            </w:pPr>
            <w:r>
              <w:rPr>
                <w:rFonts w:ascii="Arial" w:cs="Arial" w:eastAsia="Arial" w:hAnsi="Arial"/>
                <w:sz w:val="18"/>
                <w:szCs w:val="18"/>
                <w:color w:val="auto"/>
              </w:rPr>
              <w:t>​125%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354,453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666666"/>
            </w:tcBorders>
          </w:tcPr>
          <w:p>
            <w:pPr>
              <w:spacing w:after="0"/>
              <w:rPr>
                <w:sz w:val="4"/>
                <w:szCs w:val="4"/>
                <w:color w:val="auto"/>
              </w:rPr>
            </w:pPr>
          </w:p>
        </w:tc>
        <w:tc>
          <w:tcPr>
            <w:tcW w:w="720" w:type="dxa"/>
            <w:vAlign w:val="bottom"/>
            <w:tcBorders>
              <w:bottom w:val="single" w:sz="8" w:color="666666"/>
            </w:tcBorders>
            <w:vMerge w:val="continue"/>
          </w:tcPr>
          <w:p>
            <w:pPr>
              <w:spacing w:after="0"/>
              <w:rPr>
                <w:sz w:val="4"/>
                <w:szCs w:val="4"/>
                <w:color w:val="auto"/>
              </w:rPr>
            </w:pPr>
          </w:p>
        </w:tc>
        <w:tc>
          <w:tcPr>
            <w:tcW w:w="820" w:type="dxa"/>
            <w:vAlign w:val="bottom"/>
            <w:tcBorders>
              <w:bottom w:val="single" w:sz="8" w:color="666666"/>
            </w:tcBorders>
          </w:tcPr>
          <w:p>
            <w:pPr>
              <w:jc w:val="right"/>
              <w:ind w:right="40"/>
              <w:spacing w:after="0" w:line="54" w:lineRule="exact"/>
              <w:rPr>
                <w:sz w:val="20"/>
                <w:szCs w:val="20"/>
                <w:color w:val="auto"/>
              </w:rPr>
            </w:pPr>
            <w:r>
              <w:rPr>
                <w:rFonts w:ascii="Arial" w:cs="Arial" w:eastAsia="Arial" w:hAnsi="Arial"/>
                <w:sz w:val="6"/>
                <w:szCs w:val="6"/>
                <w:color w:val="auto"/>
              </w:rPr>
              <w:t>​​ ​</w:t>
            </w:r>
          </w:p>
        </w:tc>
        <w:tc>
          <w:tcPr>
            <w:tcW w:w="360" w:type="dxa"/>
            <w:vAlign w:val="bottom"/>
            <w:tcBorders>
              <w:bottom w:val="single" w:sz="8" w:color="666666"/>
            </w:tcBorders>
          </w:tcPr>
          <w:p>
            <w:pPr>
              <w:spacing w:after="0"/>
              <w:rPr>
                <w:sz w:val="4"/>
                <w:szCs w:val="4"/>
                <w:color w:val="auto"/>
              </w:rPr>
            </w:pPr>
          </w:p>
        </w:tc>
        <w:tc>
          <w:tcPr>
            <w:tcW w:w="82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vMerge w:val="continue"/>
          </w:tcPr>
          <w:p>
            <w:pPr>
              <w:spacing w:after="0"/>
              <w:rPr>
                <w:sz w:val="4"/>
                <w:szCs w:val="4"/>
                <w:color w:val="auto"/>
              </w:rPr>
            </w:pPr>
          </w:p>
        </w:tc>
        <w:tc>
          <w:tcPr>
            <w:tcW w:w="74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tcPr>
          <w:p>
            <w:pPr>
              <w:jc w:val="right"/>
              <w:ind w:right="79"/>
              <w:spacing w:after="0" w:line="54" w:lineRule="exact"/>
              <w:rPr>
                <w:sz w:val="20"/>
                <w:szCs w:val="20"/>
                <w:color w:val="auto"/>
              </w:rPr>
            </w:pPr>
            <w:r>
              <w:rPr>
                <w:rFonts w:ascii="Arial" w:cs="Arial" w:eastAsia="Arial" w:hAnsi="Arial"/>
                <w:sz w:val="6"/>
                <w:szCs w:val="6"/>
                <w:color w:val="auto"/>
              </w:rPr>
              <w:t>​​ ​</w:t>
            </w:r>
          </w:p>
        </w:tc>
        <w:tc>
          <w:tcPr>
            <w:tcW w:w="1200" w:type="dxa"/>
            <w:vAlign w:val="bottom"/>
            <w:tcBorders>
              <w:bottom w:val="single" w:sz="8" w:color="666666"/>
            </w:tcBorders>
            <w:gridSpan w:val="2"/>
          </w:tcPr>
          <w:p>
            <w:pPr>
              <w:jc w:val="right"/>
              <w:spacing w:after="0" w:line="54" w:lineRule="exact"/>
              <w:rPr>
                <w:sz w:val="20"/>
                <w:szCs w:val="20"/>
                <w:color w:val="auto"/>
              </w:rPr>
            </w:pPr>
            <w:r>
              <w:rPr>
                <w:rFonts w:ascii="Arial" w:cs="Arial" w:eastAsia="Arial" w:hAnsi="Arial"/>
                <w:sz w:val="6"/>
                <w:szCs w:val="6"/>
                <w:color w:val="auto"/>
              </w:rPr>
              <w:t>​ ​ ​ ​</w:t>
            </w:r>
          </w:p>
        </w:tc>
        <w:tc>
          <w:tcPr>
            <w:tcW w:w="800" w:type="dxa"/>
            <w:vAlign w:val="bottom"/>
            <w:tcBorders>
              <w:bottom w:val="single" w:sz="8" w:color="666666"/>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CCCC"/>
          </w:tcPr>
          <w:p>
            <w:pPr>
              <w:spacing w:after="0" w:line="196" w:lineRule="exact"/>
              <w:rPr>
                <w:sz w:val="20"/>
                <w:szCs w:val="20"/>
                <w:color w:val="auto"/>
              </w:rPr>
            </w:pPr>
            <w:r>
              <w:rPr>
                <w:rFonts w:ascii="Arial" w:cs="Arial" w:eastAsia="Arial" w:hAnsi="Arial"/>
                <w:sz w:val="18"/>
                <w:szCs w:val="18"/>
                <w:color w:val="auto"/>
              </w:rPr>
              <w:t>Desmond J. Mills</w:t>
            </w:r>
          </w:p>
        </w:tc>
        <w:tc>
          <w:tcPr>
            <w:tcW w:w="720" w:type="dxa"/>
            <w:vAlign w:val="bottom"/>
            <w:vMerge w:val="restart"/>
            <w:shd w:val="clear" w:color="auto" w:fill="CCCCCC"/>
          </w:tcPr>
          <w:p>
            <w:pPr>
              <w:ind w:left="5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CCCC"/>
          </w:tcPr>
          <w:p>
            <w:pPr>
              <w:jc w:val="right"/>
              <w:ind w:right="6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65%</w:t>
            </w:r>
          </w:p>
        </w:tc>
        <w:tc>
          <w:tcPr>
            <w:tcW w:w="360" w:type="dxa"/>
            <w:vAlign w:val="bottom"/>
            <w:shd w:val="clear" w:color="auto" w:fill="CCCCCC"/>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line="196" w:lineRule="exact"/>
              <w:rPr>
                <w:sz w:val="20"/>
                <w:szCs w:val="20"/>
                <w:color w:val="auto"/>
              </w:rPr>
            </w:pPr>
            <w:r>
              <w:rPr>
                <w:rFonts w:ascii="Arial" w:cs="Arial" w:eastAsia="Arial" w:hAnsi="Arial"/>
                <w:sz w:val="18"/>
                <w:szCs w:val="18"/>
                <w:color w:val="auto"/>
              </w:rPr>
              <w:t>152,750</w:t>
            </w:r>
          </w:p>
        </w:tc>
        <w:tc>
          <w:tcPr>
            <w:tcW w:w="30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CCCC"/>
          </w:tcPr>
          <w:p>
            <w:pPr>
              <w:jc w:val="right"/>
              <w:ind w:right="99"/>
              <w:spacing w:after="0" w:line="196" w:lineRule="exact"/>
              <w:rPr>
                <w:sz w:val="20"/>
                <w:szCs w:val="20"/>
                <w:color w:val="auto"/>
              </w:rPr>
            </w:pPr>
            <w:r>
              <w:rPr>
                <w:rFonts w:ascii="Arial" w:cs="Arial" w:eastAsia="Arial" w:hAnsi="Arial"/>
                <w:sz w:val="18"/>
                <w:szCs w:val="18"/>
                <w:color w:val="auto"/>
              </w:rPr>
              <w:t>​150%</w:t>
            </w:r>
          </w:p>
        </w:tc>
        <w:tc>
          <w:tcPr>
            <w:tcW w:w="1000" w:type="dxa"/>
            <w:vAlign w:val="bottom"/>
            <w:shd w:val="clear" w:color="auto" w:fill="CCCCCC"/>
          </w:tcPr>
          <w:p>
            <w:pPr>
              <w:ind w:left="400"/>
              <w:spacing w:after="0" w:line="196" w:lineRule="exact"/>
              <w:rPr>
                <w:sz w:val="20"/>
                <w:szCs w:val="20"/>
                <w:color w:val="auto"/>
              </w:rPr>
            </w:pPr>
            <w:r>
              <w:rPr>
                <w:rFonts w:ascii="Arial" w:cs="Arial" w:eastAsia="Arial" w:hAnsi="Arial"/>
                <w:sz w:val="18"/>
                <w:szCs w:val="18"/>
                <w:color w:val="auto"/>
              </w:rPr>
              <w:t>​130%</w:t>
            </w:r>
          </w:p>
        </w:tc>
        <w:tc>
          <w:tcPr>
            <w:tcW w:w="200" w:type="dxa"/>
            <w:vAlign w:val="bottom"/>
            <w:shd w:val="clear" w:color="auto" w:fill="CCCCC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line="196" w:lineRule="exact"/>
              <w:rPr>
                <w:sz w:val="20"/>
                <w:szCs w:val="20"/>
                <w:color w:val="auto"/>
              </w:rPr>
            </w:pPr>
            <w:r>
              <w:rPr>
                <w:rFonts w:ascii="Arial" w:cs="Arial" w:eastAsia="Arial" w:hAnsi="Arial"/>
                <w:sz w:val="18"/>
                <w:szCs w:val="18"/>
                <w:color w:val="auto"/>
              </w:rPr>
              <w:t>297,863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auto"/>
            </w:tcBorders>
            <w:shd w:val="clear" w:color="auto" w:fill="CCCCCC"/>
          </w:tcPr>
          <w:p>
            <w:pPr>
              <w:spacing w:after="0"/>
              <w:rPr>
                <w:sz w:val="4"/>
                <w:szCs w:val="4"/>
                <w:color w:val="auto"/>
              </w:rPr>
            </w:pPr>
          </w:p>
        </w:tc>
        <w:tc>
          <w:tcPr>
            <w:tcW w:w="720" w:type="dxa"/>
            <w:vAlign w:val="bottom"/>
            <w:tcBorders>
              <w:bottom w:val="single" w:sz="8" w:color="auto"/>
            </w:tcBorders>
            <w:vMerge w:val="continue"/>
            <w:shd w:val="clear" w:color="auto" w:fill="CCCCCC"/>
          </w:tcPr>
          <w:p>
            <w:pPr>
              <w:spacing w:after="0"/>
              <w:rPr>
                <w:sz w:val="4"/>
                <w:szCs w:val="4"/>
                <w:color w:val="auto"/>
              </w:rPr>
            </w:pPr>
          </w:p>
        </w:tc>
        <w:tc>
          <w:tcPr>
            <w:tcW w:w="820" w:type="dxa"/>
            <w:vAlign w:val="bottom"/>
            <w:tcBorders>
              <w:bottom w:val="single" w:sz="8" w:color="auto"/>
            </w:tcBorders>
            <w:shd w:val="clear" w:color="auto" w:fill="CCCCCC"/>
          </w:tcPr>
          <w:p>
            <w:pPr>
              <w:jc w:val="right"/>
              <w:ind w:right="40"/>
              <w:spacing w:after="0" w:line="54" w:lineRule="exact"/>
              <w:rPr>
                <w:sz w:val="20"/>
                <w:szCs w:val="20"/>
                <w:color w:val="auto"/>
              </w:rPr>
            </w:pPr>
            <w:r>
              <w:rPr>
                <w:rFonts w:ascii="Arial" w:cs="Arial" w:eastAsia="Arial" w:hAnsi="Arial"/>
                <w:sz w:val="6"/>
                <w:szCs w:val="6"/>
                <w:color w:val="auto"/>
              </w:rPr>
              <w:t>​​ ​</w:t>
            </w:r>
          </w:p>
        </w:tc>
        <w:tc>
          <w:tcPr>
            <w:tcW w:w="360" w:type="dxa"/>
            <w:vAlign w:val="bottom"/>
            <w:tcBorders>
              <w:bottom w:val="single" w:sz="8" w:color="auto"/>
            </w:tcBorders>
            <w:shd w:val="clear" w:color="auto" w:fill="CCCCCC"/>
          </w:tcPr>
          <w:p>
            <w:pPr>
              <w:spacing w:after="0"/>
              <w:rPr>
                <w:sz w:val="4"/>
                <w:szCs w:val="4"/>
                <w:color w:val="auto"/>
              </w:rPr>
            </w:pPr>
          </w:p>
        </w:tc>
        <w:tc>
          <w:tcPr>
            <w:tcW w:w="820" w:type="dxa"/>
            <w:vAlign w:val="bottom"/>
            <w:tcBorders>
              <w:bottom w:val="single" w:sz="8" w:color="auto"/>
            </w:tcBorders>
            <w:shd w:val="clear" w:color="auto" w:fill="CCCCCC"/>
          </w:tcPr>
          <w:p>
            <w:pPr>
              <w:spacing w:after="0"/>
              <w:rPr>
                <w:sz w:val="4"/>
                <w:szCs w:val="4"/>
                <w:color w:val="auto"/>
              </w:rPr>
            </w:pPr>
          </w:p>
        </w:tc>
        <w:tc>
          <w:tcPr>
            <w:tcW w:w="300" w:type="dxa"/>
            <w:vAlign w:val="bottom"/>
            <w:tcBorders>
              <w:bottom w:val="single" w:sz="8" w:color="auto"/>
            </w:tcBorders>
            <w:vMerge w:val="continue"/>
            <w:shd w:val="clear" w:color="auto" w:fill="CCCCCC"/>
          </w:tcPr>
          <w:p>
            <w:pPr>
              <w:spacing w:after="0"/>
              <w:rPr>
                <w:sz w:val="4"/>
                <w:szCs w:val="4"/>
                <w:color w:val="auto"/>
              </w:rPr>
            </w:pPr>
          </w:p>
        </w:tc>
        <w:tc>
          <w:tcPr>
            <w:tcW w:w="740" w:type="dxa"/>
            <w:vAlign w:val="bottom"/>
            <w:tcBorders>
              <w:bottom w:val="single" w:sz="8" w:color="auto"/>
            </w:tcBorders>
            <w:shd w:val="clear" w:color="auto" w:fill="CCCCCC"/>
          </w:tcPr>
          <w:p>
            <w:pPr>
              <w:spacing w:after="0"/>
              <w:rPr>
                <w:sz w:val="4"/>
                <w:szCs w:val="4"/>
                <w:color w:val="auto"/>
              </w:rPr>
            </w:pPr>
          </w:p>
        </w:tc>
        <w:tc>
          <w:tcPr>
            <w:tcW w:w="300" w:type="dxa"/>
            <w:vAlign w:val="bottom"/>
            <w:tcBorders>
              <w:bottom w:val="single" w:sz="8" w:color="auto"/>
            </w:tcBorders>
            <w:shd w:val="clear" w:color="auto" w:fill="CCCCCC"/>
          </w:tcPr>
          <w:p>
            <w:pPr>
              <w:jc w:val="right"/>
              <w:ind w:right="79"/>
              <w:spacing w:after="0" w:line="54" w:lineRule="exact"/>
              <w:rPr>
                <w:sz w:val="20"/>
                <w:szCs w:val="20"/>
                <w:color w:val="auto"/>
              </w:rPr>
            </w:pPr>
            <w:r>
              <w:rPr>
                <w:rFonts w:ascii="Arial" w:cs="Arial" w:eastAsia="Arial" w:hAnsi="Arial"/>
                <w:sz w:val="6"/>
                <w:szCs w:val="6"/>
                <w:color w:val="auto"/>
              </w:rPr>
              <w:t>​​ ​</w:t>
            </w:r>
          </w:p>
        </w:tc>
        <w:tc>
          <w:tcPr>
            <w:tcW w:w="1200" w:type="dxa"/>
            <w:vAlign w:val="bottom"/>
            <w:tcBorders>
              <w:bottom w:val="single" w:sz="8" w:color="auto"/>
            </w:tcBorders>
            <w:gridSpan w:val="2"/>
            <w:shd w:val="clear" w:color="auto" w:fill="CCCCCC"/>
          </w:tcPr>
          <w:p>
            <w:pPr>
              <w:jc w:val="right"/>
              <w:spacing w:after="0" w:line="54" w:lineRule="exact"/>
              <w:rPr>
                <w:sz w:val="20"/>
                <w:szCs w:val="20"/>
                <w:color w:val="auto"/>
              </w:rPr>
            </w:pPr>
            <w:r>
              <w:rPr>
                <w:rFonts w:ascii="Arial" w:cs="Arial" w:eastAsia="Arial" w:hAnsi="Arial"/>
                <w:sz w:val="6"/>
                <w:szCs w:val="6"/>
                <w:color w:val="auto"/>
              </w:rPr>
              <w:t>​ ​ ​ ​</w:t>
            </w:r>
          </w:p>
        </w:tc>
        <w:tc>
          <w:tcPr>
            <w:tcW w:w="800" w:type="dxa"/>
            <w:vAlign w:val="bottom"/>
            <w:tcBorders>
              <w:bottom w:val="single" w:sz="8" w:color="auto"/>
            </w:tcBorders>
            <w:shd w:val="clear" w:color="auto" w:fill="CCCCCC"/>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00" w:hanging="362"/>
        <w:spacing w:after="0"/>
        <w:tabs>
          <w:tab w:leader="none" w:pos="800" w:val="left"/>
        </w:tabs>
        <w:numPr>
          <w:ilvl w:val="0"/>
          <w:numId w:val="38"/>
        </w:numPr>
        <w:rPr>
          <w:rFonts w:ascii="Arial" w:cs="Arial" w:eastAsia="Arial" w:hAnsi="Arial"/>
          <w:sz w:val="22"/>
          <w:szCs w:val="22"/>
          <w:color w:val="BA0C2F"/>
          <w:vertAlign w:val="superscript"/>
        </w:rPr>
      </w:pPr>
      <w:r>
        <w:rPr>
          <w:rFonts w:ascii="Arial" w:cs="Arial" w:eastAsia="Arial" w:hAnsi="Arial"/>
          <w:sz w:val="14"/>
          <w:szCs w:val="14"/>
          <w:color w:val="auto"/>
        </w:rPr>
        <w:t>2021 Target Incentive considers pro-rations due to hire dates and changes to salary and/or individual incentive targets during the course of the year.</w:t>
      </w:r>
    </w:p>
    <w:p>
      <w:pPr>
        <w:spacing w:after="0" w:line="12"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38"/>
        </w:numPr>
        <w:rPr>
          <w:rFonts w:ascii="Arial" w:cs="Arial" w:eastAsia="Arial" w:hAnsi="Arial"/>
          <w:sz w:val="20"/>
          <w:szCs w:val="20"/>
          <w:color w:val="BA0C2F"/>
          <w:vertAlign w:val="superscript"/>
        </w:rPr>
      </w:pPr>
      <w:r>
        <w:rPr>
          <w:rFonts w:ascii="Arial" w:cs="Arial" w:eastAsia="Arial" w:hAnsi="Arial"/>
          <w:sz w:val="14"/>
          <w:szCs w:val="14"/>
          <w:color w:val="auto"/>
        </w:rPr>
        <w:t>Mr. Saligram’s payment was capped at the individual maximum of 200%.</w:t>
      </w:r>
    </w:p>
    <w:p>
      <w:pPr>
        <w:spacing w:after="0" w:line="98" w:lineRule="exact"/>
        <w:rPr>
          <w:sz w:val="20"/>
          <w:szCs w:val="20"/>
          <w:color w:val="auto"/>
        </w:rPr>
      </w:pPr>
    </w:p>
    <w:p>
      <w:pPr>
        <w:ind w:left="440" w:right="480"/>
        <w:spacing w:after="0" w:line="271" w:lineRule="auto"/>
        <w:rPr>
          <w:sz w:val="20"/>
          <w:szCs w:val="20"/>
          <w:color w:val="auto"/>
        </w:rPr>
      </w:pPr>
      <w:r>
        <w:rPr>
          <w:rFonts w:ascii="Arial" w:cs="Arial" w:eastAsia="Arial" w:hAnsi="Arial"/>
          <w:sz w:val="18"/>
          <w:szCs w:val="18"/>
          <w:color w:val="auto"/>
        </w:rPr>
        <w:t>The 150% achievement versus target in conjunction with the additional Individual Performance Multiplier resulted in an average STI payout for NEOs of 195%.</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LONG-TERM INCENTIVE COMPENSATION</w:t>
      </w:r>
    </w:p>
    <w:p>
      <w:pPr>
        <w:spacing w:after="0" w:line="114" w:lineRule="exact"/>
        <w:rPr>
          <w:sz w:val="20"/>
          <w:szCs w:val="20"/>
          <w:color w:val="auto"/>
        </w:rPr>
      </w:pPr>
    </w:p>
    <w:p>
      <w:pPr>
        <w:ind w:left="440" w:right="160"/>
        <w:spacing w:after="0" w:line="253" w:lineRule="auto"/>
        <w:rPr>
          <w:sz w:val="20"/>
          <w:szCs w:val="20"/>
          <w:color w:val="auto"/>
        </w:rPr>
      </w:pPr>
      <w:r>
        <w:rPr>
          <w:rFonts w:ascii="Arial" w:cs="Arial" w:eastAsia="Arial" w:hAnsi="Arial"/>
          <w:sz w:val="18"/>
          <w:szCs w:val="18"/>
          <w:color w:val="auto"/>
        </w:rPr>
        <w:t>Long-term equity incentives are designed to motivate management to enable the Company to achieve sustained long-term performance improvements and link a significant portion of compensation to shareholder returns. The Company, in January 2021, reinstituted awards of long-term equity compensation under our 2019 EIP.</w:t>
      </w:r>
    </w:p>
    <w:p>
      <w:pPr>
        <w:spacing w:after="0" w:line="74" w:lineRule="exact"/>
        <w:rPr>
          <w:sz w:val="20"/>
          <w:szCs w:val="20"/>
          <w:color w:val="auto"/>
        </w:rPr>
      </w:pPr>
    </w:p>
    <w:p>
      <w:pPr>
        <w:ind w:left="440" w:right="40"/>
        <w:spacing w:after="0" w:line="257" w:lineRule="auto"/>
        <w:rPr>
          <w:sz w:val="20"/>
          <w:szCs w:val="20"/>
          <w:color w:val="auto"/>
        </w:rPr>
      </w:pPr>
      <w:r>
        <w:rPr>
          <w:rFonts w:ascii="Arial" w:cs="Arial" w:eastAsia="Arial" w:hAnsi="Arial"/>
          <w:sz w:val="17"/>
          <w:szCs w:val="17"/>
          <w:color w:val="auto"/>
        </w:rPr>
        <w:t>We have historically granted long-term incentive awards annually in the first quarter to motivate forward-looking, long-term performance and promote retention among our executive team. Due to the Company’s recent emergence from bankruptcy in late 2019, continued pressure on our share price due to the instability in the oil and gas industry due to the 2020 oil crisis and the uncertainty in the markets as a result of the COVID-19 pandemic, the Board, upon the recommendation of the Committee, approved one-time grants of long-term cash awards pursuant to the LTCIP, which was adopted in April 2020. The purpose of these grants, which was comprised of time-based and performance-based long-term cash awards, was to continue to motivate and reward our executive officers and other participants to achieve sustained growth in connection with our long-term strategy in lieu of equity awards, while also helping to preserve our share reserve under the 2019 EIP. In 2021, these awards were intended to incentivize the participants and further align them with the Company’s pay for performance philosophy, while ensuring that those at lower non-executive levels would not be subject to the same degree of risk in their overall compensation. For 2021, the Company re-instituted its long-term equity program, and pursuant to the 2019 EIP, utilized time-based Phantom RSUs (which can be settled all in cash, all in shares, or in any combination of cash and shares at the Committee’s sole discretion), time-based RSUs and performance-based PSUs. While our intent is generally to use equity-based award vehicles (RSUs and PSUs) rather than cash-based awards, in 2021, due to our shares being listed over-the-counter at the time of grant, the limited trading liquidity and the volatility in our share price, coupled with our belief that our equity was undervalued and to preserve the longevity of the available shares under our 2019 EIP, we utilized Phantom RSUs, which can be settled all in cash, all in shares, or in any combination of cash and shares at the Committee’s sole discretion, as provided for in the 2019 EIP. This award vehicle provided the Committee the flexibility to respond to market factors upon vesting, while continuing to ensure the fundamental principle of shareholder alignment.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2020 Awards under the LTCIP</w:t>
      </w:r>
    </w:p>
    <w:p>
      <w:pPr>
        <w:spacing w:after="0" w:line="114" w:lineRule="exact"/>
        <w:rPr>
          <w:sz w:val="20"/>
          <w:szCs w:val="20"/>
          <w:color w:val="auto"/>
        </w:rPr>
      </w:pPr>
    </w:p>
    <w:p>
      <w:pPr>
        <w:ind w:left="440" w:right="60"/>
        <w:spacing w:after="0" w:line="243" w:lineRule="auto"/>
        <w:rPr>
          <w:sz w:val="20"/>
          <w:szCs w:val="20"/>
          <w:color w:val="auto"/>
        </w:rPr>
      </w:pPr>
      <w:r>
        <w:rPr>
          <w:rFonts w:ascii="Arial" w:cs="Arial" w:eastAsia="Arial" w:hAnsi="Arial"/>
          <w:sz w:val="18"/>
          <w:szCs w:val="18"/>
          <w:color w:val="auto"/>
        </w:rPr>
        <w:t>In 2020, the Board, upon the recommendation of the Committee, approved one-time grants of cash-based long-term incentive awards to Messrs. Saligram, Jennings and Weatherholt upon their joining Weatherford. In November 2020 and again in March 2021, the Committee approved amendments to the form of Award Agreement under the LTCIP to clarify the proration of grants and vesting mechanics of LTCIP awards granted to NEOs joining the Company in the middle of the fiscal year, to clarify the vesting mechanics, to confirm the performance metrics and payout percentages for 2020 and to adopt new performance metrics for fiscal years 2021 and 2022 that match those approved for long-term equity incentive awards granted in January 2021 (discussed below). As amended, the LTCIP Award Agreement provides that for Messrs. Saligram, Jennings and Weatherholt, the time-based portion of the awards vest one-third on each of December 31, 2020, 2021 and 2022. The only payments to the current NEOs under the LTCIP awards during 2021 were the vesting of second tranche of the time-based portion of the respective awards for Messrs. Saligram, Jennings and Weatherholt that occurred on December 31, 2021. The performance-based portion of the awards will vest at the end of the performance period on December 31, 2022, to the extent earned by achieving the required performance goals during the performance period.</w:t>
      </w:r>
    </w:p>
    <w:p>
      <w:pPr>
        <w:spacing w:after="0" w:line="77" w:lineRule="exact"/>
        <w:rPr>
          <w:sz w:val="20"/>
          <w:szCs w:val="20"/>
          <w:color w:val="auto"/>
        </w:rPr>
      </w:pPr>
    </w:p>
    <w:p>
      <w:pPr>
        <w:ind w:left="440" w:right="80"/>
        <w:spacing w:after="0" w:line="261" w:lineRule="auto"/>
        <w:rPr>
          <w:sz w:val="20"/>
          <w:szCs w:val="20"/>
          <w:color w:val="auto"/>
        </w:rPr>
      </w:pPr>
      <w:r>
        <w:rPr>
          <w:rFonts w:ascii="Arial" w:cs="Arial" w:eastAsia="Arial" w:hAnsi="Arial"/>
          <w:sz w:val="18"/>
          <w:szCs w:val="18"/>
          <w:color w:val="auto"/>
        </w:rPr>
        <w:t>The total cash award amounts for our current NEOs, prorated pursuant to their respective offer letters, and under the Award Agreements, as amended, are set forth in the table below and will vest as provided in the LTCIP and the Award Agreements, as amended,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114935</wp:posOffset>
            </wp:positionV>
            <wp:extent cx="6231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92" w:lineRule="exact"/>
        <w:rPr>
          <w:sz w:val="20"/>
          <w:szCs w:val="20"/>
          <w:color w:val="auto"/>
        </w:rPr>
      </w:pPr>
    </w:p>
    <w:p>
      <w:pPr>
        <w:ind w:left="720" w:hanging="282"/>
        <w:spacing w:after="0"/>
        <w:tabs>
          <w:tab w:leader="none" w:pos="720" w:val="left"/>
        </w:tabs>
        <w:numPr>
          <w:ilvl w:val="0"/>
          <w:numId w:val="3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60" w:type="dxa"/>
            <w:vAlign w:val="bottom"/>
            <w:gridSpan w:val="6"/>
          </w:tcPr>
          <w:p>
            <w:pPr>
              <w:ind w:left="440"/>
              <w:spacing w:after="0"/>
              <w:rPr>
                <w:sz w:val="20"/>
                <w:szCs w:val="20"/>
                <w:color w:val="auto"/>
              </w:rPr>
            </w:pPr>
            <w:r>
              <w:rPr>
                <w:rFonts w:ascii="Arial" w:cs="Arial" w:eastAsia="Arial" w:hAnsi="Arial"/>
                <w:sz w:val="14"/>
                <w:szCs w:val="14"/>
                <w:b w:val="1"/>
                <w:bCs w:val="1"/>
                <w:color w:val="666666"/>
              </w:rPr>
              <w:t>COMPENSATION DISCUSSION AND ANALYSIS</w:t>
            </w:r>
          </w:p>
        </w:tc>
        <w:tc>
          <w:tcPr>
            <w:tcW w:w="40" w:type="dxa"/>
            <w:vAlign w:val="bottom"/>
          </w:tcPr>
          <w:p>
            <w:pPr>
              <w:spacing w:after="0"/>
              <w:rPr>
                <w:sz w:val="17"/>
                <w:szCs w:val="17"/>
                <w:color w:val="auto"/>
              </w:rPr>
            </w:pPr>
          </w:p>
        </w:tc>
      </w:tr>
      <w:tr>
        <w:trPr>
          <w:trHeight w:val="137"/>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3"/>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34"/>
        </w:trPr>
        <w:tc>
          <w:tcPr>
            <w:tcW w:w="3940" w:type="dxa"/>
            <w:vAlign w:val="bottom"/>
            <w:shd w:val="clear" w:color="auto" w:fill="BA0C2F"/>
          </w:tcPr>
          <w:p>
            <w:pPr>
              <w:spacing w:after="0"/>
              <w:rPr>
                <w:sz w:val="20"/>
                <w:szCs w:val="20"/>
                <w:color w:val="auto"/>
              </w:rPr>
            </w:pPr>
          </w:p>
        </w:tc>
        <w:tc>
          <w:tcPr>
            <w:tcW w:w="2200" w:type="dxa"/>
            <w:vAlign w:val="bottom"/>
            <w:shd w:val="clear" w:color="auto" w:fill="BA0C2F"/>
          </w:tcPr>
          <w:p>
            <w:pPr>
              <w:spacing w:after="0"/>
              <w:rPr>
                <w:sz w:val="20"/>
                <w:szCs w:val="20"/>
                <w:color w:val="auto"/>
              </w:rPr>
            </w:pPr>
          </w:p>
        </w:tc>
        <w:tc>
          <w:tcPr>
            <w:tcW w:w="1040" w:type="dxa"/>
            <w:vAlign w:val="bottom"/>
            <w:shd w:val="clear" w:color="auto" w:fill="BA0C2F"/>
          </w:tcPr>
          <w:p>
            <w:pPr>
              <w:spacing w:after="0"/>
              <w:rPr>
                <w:sz w:val="20"/>
                <w:szCs w:val="20"/>
                <w:color w:val="auto"/>
              </w:rPr>
            </w:pPr>
          </w:p>
        </w:tc>
        <w:tc>
          <w:tcPr>
            <w:tcW w:w="1460" w:type="dxa"/>
            <w:vAlign w:val="bottom"/>
            <w:gridSpan w:val="3"/>
            <w:shd w:val="clear" w:color="auto" w:fill="BA0C2F"/>
          </w:tcPr>
          <w:p>
            <w:pPr>
              <w:jc w:val="center"/>
              <w:ind w:left="48"/>
              <w:spacing w:after="0"/>
              <w:rPr>
                <w:sz w:val="20"/>
                <w:szCs w:val="20"/>
                <w:color w:val="auto"/>
              </w:rPr>
            </w:pPr>
            <w:r>
              <w:rPr>
                <w:rFonts w:ascii="Arial" w:cs="Arial" w:eastAsia="Arial" w:hAnsi="Arial"/>
                <w:sz w:val="14"/>
                <w:szCs w:val="14"/>
                <w:color w:val="FFFFFF"/>
              </w:rPr>
              <w:t>Performance-based</w:t>
            </w:r>
          </w:p>
        </w:tc>
        <w:tc>
          <w:tcPr>
            <w:tcW w:w="240" w:type="dxa"/>
            <w:vAlign w:val="bottom"/>
            <w:shd w:val="clear" w:color="auto" w:fill="BA0C2F"/>
          </w:tcPr>
          <w:p>
            <w:pPr>
              <w:spacing w:after="0"/>
              <w:rPr>
                <w:sz w:val="20"/>
                <w:szCs w:val="20"/>
                <w:color w:val="auto"/>
              </w:rPr>
            </w:pPr>
          </w:p>
        </w:tc>
        <w:tc>
          <w:tcPr>
            <w:tcW w:w="920" w:type="dxa"/>
            <w:vAlign w:val="bottom"/>
            <w:shd w:val="clear" w:color="auto" w:fill="BA0C2F"/>
          </w:tcPr>
          <w:p>
            <w:pPr>
              <w:spacing w:after="0"/>
              <w:rPr>
                <w:sz w:val="20"/>
                <w:szCs w:val="20"/>
                <w:color w:val="auto"/>
              </w:rPr>
            </w:pPr>
          </w:p>
        </w:tc>
        <w:tc>
          <w:tcPr>
            <w:tcW w:w="40" w:type="dxa"/>
            <w:vAlign w:val="bottom"/>
          </w:tcPr>
          <w:p>
            <w:pPr>
              <w:spacing w:after="0"/>
              <w:rPr>
                <w:sz w:val="20"/>
                <w:szCs w:val="20"/>
                <w:color w:val="auto"/>
              </w:rPr>
            </w:pPr>
          </w:p>
        </w:tc>
      </w:tr>
      <w:tr>
        <w:trPr>
          <w:trHeight w:val="162"/>
        </w:trPr>
        <w:tc>
          <w:tcPr>
            <w:tcW w:w="3940" w:type="dxa"/>
            <w:vAlign w:val="bottom"/>
            <w:shd w:val="clear" w:color="auto" w:fill="BA0C2F"/>
          </w:tcPr>
          <w:p>
            <w:pPr>
              <w:spacing w:after="0"/>
              <w:rPr>
                <w:sz w:val="14"/>
                <w:szCs w:val="14"/>
                <w:color w:val="auto"/>
              </w:rPr>
            </w:pPr>
          </w:p>
        </w:tc>
        <w:tc>
          <w:tcPr>
            <w:tcW w:w="2200" w:type="dxa"/>
            <w:vAlign w:val="bottom"/>
            <w:shd w:val="clear" w:color="auto" w:fill="BA0C2F"/>
          </w:tcPr>
          <w:p>
            <w:pPr>
              <w:spacing w:after="0"/>
              <w:rPr>
                <w:sz w:val="14"/>
                <w:szCs w:val="14"/>
                <w:color w:val="auto"/>
              </w:rPr>
            </w:pPr>
          </w:p>
        </w:tc>
        <w:tc>
          <w:tcPr>
            <w:tcW w:w="1040" w:type="dxa"/>
            <w:vAlign w:val="bottom"/>
            <w:shd w:val="clear" w:color="auto" w:fill="BA0C2F"/>
          </w:tcPr>
          <w:p>
            <w:pPr>
              <w:spacing w:after="0"/>
              <w:rPr>
                <w:sz w:val="14"/>
                <w:szCs w:val="14"/>
                <w:color w:val="auto"/>
              </w:rPr>
            </w:pPr>
          </w:p>
        </w:tc>
        <w:tc>
          <w:tcPr>
            <w:tcW w:w="280" w:type="dxa"/>
            <w:vAlign w:val="bottom"/>
            <w:shd w:val="clear" w:color="auto" w:fill="BA0C2F"/>
          </w:tcPr>
          <w:p>
            <w:pPr>
              <w:spacing w:after="0"/>
              <w:rPr>
                <w:sz w:val="14"/>
                <w:szCs w:val="14"/>
                <w:color w:val="auto"/>
              </w:rPr>
            </w:pPr>
          </w:p>
        </w:tc>
        <w:tc>
          <w:tcPr>
            <w:tcW w:w="1180" w:type="dxa"/>
            <w:vAlign w:val="bottom"/>
            <w:gridSpan w:val="2"/>
            <w:shd w:val="clear" w:color="auto" w:fill="BA0C2F"/>
          </w:tcPr>
          <w:p>
            <w:pPr>
              <w:jc w:val="center"/>
              <w:ind w:right="76"/>
              <w:spacing w:after="0"/>
              <w:rPr>
                <w:sz w:val="20"/>
                <w:szCs w:val="20"/>
                <w:color w:val="auto"/>
              </w:rPr>
            </w:pPr>
            <w:r>
              <w:rPr>
                <w:rFonts w:ascii="Arial" w:cs="Arial" w:eastAsia="Arial" w:hAnsi="Arial"/>
                <w:sz w:val="14"/>
                <w:szCs w:val="14"/>
                <w:color w:val="FFFFFF"/>
              </w:rPr>
              <w:t>Cash Award</w:t>
            </w:r>
          </w:p>
        </w:tc>
        <w:tc>
          <w:tcPr>
            <w:tcW w:w="240" w:type="dxa"/>
            <w:vAlign w:val="bottom"/>
            <w:shd w:val="clear" w:color="auto" w:fill="BA0C2F"/>
          </w:tcPr>
          <w:p>
            <w:pPr>
              <w:spacing w:after="0"/>
              <w:rPr>
                <w:sz w:val="14"/>
                <w:szCs w:val="14"/>
                <w:color w:val="auto"/>
              </w:rPr>
            </w:pPr>
          </w:p>
        </w:tc>
        <w:tc>
          <w:tcPr>
            <w:tcW w:w="920" w:type="dxa"/>
            <w:vAlign w:val="bottom"/>
            <w:shd w:val="clear" w:color="auto" w:fill="BA0C2F"/>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940" w:type="dxa"/>
            <w:vAlign w:val="bottom"/>
            <w:shd w:val="clear" w:color="auto" w:fill="BA0C2F"/>
          </w:tcPr>
          <w:p>
            <w:pPr>
              <w:spacing w:after="0"/>
              <w:rPr>
                <w:sz w:val="14"/>
                <w:szCs w:val="14"/>
                <w:color w:val="auto"/>
              </w:rPr>
            </w:pPr>
          </w:p>
        </w:tc>
        <w:tc>
          <w:tcPr>
            <w:tcW w:w="3240" w:type="dxa"/>
            <w:vAlign w:val="bottom"/>
            <w:gridSpan w:val="2"/>
            <w:shd w:val="clear" w:color="auto" w:fill="BA0C2F"/>
          </w:tcPr>
          <w:p>
            <w:pPr>
              <w:jc w:val="center"/>
              <w:ind w:left="1857"/>
              <w:spacing w:after="0"/>
              <w:rPr>
                <w:sz w:val="20"/>
                <w:szCs w:val="20"/>
                <w:color w:val="auto"/>
              </w:rPr>
            </w:pPr>
            <w:r>
              <w:rPr>
                <w:rFonts w:ascii="Arial" w:cs="Arial" w:eastAsia="Arial" w:hAnsi="Arial"/>
                <w:sz w:val="14"/>
                <w:szCs w:val="14"/>
                <w:color w:val="FFFFFF"/>
              </w:rPr>
              <w:t>Time-Based Award</w:t>
            </w:r>
          </w:p>
        </w:tc>
        <w:tc>
          <w:tcPr>
            <w:tcW w:w="280" w:type="dxa"/>
            <w:vAlign w:val="bottom"/>
            <w:shd w:val="clear" w:color="auto" w:fill="BA0C2F"/>
          </w:tcPr>
          <w:p>
            <w:pPr>
              <w:spacing w:after="0"/>
              <w:rPr>
                <w:sz w:val="14"/>
                <w:szCs w:val="14"/>
                <w:color w:val="auto"/>
              </w:rPr>
            </w:pPr>
          </w:p>
        </w:tc>
        <w:tc>
          <w:tcPr>
            <w:tcW w:w="1180" w:type="dxa"/>
            <w:vAlign w:val="bottom"/>
            <w:gridSpan w:val="2"/>
            <w:shd w:val="clear" w:color="auto" w:fill="BA0C2F"/>
          </w:tcPr>
          <w:p>
            <w:pPr>
              <w:jc w:val="center"/>
              <w:ind w:right="56"/>
              <w:spacing w:after="0"/>
              <w:rPr>
                <w:sz w:val="20"/>
                <w:szCs w:val="20"/>
                <w:color w:val="auto"/>
              </w:rPr>
            </w:pPr>
            <w:r>
              <w:rPr>
                <w:rFonts w:ascii="Arial" w:cs="Arial" w:eastAsia="Arial" w:hAnsi="Arial"/>
                <w:sz w:val="14"/>
                <w:szCs w:val="14"/>
                <w:color w:val="FFFFFF"/>
              </w:rPr>
              <w:t>Amount at</w:t>
            </w:r>
          </w:p>
        </w:tc>
        <w:tc>
          <w:tcPr>
            <w:tcW w:w="240" w:type="dxa"/>
            <w:vAlign w:val="bottom"/>
            <w:shd w:val="clear" w:color="auto" w:fill="BA0C2F"/>
          </w:tcPr>
          <w:p>
            <w:pPr>
              <w:spacing w:after="0"/>
              <w:rPr>
                <w:sz w:val="14"/>
                <w:szCs w:val="14"/>
                <w:color w:val="auto"/>
              </w:rPr>
            </w:pPr>
          </w:p>
        </w:tc>
        <w:tc>
          <w:tcPr>
            <w:tcW w:w="920" w:type="dxa"/>
            <w:vAlign w:val="bottom"/>
            <w:shd w:val="clear" w:color="auto" w:fill="BA0C2F"/>
          </w:tcPr>
          <w:p>
            <w:pPr>
              <w:ind w:left="60"/>
              <w:spacing w:after="0"/>
              <w:rPr>
                <w:sz w:val="20"/>
                <w:szCs w:val="20"/>
                <w:color w:val="auto"/>
              </w:rPr>
            </w:pPr>
            <w:r>
              <w:rPr>
                <w:rFonts w:ascii="Arial" w:cs="Arial" w:eastAsia="Arial" w:hAnsi="Arial"/>
                <w:sz w:val="14"/>
                <w:szCs w:val="14"/>
                <w:color w:val="FFFFFF"/>
              </w:rPr>
              <w:t>Total Cash</w:t>
            </w:r>
          </w:p>
        </w:tc>
        <w:tc>
          <w:tcPr>
            <w:tcW w:w="40" w:type="dxa"/>
            <w:vAlign w:val="bottom"/>
          </w:tcPr>
          <w:p>
            <w:pPr>
              <w:spacing w:after="0"/>
              <w:rPr>
                <w:sz w:val="14"/>
                <w:szCs w:val="14"/>
                <w:color w:val="auto"/>
              </w:rPr>
            </w:pPr>
          </w:p>
        </w:tc>
      </w:tr>
      <w:tr>
        <w:trPr>
          <w:trHeight w:val="162"/>
        </w:trPr>
        <w:tc>
          <w:tcPr>
            <w:tcW w:w="3940" w:type="dxa"/>
            <w:vAlign w:val="bottom"/>
            <w:shd w:val="clear" w:color="auto" w:fill="BA0C2F"/>
          </w:tcPr>
          <w:p>
            <w:pPr>
              <w:spacing w:after="0"/>
              <w:rPr>
                <w:sz w:val="14"/>
                <w:szCs w:val="14"/>
                <w:color w:val="auto"/>
              </w:rPr>
            </w:pPr>
          </w:p>
        </w:tc>
        <w:tc>
          <w:tcPr>
            <w:tcW w:w="2200" w:type="dxa"/>
            <w:vAlign w:val="bottom"/>
            <w:shd w:val="clear" w:color="auto" w:fill="BA0C2F"/>
          </w:tcPr>
          <w:p>
            <w:pPr>
              <w:spacing w:after="0"/>
              <w:rPr>
                <w:sz w:val="14"/>
                <w:szCs w:val="14"/>
                <w:color w:val="auto"/>
              </w:rPr>
            </w:pPr>
          </w:p>
        </w:tc>
        <w:tc>
          <w:tcPr>
            <w:tcW w:w="1040" w:type="dxa"/>
            <w:vAlign w:val="bottom"/>
            <w:shd w:val="clear" w:color="auto" w:fill="BA0C2F"/>
          </w:tcPr>
          <w:p>
            <w:pPr>
              <w:jc w:val="center"/>
              <w:ind w:right="179"/>
              <w:spacing w:after="0"/>
              <w:rPr>
                <w:sz w:val="20"/>
                <w:szCs w:val="20"/>
                <w:color w:val="auto"/>
              </w:rPr>
            </w:pPr>
            <w:r>
              <w:rPr>
                <w:rFonts w:ascii="Arial" w:cs="Arial" w:eastAsia="Arial" w:hAnsi="Arial"/>
                <w:sz w:val="14"/>
                <w:szCs w:val="14"/>
                <w:color w:val="FFFFFF"/>
              </w:rPr>
              <w:t>(30%)</w:t>
            </w:r>
          </w:p>
        </w:tc>
        <w:tc>
          <w:tcPr>
            <w:tcW w:w="280" w:type="dxa"/>
            <w:vAlign w:val="bottom"/>
            <w:shd w:val="clear" w:color="auto" w:fill="BA0C2F"/>
          </w:tcPr>
          <w:p>
            <w:pPr>
              <w:spacing w:after="0"/>
              <w:rPr>
                <w:sz w:val="14"/>
                <w:szCs w:val="14"/>
                <w:color w:val="auto"/>
              </w:rPr>
            </w:pPr>
          </w:p>
        </w:tc>
        <w:tc>
          <w:tcPr>
            <w:tcW w:w="1180" w:type="dxa"/>
            <w:vAlign w:val="bottom"/>
            <w:gridSpan w:val="2"/>
            <w:shd w:val="clear" w:color="auto" w:fill="BA0C2F"/>
          </w:tcPr>
          <w:p>
            <w:pPr>
              <w:jc w:val="center"/>
              <w:ind w:right="76"/>
              <w:spacing w:after="0"/>
              <w:rPr>
                <w:sz w:val="20"/>
                <w:szCs w:val="20"/>
                <w:color w:val="auto"/>
              </w:rPr>
            </w:pPr>
            <w:r>
              <w:rPr>
                <w:rFonts w:ascii="Arial" w:cs="Arial" w:eastAsia="Arial" w:hAnsi="Arial"/>
                <w:sz w:val="14"/>
                <w:szCs w:val="14"/>
                <w:color w:val="FFFFFF"/>
              </w:rPr>
              <w:t>Target (70%)</w:t>
            </w:r>
          </w:p>
        </w:tc>
        <w:tc>
          <w:tcPr>
            <w:tcW w:w="1160" w:type="dxa"/>
            <w:vAlign w:val="bottom"/>
            <w:gridSpan w:val="2"/>
            <w:shd w:val="clear" w:color="auto" w:fill="BA0C2F"/>
          </w:tcPr>
          <w:p>
            <w:pPr>
              <w:jc w:val="center"/>
              <w:ind w:left="68"/>
              <w:spacing w:after="0"/>
              <w:rPr>
                <w:sz w:val="20"/>
                <w:szCs w:val="20"/>
                <w:color w:val="auto"/>
              </w:rPr>
            </w:pPr>
            <w:r>
              <w:rPr>
                <w:rFonts w:ascii="Arial" w:cs="Arial" w:eastAsia="Arial" w:hAnsi="Arial"/>
                <w:sz w:val="14"/>
                <w:szCs w:val="14"/>
                <w:color w:val="FFFFFF"/>
              </w:rPr>
              <w:t>Award Amount</w:t>
            </w:r>
          </w:p>
        </w:tc>
        <w:tc>
          <w:tcPr>
            <w:tcW w:w="40" w:type="dxa"/>
            <w:vAlign w:val="bottom"/>
          </w:tcPr>
          <w:p>
            <w:pPr>
              <w:spacing w:after="0"/>
              <w:rPr>
                <w:sz w:val="14"/>
                <w:szCs w:val="14"/>
                <w:color w:val="auto"/>
              </w:rPr>
            </w:pPr>
          </w:p>
        </w:tc>
      </w:tr>
      <w:tr>
        <w:trPr>
          <w:trHeight w:val="198"/>
        </w:trPr>
        <w:tc>
          <w:tcPr>
            <w:tcW w:w="394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Name</w:t>
            </w:r>
          </w:p>
        </w:tc>
        <w:tc>
          <w:tcPr>
            <w:tcW w:w="2200" w:type="dxa"/>
            <w:vAlign w:val="bottom"/>
            <w:tcBorders>
              <w:bottom w:val="single" w:sz="8" w:color="auto"/>
            </w:tcBorders>
            <w:shd w:val="clear" w:color="auto" w:fill="BA0C2F"/>
          </w:tcPr>
          <w:p>
            <w:pPr>
              <w:ind w:left="1860"/>
              <w:spacing w:after="0"/>
              <w:rPr>
                <w:sz w:val="20"/>
                <w:szCs w:val="20"/>
                <w:color w:val="auto"/>
              </w:rPr>
            </w:pPr>
            <w:r>
              <w:rPr>
                <w:rFonts w:ascii="Arial" w:cs="Arial" w:eastAsia="Arial" w:hAnsi="Arial"/>
                <w:sz w:val="14"/>
                <w:szCs w:val="14"/>
                <w:color w:val="FFFFFF"/>
              </w:rPr>
              <w:t>​ ​</w:t>
            </w:r>
          </w:p>
        </w:tc>
        <w:tc>
          <w:tcPr>
            <w:tcW w:w="1040" w:type="dxa"/>
            <w:vAlign w:val="bottom"/>
            <w:tcBorders>
              <w:bottom w:val="single" w:sz="8" w:color="auto"/>
            </w:tcBorders>
            <w:shd w:val="clear" w:color="auto" w:fill="BA0C2F"/>
          </w:tcPr>
          <w:p>
            <w:pPr>
              <w:jc w:val="center"/>
              <w:ind w:right="139"/>
              <w:spacing w:after="0"/>
              <w:rPr>
                <w:sz w:val="20"/>
                <w:szCs w:val="20"/>
                <w:color w:val="auto"/>
              </w:rPr>
            </w:pPr>
            <w:r>
              <w:rPr>
                <w:rFonts w:ascii="Arial" w:cs="Arial" w:eastAsia="Arial" w:hAnsi="Arial"/>
                <w:sz w:val="14"/>
                <w:szCs w:val="14"/>
                <w:color w:val="FFFFFF"/>
              </w:rPr>
              <w:t>($)</w:t>
            </w:r>
          </w:p>
        </w:tc>
        <w:tc>
          <w:tcPr>
            <w:tcW w:w="280" w:type="dxa"/>
            <w:vAlign w:val="bottom"/>
            <w:tcBorders>
              <w:bottom w:val="single" w:sz="8" w:color="auto"/>
            </w:tcBorders>
            <w:shd w:val="clear" w:color="auto" w:fill="BA0C2F"/>
          </w:tcPr>
          <w:p>
            <w:pPr>
              <w:jc w:val="right"/>
              <w:ind w:right="48"/>
              <w:spacing w:after="0"/>
              <w:rPr>
                <w:sz w:val="20"/>
                <w:szCs w:val="20"/>
                <w:color w:val="auto"/>
              </w:rPr>
            </w:pPr>
            <w:r>
              <w:rPr>
                <w:rFonts w:ascii="Arial" w:cs="Arial" w:eastAsia="Arial" w:hAnsi="Arial"/>
                <w:sz w:val="14"/>
                <w:szCs w:val="14"/>
                <w:color w:val="FFFFFF"/>
              </w:rPr>
              <w:t>​ ​</w:t>
            </w:r>
          </w:p>
        </w:tc>
        <w:tc>
          <w:tcPr>
            <w:tcW w:w="420" w:type="dxa"/>
            <w:vAlign w:val="bottom"/>
            <w:tcBorders>
              <w:bottom w:val="single" w:sz="8" w:color="auto"/>
            </w:tcBorders>
            <w:shd w:val="clear" w:color="auto" w:fill="BA0C2F"/>
          </w:tcPr>
          <w:p>
            <w:pPr>
              <w:spacing w:after="0"/>
              <w:rPr>
                <w:sz w:val="17"/>
                <w:szCs w:val="17"/>
                <w:color w:val="auto"/>
              </w:rPr>
            </w:pPr>
          </w:p>
        </w:tc>
        <w:tc>
          <w:tcPr>
            <w:tcW w:w="760" w:type="dxa"/>
            <w:vAlign w:val="bottom"/>
            <w:tcBorders>
              <w:bottom w:val="single" w:sz="8" w:color="auto"/>
            </w:tcBorders>
            <w:shd w:val="clear" w:color="auto" w:fill="BA0C2F"/>
          </w:tcPr>
          <w:p>
            <w:pPr>
              <w:jc w:val="center"/>
              <w:ind w:right="456"/>
              <w:spacing w:after="0"/>
              <w:rPr>
                <w:sz w:val="20"/>
                <w:szCs w:val="20"/>
                <w:color w:val="auto"/>
              </w:rPr>
            </w:pPr>
            <w:r>
              <w:rPr>
                <w:rFonts w:ascii="Arial" w:cs="Arial" w:eastAsia="Arial" w:hAnsi="Arial"/>
                <w:sz w:val="14"/>
                <w:szCs w:val="14"/>
                <w:color w:val="FFFFFF"/>
              </w:rPr>
              <w:t>($)</w:t>
            </w:r>
          </w:p>
        </w:tc>
        <w:tc>
          <w:tcPr>
            <w:tcW w:w="240" w:type="dxa"/>
            <w:vAlign w:val="bottom"/>
            <w:tcBorders>
              <w:bottom w:val="single" w:sz="8" w:color="auto"/>
            </w:tcBorders>
            <w:shd w:val="clear" w:color="auto" w:fill="BA0C2F"/>
          </w:tcPr>
          <w:p>
            <w:pPr>
              <w:jc w:val="right"/>
              <w:spacing w:after="0"/>
              <w:rPr>
                <w:sz w:val="20"/>
                <w:szCs w:val="20"/>
                <w:color w:val="auto"/>
              </w:rPr>
            </w:pPr>
            <w:r>
              <w:rPr>
                <w:rFonts w:ascii="Arial" w:cs="Arial" w:eastAsia="Arial" w:hAnsi="Arial"/>
                <w:sz w:val="14"/>
                <w:szCs w:val="14"/>
                <w:color w:val="FFFFFF"/>
              </w:rPr>
              <w:t>​ ​</w:t>
            </w:r>
          </w:p>
        </w:tc>
        <w:tc>
          <w:tcPr>
            <w:tcW w:w="920" w:type="dxa"/>
            <w:vAlign w:val="bottom"/>
            <w:tcBorders>
              <w:bottom w:val="single" w:sz="8" w:color="auto"/>
            </w:tcBorders>
            <w:shd w:val="clear" w:color="auto" w:fill="BA0C2F"/>
          </w:tcPr>
          <w:p>
            <w:pPr>
              <w:jc w:val="right"/>
              <w:ind w:right="317"/>
              <w:spacing w:after="0"/>
              <w:rPr>
                <w:sz w:val="20"/>
                <w:szCs w:val="20"/>
                <w:color w:val="auto"/>
              </w:rPr>
            </w:pPr>
            <w:r>
              <w:rPr>
                <w:rFonts w:ascii="Arial" w:cs="Arial" w:eastAsia="Arial" w:hAnsi="Arial"/>
                <w:sz w:val="14"/>
                <w:szCs w:val="14"/>
                <w:color w:val="FFFFFF"/>
              </w:rPr>
              <w:t>($)</w:t>
            </w:r>
          </w:p>
        </w:tc>
        <w:tc>
          <w:tcPr>
            <w:tcW w:w="40" w:type="dxa"/>
            <w:vAlign w:val="bottom"/>
          </w:tcPr>
          <w:p>
            <w:pPr>
              <w:jc w:val="right"/>
              <w:spacing w:after="0"/>
              <w:rPr>
                <w:sz w:val="20"/>
                <w:szCs w:val="20"/>
                <w:color w:val="auto"/>
              </w:rPr>
            </w:pPr>
            <w:r>
              <w:rPr>
                <w:rFonts w:ascii="Arial" w:cs="Arial" w:eastAsia="Arial" w:hAnsi="Arial"/>
                <w:sz w:val="14"/>
                <w:szCs w:val="14"/>
                <w:color w:val="FFFFFF"/>
              </w:rPr>
              <w:t>​</w:t>
            </w:r>
          </w:p>
        </w:tc>
      </w:tr>
      <w:tr>
        <w:trPr>
          <w:trHeight w:val="250"/>
        </w:trPr>
        <w:tc>
          <w:tcPr>
            <w:tcW w:w="394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2200" w:type="dxa"/>
            <w:vAlign w:val="bottom"/>
            <w:tcBorders>
              <w:bottom w:val="single" w:sz="8" w:color="666666"/>
            </w:tcBorders>
            <w:shd w:val="clear" w:color="auto" w:fill="CCCCCC"/>
          </w:tcPr>
          <w:p>
            <w:pPr>
              <w:ind w:left="186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666666"/>
            </w:tcBorders>
            <w:gridSpan w:val="2"/>
            <w:shd w:val="clear" w:color="auto" w:fill="CCCCCC"/>
          </w:tcPr>
          <w:p>
            <w:pPr>
              <w:jc w:val="right"/>
              <w:ind w:right="28"/>
              <w:spacing w:after="0"/>
              <w:rPr>
                <w:sz w:val="20"/>
                <w:szCs w:val="20"/>
                <w:color w:val="auto"/>
              </w:rPr>
            </w:pPr>
            <w:r>
              <w:rPr>
                <w:rFonts w:ascii="Arial" w:cs="Arial" w:eastAsia="Arial" w:hAnsi="Arial"/>
                <w:sz w:val="18"/>
                <w:szCs w:val="18"/>
                <w:color w:val="auto"/>
              </w:rPr>
              <w:t>​778,099​​ ​</w:t>
            </w:r>
          </w:p>
        </w:tc>
        <w:tc>
          <w:tcPr>
            <w:tcW w:w="1420" w:type="dxa"/>
            <w:vAlign w:val="bottom"/>
            <w:tcBorders>
              <w:bottom w:val="single" w:sz="8" w:color="666666"/>
            </w:tcBorders>
            <w:gridSpan w:val="3"/>
            <w:shd w:val="clear" w:color="auto" w:fill="CCCCCC"/>
          </w:tcPr>
          <w:p>
            <w:pPr>
              <w:jc w:val="right"/>
              <w:spacing w:after="0"/>
              <w:rPr>
                <w:sz w:val="20"/>
                <w:szCs w:val="20"/>
                <w:color w:val="auto"/>
              </w:rPr>
            </w:pPr>
            <w:r>
              <w:rPr>
                <w:rFonts w:ascii="Arial" w:cs="Arial" w:eastAsia="Arial" w:hAnsi="Arial"/>
                <w:sz w:val="18"/>
                <w:szCs w:val="18"/>
                <w:color w:val="auto"/>
              </w:rPr>
              <w:t>​1,815,565​​ ​</w:t>
            </w:r>
          </w:p>
        </w:tc>
        <w:tc>
          <w:tcPr>
            <w:tcW w:w="920" w:type="dxa"/>
            <w:vAlign w:val="bottom"/>
            <w:tcBorders>
              <w:bottom w:val="single" w:sz="8" w:color="666666"/>
            </w:tcBorders>
            <w:shd w:val="clear" w:color="auto" w:fill="CCCCCC"/>
          </w:tcPr>
          <w:p>
            <w:pPr>
              <w:ind w:left="80"/>
              <w:spacing w:after="0"/>
              <w:rPr>
                <w:sz w:val="20"/>
                <w:szCs w:val="20"/>
                <w:color w:val="auto"/>
              </w:rPr>
            </w:pPr>
            <w:r>
              <w:rPr>
                <w:rFonts w:ascii="Arial" w:cs="Arial" w:eastAsia="Arial" w:hAnsi="Arial"/>
                <w:sz w:val="18"/>
                <w:szCs w:val="18"/>
                <w:color w:val="auto"/>
              </w:rPr>
              <w:t>​2,593,664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940" w:type="dxa"/>
            <w:vAlign w:val="bottom"/>
          </w:tcPr>
          <w:p>
            <w:pPr>
              <w:spacing w:after="0"/>
              <w:rPr>
                <w:sz w:val="20"/>
                <w:szCs w:val="20"/>
                <w:color w:val="auto"/>
              </w:rPr>
            </w:pPr>
            <w:r>
              <w:rPr>
                <w:rFonts w:ascii="Arial" w:cs="Arial" w:eastAsia="Arial" w:hAnsi="Arial"/>
                <w:sz w:val="18"/>
                <w:szCs w:val="18"/>
                <w:color w:val="auto"/>
              </w:rPr>
              <w:t>H. Keith Jennings</w:t>
            </w:r>
          </w:p>
        </w:tc>
        <w:tc>
          <w:tcPr>
            <w:tcW w:w="2200" w:type="dxa"/>
            <w:vAlign w:val="bottom"/>
          </w:tcPr>
          <w:p>
            <w:pPr>
              <w:ind w:left="186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​378,870​​ ​</w:t>
            </w:r>
          </w:p>
        </w:tc>
        <w:tc>
          <w:tcPr>
            <w:tcW w:w="420" w:type="dxa"/>
            <w:vAlign w:val="bottom"/>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884,030​​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​1,262,900​</w:t>
            </w:r>
          </w:p>
        </w:tc>
      </w:tr>
      <w:tr>
        <w:trPr>
          <w:trHeight w:val="250"/>
        </w:trPr>
        <w:tc>
          <w:tcPr>
            <w:tcW w:w="3940" w:type="dxa"/>
            <w:vAlign w:val="bottom"/>
            <w:tcBorders>
              <w:top w:val="single" w:sz="8" w:color="666666"/>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Scott C. Weatherholt</w:t>
            </w:r>
          </w:p>
        </w:tc>
        <w:tc>
          <w:tcPr>
            <w:tcW w:w="2200" w:type="dxa"/>
            <w:vAlign w:val="bottom"/>
            <w:tcBorders>
              <w:top w:val="single" w:sz="8" w:color="666666"/>
              <w:bottom w:val="single" w:sz="8" w:color="auto"/>
            </w:tcBorders>
            <w:shd w:val="clear" w:color="auto" w:fill="CCCCCC"/>
          </w:tcPr>
          <w:p>
            <w:pPr>
              <w:ind w:left="1860"/>
              <w:spacing w:after="0"/>
              <w:rPr>
                <w:sz w:val="20"/>
                <w:szCs w:val="20"/>
                <w:color w:val="auto"/>
              </w:rPr>
            </w:pPr>
            <w:r>
              <w:rPr>
                <w:rFonts w:ascii="Arial" w:cs="Arial" w:eastAsia="Arial" w:hAnsi="Arial"/>
                <w:sz w:val="18"/>
                <w:szCs w:val="18"/>
                <w:color w:val="auto"/>
              </w:rPr>
              <w:t>​ ​</w:t>
            </w:r>
          </w:p>
        </w:tc>
        <w:tc>
          <w:tcPr>
            <w:tcW w:w="1320" w:type="dxa"/>
            <w:vAlign w:val="bottom"/>
            <w:tcBorders>
              <w:top w:val="single" w:sz="8" w:color="666666"/>
              <w:bottom w:val="single" w:sz="8" w:color="auto"/>
            </w:tcBorders>
            <w:gridSpan w:val="2"/>
            <w:shd w:val="clear" w:color="auto" w:fill="CCCCCC"/>
          </w:tcPr>
          <w:p>
            <w:pPr>
              <w:jc w:val="right"/>
              <w:ind w:right="28"/>
              <w:spacing w:after="0"/>
              <w:rPr>
                <w:sz w:val="20"/>
                <w:szCs w:val="20"/>
                <w:color w:val="auto"/>
              </w:rPr>
            </w:pPr>
            <w:r>
              <w:rPr>
                <w:rFonts w:ascii="Arial" w:cs="Arial" w:eastAsia="Arial" w:hAnsi="Arial"/>
                <w:sz w:val="18"/>
                <w:szCs w:val="18"/>
                <w:color w:val="auto"/>
              </w:rPr>
              <w:t>​243,804​​ ​</w:t>
            </w:r>
          </w:p>
        </w:tc>
        <w:tc>
          <w:tcPr>
            <w:tcW w:w="420" w:type="dxa"/>
            <w:vAlign w:val="bottom"/>
            <w:tcBorders>
              <w:top w:val="single" w:sz="8" w:color="666666"/>
              <w:bottom w:val="single" w:sz="8" w:color="auto"/>
            </w:tcBorders>
            <w:shd w:val="clear" w:color="auto" w:fill="CCCCCC"/>
          </w:tcPr>
          <w:p>
            <w:pPr>
              <w:ind w:left="3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666666"/>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568,878​​ ​</w:t>
            </w:r>
          </w:p>
        </w:tc>
        <w:tc>
          <w:tcPr>
            <w:tcW w:w="920" w:type="dxa"/>
            <w:vAlign w:val="bottom"/>
            <w:tcBorders>
              <w:top w:val="single" w:sz="8" w:color="666666"/>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  812,682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5"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2021 Awards under the 2019 EIP</w:t>
      </w:r>
    </w:p>
    <w:p>
      <w:pPr>
        <w:spacing w:after="0" w:line="114" w:lineRule="exact"/>
        <w:rPr>
          <w:sz w:val="20"/>
          <w:szCs w:val="20"/>
          <w:color w:val="auto"/>
        </w:rPr>
      </w:pPr>
    </w:p>
    <w:p>
      <w:pPr>
        <w:ind w:left="440" w:right="540"/>
        <w:spacing w:after="0" w:line="253" w:lineRule="auto"/>
        <w:rPr>
          <w:sz w:val="20"/>
          <w:szCs w:val="20"/>
          <w:color w:val="auto"/>
        </w:rPr>
      </w:pPr>
      <w:r>
        <w:rPr>
          <w:rFonts w:ascii="Arial" w:cs="Arial" w:eastAsia="Arial" w:hAnsi="Arial"/>
          <w:sz w:val="18"/>
          <w:szCs w:val="18"/>
          <w:color w:val="auto"/>
        </w:rPr>
        <w:t>In January 2021, the Committee approved long-term equity incentive awards to our NEOs comprising time-based and performance-based long-term incentives as follows:</w:t>
      </w:r>
    </w:p>
    <w:p>
      <w:pPr>
        <w:ind w:left="880" w:right="40" w:hanging="226"/>
        <w:spacing w:after="0" w:line="250" w:lineRule="auto"/>
        <w:tabs>
          <w:tab w:leader="none" w:pos="880" w:val="left"/>
        </w:tabs>
        <w:numPr>
          <w:ilvl w:val="0"/>
          <w:numId w:val="40"/>
        </w:numPr>
        <w:rPr>
          <w:rFonts w:ascii="Arial" w:cs="Arial" w:eastAsia="Arial" w:hAnsi="Arial"/>
          <w:sz w:val="18"/>
          <w:szCs w:val="18"/>
          <w:color w:val="BA0C2F"/>
        </w:rPr>
      </w:pPr>
      <w:r>
        <w:rPr>
          <w:rFonts w:ascii="Arial" w:cs="Arial" w:eastAsia="Arial" w:hAnsi="Arial"/>
          <w:sz w:val="18"/>
          <w:szCs w:val="18"/>
          <w:b w:val="1"/>
          <w:bCs w:val="1"/>
          <w:color w:val="auto"/>
        </w:rPr>
        <w:t xml:space="preserve">RSUs </w:t>
      </w:r>
      <w:r>
        <w:rPr>
          <w:rFonts w:ascii="Arial" w:cs="Arial" w:eastAsia="Arial" w:hAnsi="Arial"/>
          <w:sz w:val="18"/>
          <w:szCs w:val="18"/>
          <w:color w:val="auto"/>
        </w:rPr>
        <w:t>generally vest ratably, annually over a multi-year period, to promote retention and motivate our NEOs to strive</w:t>
      </w:r>
      <w:r>
        <w:rPr>
          <w:rFonts w:ascii="Arial" w:cs="Arial" w:eastAsia="Arial" w:hAnsi="Arial"/>
          <w:sz w:val="18"/>
          <w:szCs w:val="18"/>
          <w:b w:val="1"/>
          <w:bCs w:val="1"/>
          <w:color w:val="auto"/>
        </w:rPr>
        <w:t xml:space="preserve"> </w:t>
      </w:r>
      <w:r>
        <w:rPr>
          <w:rFonts w:ascii="Arial" w:cs="Arial" w:eastAsia="Arial" w:hAnsi="Arial"/>
          <w:sz w:val="18"/>
          <w:szCs w:val="18"/>
          <w:color w:val="auto"/>
        </w:rPr>
        <w:t>for share price appreciation. For 2021, on the recommendation and suggestion of LB&amp;Co., the Committee and the Board approved issuing awards that vest ratably, annually over a two-year period. In determining to use a two-year period, the Committee and the Board considered the transitional state of the Company following its emergence from bankruptcy, the change in executive management, our shares being listed over-the-counter at the time of grant, the limited trading liquidity and volatility in our share price, and the Company’s desire to list on a national stock exchange if and when deemed appropriate by the Board and when market factors indicated it would be beneficial to the Company’s shareholders to do so. Holders of RSUs do not have voting rights until delivery of the underlying shares.</w:t>
      </w:r>
    </w:p>
    <w:p>
      <w:pPr>
        <w:spacing w:after="0" w:line="3" w:lineRule="exact"/>
        <w:rPr>
          <w:rFonts w:ascii="Arial" w:cs="Arial" w:eastAsia="Arial" w:hAnsi="Arial"/>
          <w:sz w:val="18"/>
          <w:szCs w:val="18"/>
          <w:color w:val="BA0C2F"/>
        </w:rPr>
      </w:pPr>
    </w:p>
    <w:p>
      <w:pPr>
        <w:jc w:val="both"/>
        <w:ind w:left="880" w:right="60" w:hanging="226"/>
        <w:spacing w:after="0" w:line="265" w:lineRule="auto"/>
        <w:tabs>
          <w:tab w:leader="none" w:pos="880" w:val="left"/>
        </w:tabs>
        <w:numPr>
          <w:ilvl w:val="0"/>
          <w:numId w:val="40"/>
        </w:numPr>
        <w:rPr>
          <w:rFonts w:ascii="Arial" w:cs="Arial" w:eastAsia="Arial" w:hAnsi="Arial"/>
          <w:sz w:val="17"/>
          <w:szCs w:val="17"/>
          <w:color w:val="BA0C2F"/>
        </w:rPr>
      </w:pPr>
      <w:r>
        <w:rPr>
          <w:rFonts w:ascii="Arial" w:cs="Arial" w:eastAsia="Arial" w:hAnsi="Arial"/>
          <w:sz w:val="17"/>
          <w:szCs w:val="17"/>
          <w:b w:val="1"/>
          <w:bCs w:val="1"/>
          <w:color w:val="auto"/>
        </w:rPr>
        <w:t>Phantom RSUs</w:t>
      </w:r>
      <w:r>
        <w:rPr>
          <w:rFonts w:ascii="Arial" w:cs="Arial" w:eastAsia="Arial" w:hAnsi="Arial"/>
          <w:sz w:val="17"/>
          <w:szCs w:val="17"/>
          <w:color w:val="auto"/>
        </w:rPr>
        <w:t>, which we do not expect will be a part of our long-term incentive program beyond 2021, are similar in</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 to the RSUs discussed above in that they track in value the trading price of our shares, but have the option, to settle all in cash, all in shares, or in any combination of cash and shares at the sole discretion of the Committee.</w:t>
      </w:r>
    </w:p>
    <w:p>
      <w:pPr>
        <w:ind w:left="880" w:right="160"/>
        <w:spacing w:after="0" w:line="246" w:lineRule="auto"/>
        <w:rPr>
          <w:rFonts w:ascii="Arial" w:cs="Arial" w:eastAsia="Arial" w:hAnsi="Arial"/>
          <w:sz w:val="17"/>
          <w:szCs w:val="17"/>
          <w:color w:val="BA0C2F"/>
        </w:rPr>
      </w:pPr>
      <w:r>
        <w:rPr>
          <w:rFonts w:ascii="Arial" w:cs="Arial" w:eastAsia="Arial" w:hAnsi="Arial"/>
          <w:sz w:val="18"/>
          <w:szCs w:val="18"/>
          <w:color w:val="auto"/>
        </w:rPr>
        <w:t>These units also vest ratably, annually over a two-year period. Holders of Phantom RSUs do not have voting rights or dividend participation rights until delivery of the underlying shares. If the Phantom RSUs are to be settled in cash, the cumulative maximum cash payout would be capped at a predetermined amount of the Phantom RSUs, and if maximum payout value is achieved any additional Phantom RSUs would be cancelled.</w:t>
      </w:r>
    </w:p>
    <w:p>
      <w:pPr>
        <w:spacing w:after="0" w:line="1" w:lineRule="exact"/>
        <w:rPr>
          <w:rFonts w:ascii="Arial" w:cs="Arial" w:eastAsia="Arial" w:hAnsi="Arial"/>
          <w:sz w:val="17"/>
          <w:szCs w:val="17"/>
          <w:color w:val="BA0C2F"/>
        </w:rPr>
      </w:pPr>
    </w:p>
    <w:p>
      <w:pPr>
        <w:ind w:left="880" w:right="120" w:hanging="226"/>
        <w:spacing w:after="0" w:line="252" w:lineRule="auto"/>
        <w:tabs>
          <w:tab w:leader="none" w:pos="880" w:val="left"/>
        </w:tabs>
        <w:numPr>
          <w:ilvl w:val="0"/>
          <w:numId w:val="40"/>
        </w:numPr>
        <w:rPr>
          <w:rFonts w:ascii="Arial" w:cs="Arial" w:eastAsia="Arial" w:hAnsi="Arial"/>
          <w:sz w:val="18"/>
          <w:szCs w:val="18"/>
          <w:color w:val="BA0C2F"/>
        </w:rPr>
      </w:pPr>
      <w:r>
        <w:rPr>
          <w:rFonts w:ascii="Arial" w:cs="Arial" w:eastAsia="Arial" w:hAnsi="Arial"/>
          <w:sz w:val="18"/>
          <w:szCs w:val="18"/>
          <w:b w:val="1"/>
          <w:bCs w:val="1"/>
          <w:color w:val="auto"/>
        </w:rPr>
        <w:t xml:space="preserve">PSUs </w:t>
      </w:r>
      <w:r>
        <w:rPr>
          <w:rFonts w:ascii="Arial" w:cs="Arial" w:eastAsia="Arial" w:hAnsi="Arial"/>
          <w:sz w:val="18"/>
          <w:szCs w:val="18"/>
          <w:color w:val="auto"/>
        </w:rPr>
        <w:t>are generally the largest portion of our NEO’s long-term incentive and cliff-vest at the conclusion of a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based on the achievement of certain specified performance targets. Following a similar methodology as was used for the RSUs and Phantom RSUs, in 2021 the Committee and the Board approved the grant of PSUs that vest following the completion of a two-year performance period ending December 31, 2022. The PSUs are based on achievement of specified levels of EBITDA Percentage and Operating Cash Flow Conversion, each equally weighted. The PSUs earned may range from 0% of the target number of units in the event that thresholds levels are not achieved and could vest at up to 200% of the target number of units for maximum performance achievement.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target number of long-term equity incentive awards granted to our NEOs in 2021 are shown below:</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322"/>
        </w:trPr>
        <w:tc>
          <w:tcPr>
            <w:tcW w:w="412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5680" w:type="dxa"/>
            <w:vAlign w:val="bottom"/>
            <w:tcBorders>
              <w:bottom w:val="single" w:sz="8" w:color="auto"/>
            </w:tcBorders>
            <w:gridSpan w:val="2"/>
            <w:shd w:val="clear" w:color="auto" w:fill="BA0C2F"/>
          </w:tcPr>
          <w:p>
            <w:pPr>
              <w:ind w:left="2040"/>
              <w:spacing w:after="0"/>
              <w:rPr>
                <w:sz w:val="20"/>
                <w:szCs w:val="20"/>
                <w:color w:val="auto"/>
              </w:rPr>
            </w:pPr>
            <w:r>
              <w:rPr>
                <w:rFonts w:ascii="Arial" w:cs="Arial" w:eastAsia="Arial" w:hAnsi="Arial"/>
                <w:sz w:val="28"/>
                <w:szCs w:val="28"/>
                <w:color w:val="FFFFFF"/>
                <w:vertAlign w:val="subscript"/>
              </w:rPr>
              <w:t>​ ​</w:t>
            </w:r>
            <w:r>
              <w:rPr>
                <w:rFonts w:ascii="Arial" w:cs="Arial" w:eastAsia="Arial" w:hAnsi="Arial"/>
                <w:sz w:val="14"/>
                <w:szCs w:val="14"/>
                <w:color w:val="FFFFFF"/>
              </w:rPr>
              <w:t xml:space="preserve">  RSUs   </w:t>
            </w:r>
            <w:r>
              <w:rPr>
                <w:rFonts w:ascii="Arial" w:cs="Arial" w:eastAsia="Arial" w:hAnsi="Arial"/>
                <w:sz w:val="28"/>
                <w:szCs w:val="28"/>
                <w:color w:val="FFFFFF"/>
                <w:vertAlign w:val="subscript"/>
              </w:rPr>
              <w:t>​ ​</w:t>
            </w:r>
            <w:r>
              <w:rPr>
                <w:rFonts w:ascii="Arial" w:cs="Arial" w:eastAsia="Arial" w:hAnsi="Arial"/>
                <w:sz w:val="14"/>
                <w:szCs w:val="14"/>
                <w:color w:val="FFFFFF"/>
              </w:rPr>
              <w:t xml:space="preserve">Phantom RSUs </w:t>
            </w:r>
            <w:r>
              <w:rPr>
                <w:rFonts w:ascii="Arial" w:cs="Arial" w:eastAsia="Arial" w:hAnsi="Arial"/>
                <w:sz w:val="28"/>
                <w:szCs w:val="28"/>
                <w:color w:val="FFFFFF"/>
                <w:vertAlign w:val="subscript"/>
              </w:rPr>
              <w:t>​ ​</w:t>
            </w:r>
            <w:r>
              <w:rPr>
                <w:rFonts w:ascii="Arial" w:cs="Arial" w:eastAsia="Arial" w:hAnsi="Arial"/>
                <w:sz w:val="14"/>
                <w:szCs w:val="14"/>
                <w:color w:val="FFFFFF"/>
              </w:rPr>
              <w:t xml:space="preserve">  PSUs   </w:t>
            </w:r>
            <w:r>
              <w:rPr>
                <w:rFonts w:ascii="Arial" w:cs="Arial" w:eastAsia="Arial" w:hAnsi="Arial"/>
                <w:sz w:val="28"/>
                <w:szCs w:val="28"/>
                <w:color w:val="FFFFFF"/>
                <w:vertAlign w:val="subscript"/>
              </w:rPr>
              <w:t>​ ​</w:t>
            </w:r>
            <w:r>
              <w:rPr>
                <w:rFonts w:ascii="Arial" w:cs="Arial" w:eastAsia="Arial" w:hAnsi="Arial"/>
                <w:sz w:val="14"/>
                <w:szCs w:val="14"/>
                <w:color w:val="FFFFFF"/>
              </w:rPr>
              <w:t xml:space="preserve">   Total</w:t>
            </w:r>
          </w:p>
        </w:tc>
        <w:tc>
          <w:tcPr>
            <w:tcW w:w="40" w:type="dxa"/>
            <w:vAlign w:val="bottom"/>
          </w:tcPr>
          <w:p>
            <w:pPr>
              <w:jc w:val="right"/>
              <w:spacing w:after="0"/>
              <w:rPr>
                <w:sz w:val="20"/>
                <w:szCs w:val="20"/>
                <w:color w:val="auto"/>
              </w:rPr>
            </w:pPr>
            <w:r>
              <w:rPr>
                <w:rFonts w:ascii="Arial" w:cs="Arial" w:eastAsia="Arial" w:hAnsi="Arial"/>
                <w:sz w:val="14"/>
                <w:szCs w:val="14"/>
                <w:color w:val="FFFFFF"/>
              </w:rPr>
              <w:t>​</w:t>
            </w:r>
          </w:p>
        </w:tc>
      </w:tr>
      <w:tr>
        <w:trPr>
          <w:trHeight w:val="237"/>
        </w:trPr>
        <w:tc>
          <w:tcPr>
            <w:tcW w:w="412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3240" w:type="dxa"/>
            <w:vAlign w:val="bottom"/>
            <w:tcBorders>
              <w:bottom w:val="single" w:sz="8" w:color="666666"/>
            </w:tcBorders>
            <w:shd w:val="clear" w:color="auto" w:fill="CCCCCC"/>
          </w:tcPr>
          <w:p>
            <w:pPr>
              <w:ind w:left="2040"/>
              <w:spacing w:after="0"/>
              <w:rPr>
                <w:sz w:val="20"/>
                <w:szCs w:val="20"/>
                <w:color w:val="auto"/>
              </w:rPr>
            </w:pPr>
            <w:r>
              <w:rPr>
                <w:rFonts w:ascii="Arial" w:cs="Arial" w:eastAsia="Arial" w:hAnsi="Arial"/>
                <w:sz w:val="18"/>
                <w:szCs w:val="18"/>
                <w:color w:val="auto"/>
              </w:rPr>
              <w:t>​ ​​249,852​​ ​</w:t>
            </w:r>
          </w:p>
        </w:tc>
        <w:tc>
          <w:tcPr>
            <w:tcW w:w="2440" w:type="dxa"/>
            <w:vAlign w:val="bottom"/>
            <w:tcBorders>
              <w:bottom w:val="single" w:sz="8" w:color="666666"/>
            </w:tcBorders>
            <w:shd w:val="clear" w:color="auto" w:fill="CCCCCC"/>
          </w:tcPr>
          <w:p>
            <w:pPr>
              <w:ind w:left="220"/>
              <w:spacing w:after="0"/>
              <w:rPr>
                <w:sz w:val="20"/>
                <w:szCs w:val="20"/>
                <w:color w:val="auto"/>
              </w:rPr>
            </w:pPr>
            <w:r>
              <w:rPr>
                <w:rFonts w:ascii="Arial" w:cs="Arial" w:eastAsia="Arial" w:hAnsi="Arial"/>
                <w:sz w:val="18"/>
                <w:szCs w:val="18"/>
                <w:color w:val="auto"/>
              </w:rPr>
              <w:t>​61,084​​ ​​499,703​​ ​​810,639</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120" w:type="dxa"/>
            <w:vAlign w:val="bottom"/>
          </w:tcPr>
          <w:p>
            <w:pPr>
              <w:spacing w:after="0"/>
              <w:rPr>
                <w:sz w:val="20"/>
                <w:szCs w:val="20"/>
                <w:color w:val="auto"/>
              </w:rPr>
            </w:pPr>
            <w:r>
              <w:rPr>
                <w:rFonts w:ascii="Arial" w:cs="Arial" w:eastAsia="Arial" w:hAnsi="Arial"/>
                <w:sz w:val="18"/>
                <w:szCs w:val="18"/>
                <w:color w:val="auto"/>
              </w:rPr>
              <w:t>H. Keith Jennings</w:t>
            </w:r>
          </w:p>
        </w:tc>
        <w:tc>
          <w:tcPr>
            <w:tcW w:w="3240" w:type="dxa"/>
            <w:vAlign w:val="bottom"/>
          </w:tcPr>
          <w:p>
            <w:pPr>
              <w:ind w:left="2040"/>
              <w:spacing w:after="0"/>
              <w:rPr>
                <w:sz w:val="20"/>
                <w:szCs w:val="20"/>
                <w:color w:val="auto"/>
              </w:rPr>
            </w:pPr>
            <w:r>
              <w:rPr>
                <w:rFonts w:ascii="Arial" w:cs="Arial" w:eastAsia="Arial" w:hAnsi="Arial"/>
                <w:sz w:val="18"/>
                <w:szCs w:val="18"/>
                <w:color w:val="auto"/>
              </w:rPr>
              <w:t>​ ​​115,796​​ ​</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​56,620​​ ​​192,993​​ ​​365,409​</w:t>
            </w:r>
          </w:p>
        </w:tc>
      </w:tr>
      <w:tr>
        <w:trPr>
          <w:trHeight w:val="264"/>
        </w:trPr>
        <w:tc>
          <w:tcPr>
            <w:tcW w:w="4120" w:type="dxa"/>
            <w:vAlign w:val="bottom"/>
            <w:tcBorders>
              <w:top w:val="single" w:sz="8" w:color="666666"/>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Scott C. Weatherholt</w:t>
            </w:r>
            <w:r>
              <w:rPr>
                <w:rFonts w:ascii="Arial" w:cs="Arial" w:eastAsia="Arial" w:hAnsi="Arial"/>
                <w:sz w:val="23"/>
                <w:szCs w:val="23"/>
                <w:color w:val="auto"/>
                <w:vertAlign w:val="superscript"/>
              </w:rPr>
              <w:t>(1)</w:t>
            </w:r>
          </w:p>
        </w:tc>
        <w:tc>
          <w:tcPr>
            <w:tcW w:w="3240" w:type="dxa"/>
            <w:vAlign w:val="bottom"/>
            <w:tcBorders>
              <w:top w:val="single" w:sz="8" w:color="666666"/>
              <w:bottom w:val="single" w:sz="8" w:color="666666"/>
            </w:tcBorders>
            <w:shd w:val="clear" w:color="auto" w:fill="CCCCCC"/>
          </w:tcPr>
          <w:p>
            <w:pPr>
              <w:ind w:left="2040"/>
              <w:spacing w:after="0"/>
              <w:rPr>
                <w:sz w:val="20"/>
                <w:szCs w:val="20"/>
                <w:color w:val="auto"/>
              </w:rPr>
            </w:pPr>
            <w:r>
              <w:rPr>
                <w:rFonts w:ascii="Arial" w:cs="Arial" w:eastAsia="Arial" w:hAnsi="Arial"/>
                <w:sz w:val="18"/>
                <w:szCs w:val="18"/>
                <w:color w:val="auto"/>
              </w:rPr>
              <w:t>​ ​​ 71,170​​ ​</w:t>
            </w:r>
          </w:p>
        </w:tc>
        <w:tc>
          <w:tcPr>
            <w:tcW w:w="2440" w:type="dxa"/>
            <w:vAlign w:val="bottom"/>
            <w:tcBorders>
              <w:top w:val="single" w:sz="8" w:color="666666"/>
              <w:bottom w:val="single" w:sz="8" w:color="666666"/>
            </w:tcBorders>
            <w:shd w:val="clear" w:color="auto" w:fill="CCCCCC"/>
          </w:tcPr>
          <w:p>
            <w:pPr>
              <w:ind w:left="220"/>
              <w:spacing w:after="0"/>
              <w:rPr>
                <w:sz w:val="20"/>
                <w:szCs w:val="20"/>
                <w:color w:val="auto"/>
              </w:rPr>
            </w:pPr>
            <w:r>
              <w:rPr>
                <w:rFonts w:ascii="Arial" w:cs="Arial" w:eastAsia="Arial" w:hAnsi="Arial"/>
                <w:sz w:val="18"/>
                <w:szCs w:val="18"/>
                <w:color w:val="auto"/>
              </w:rPr>
              <w:t>​34,800​​ ​​118,616​​ ​​224,586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Joseph H. Mongrain</w:t>
            </w:r>
          </w:p>
        </w:tc>
        <w:tc>
          <w:tcPr>
            <w:tcW w:w="3240" w:type="dxa"/>
            <w:vAlign w:val="bottom"/>
          </w:tcPr>
          <w:p>
            <w:pPr>
              <w:ind w:left="2040"/>
              <w:spacing w:after="0"/>
              <w:rPr>
                <w:sz w:val="20"/>
                <w:szCs w:val="20"/>
                <w:color w:val="auto"/>
              </w:rPr>
            </w:pPr>
            <w:r>
              <w:rPr>
                <w:rFonts w:ascii="Arial" w:cs="Arial" w:eastAsia="Arial" w:hAnsi="Arial"/>
                <w:sz w:val="18"/>
                <w:szCs w:val="18"/>
                <w:color w:val="auto"/>
              </w:rPr>
              <w:t>​ ​​ 45,131​​ ​</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​33,101​​ ​​ 22,565​​ ​​100,797​</w:t>
            </w:r>
          </w:p>
        </w:tc>
      </w:tr>
      <w:tr>
        <w:trPr>
          <w:trHeight w:val="250"/>
        </w:trPr>
        <w:tc>
          <w:tcPr>
            <w:tcW w:w="4120" w:type="dxa"/>
            <w:vAlign w:val="bottom"/>
            <w:tcBorders>
              <w:top w:val="single" w:sz="8" w:color="666666"/>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Desmond J. Mills</w:t>
            </w:r>
          </w:p>
        </w:tc>
        <w:tc>
          <w:tcPr>
            <w:tcW w:w="3240" w:type="dxa"/>
            <w:vAlign w:val="bottom"/>
            <w:tcBorders>
              <w:top w:val="single" w:sz="8" w:color="666666"/>
              <w:bottom w:val="single" w:sz="8" w:color="auto"/>
            </w:tcBorders>
            <w:shd w:val="clear" w:color="auto" w:fill="CCCCCC"/>
          </w:tcPr>
          <w:p>
            <w:pPr>
              <w:ind w:left="2040"/>
              <w:spacing w:after="0"/>
              <w:rPr>
                <w:sz w:val="20"/>
                <w:szCs w:val="20"/>
                <w:color w:val="auto"/>
              </w:rPr>
            </w:pPr>
            <w:r>
              <w:rPr>
                <w:rFonts w:ascii="Arial" w:cs="Arial" w:eastAsia="Arial" w:hAnsi="Arial"/>
                <w:sz w:val="18"/>
                <w:szCs w:val="18"/>
                <w:color w:val="auto"/>
              </w:rPr>
              <w:t>​ ​​ 30,879​​ ​</w:t>
            </w:r>
          </w:p>
        </w:tc>
        <w:tc>
          <w:tcPr>
            <w:tcW w:w="2440" w:type="dxa"/>
            <w:vAlign w:val="bottom"/>
            <w:tcBorders>
              <w:top w:val="single" w:sz="8" w:color="666666"/>
              <w:bottom w:val="single" w:sz="8" w:color="auto"/>
            </w:tcBorders>
            <w:shd w:val="clear" w:color="auto" w:fill="CCCCCC"/>
          </w:tcPr>
          <w:p>
            <w:pPr>
              <w:ind w:left="220"/>
              <w:spacing w:after="0"/>
              <w:rPr>
                <w:sz w:val="20"/>
                <w:szCs w:val="20"/>
                <w:color w:val="auto"/>
              </w:rPr>
            </w:pPr>
            <w:r>
              <w:rPr>
                <w:rFonts w:ascii="Arial" w:cs="Arial" w:eastAsia="Arial" w:hAnsi="Arial"/>
                <w:sz w:val="18"/>
                <w:szCs w:val="18"/>
                <w:color w:val="auto"/>
              </w:rPr>
              <w:t>​22,648​​ ​​ 15,439​​ ​​ 68,966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ind w:left="800" w:right="120" w:hanging="362"/>
        <w:spacing w:after="0" w:line="212" w:lineRule="auto"/>
        <w:tabs>
          <w:tab w:leader="none" w:pos="800" w:val="left"/>
        </w:tabs>
        <w:numPr>
          <w:ilvl w:val="0"/>
          <w:numId w:val="41"/>
        </w:numPr>
        <w:rPr>
          <w:rFonts w:ascii="Arial" w:cs="Arial" w:eastAsia="Arial" w:hAnsi="Arial"/>
          <w:sz w:val="22"/>
          <w:szCs w:val="22"/>
          <w:color w:val="BA0C2F"/>
          <w:vertAlign w:val="superscript"/>
        </w:rPr>
      </w:pPr>
      <w:r>
        <w:rPr>
          <w:rFonts w:ascii="Arial" w:cs="Arial" w:eastAsia="Arial" w:hAnsi="Arial"/>
          <w:sz w:val="14"/>
          <w:szCs w:val="14"/>
          <w:color w:val="auto"/>
        </w:rPr>
        <w:t>Does not include a one-time RSU award granted to Mr. Weatherholt for his expanded responsibilities as our Interim Chief Human Resources Officer. See Grants of Plan Based Awards Table.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Weatherford Accelerating Growth &amp; Efficiency Program</w:t>
      </w:r>
    </w:p>
    <w:p>
      <w:pPr>
        <w:spacing w:after="0" w:line="114" w:lineRule="exact"/>
        <w:rPr>
          <w:sz w:val="20"/>
          <w:szCs w:val="20"/>
          <w:color w:val="auto"/>
        </w:rPr>
      </w:pPr>
    </w:p>
    <w:p>
      <w:pPr>
        <w:ind w:left="440" w:right="140"/>
        <w:spacing w:after="0" w:line="246" w:lineRule="auto"/>
        <w:rPr>
          <w:sz w:val="20"/>
          <w:szCs w:val="20"/>
          <w:color w:val="auto"/>
        </w:rPr>
      </w:pPr>
      <w:r>
        <w:rPr>
          <w:rFonts w:ascii="Arial" w:cs="Arial" w:eastAsia="Arial" w:hAnsi="Arial"/>
          <w:sz w:val="18"/>
          <w:szCs w:val="18"/>
          <w:color w:val="auto"/>
        </w:rPr>
        <w:t>As Weatherford continues to grow and purposefully strides forward on our journey to deliver value to our shareholders, alignment among our management team and our shareholders’ interests is vitally important. In October 2021, to help incentivize and achieve this goal, the Board approved the implementation of the WAGE Program. The WAGE Program is intended to motivate key executives and employees who have critical roles and significant influence on the expected improvement in Company operations over the next few years. Awards granted under the WAGE Program are in the form of PSUs which are earned only upon the sustained achievement of certain share price targets that must be reached within a three-year period which ends on December 31, 2024, with such earned shares cliff vesting at the end of the three-year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123190</wp:posOffset>
            </wp:positionV>
            <wp:extent cx="6231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6"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right="200"/>
        <w:spacing w:after="0" w:line="257" w:lineRule="auto"/>
        <w:rPr>
          <w:sz w:val="20"/>
          <w:szCs w:val="20"/>
          <w:color w:val="auto"/>
        </w:rPr>
      </w:pPr>
      <w:r>
        <w:rPr>
          <w:rFonts w:ascii="Arial" w:cs="Arial" w:eastAsia="Arial" w:hAnsi="Arial"/>
          <w:sz w:val="18"/>
          <w:szCs w:val="18"/>
          <w:color w:val="auto"/>
        </w:rPr>
        <w:t>performance period. The WAGE Program PSUs may vest at threshold or target, however there is no ability for the number of units to exceed the target number of units on this one-time award. The underlying metrics are competitively sensitive information; therefore, they will be disclosed only in our future SEC disclosures as the performance period is completed. Further, in order to be eligible to vest, participants must remain employed by the Company through the end of 2024, and there will be no prorated vesting for employees who leave the Company for any reason during the first two years of the performance period.</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long-term equity incentive awards granted in the one-time WAGE Program to our NEOs are shown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520" w:type="dxa"/>
            <w:vAlign w:val="bottom"/>
            <w:shd w:val="clear" w:color="auto" w:fill="BA0C2F"/>
          </w:tcPr>
          <w:p>
            <w:pPr>
              <w:spacing w:after="0"/>
              <w:rPr>
                <w:sz w:val="20"/>
                <w:szCs w:val="20"/>
                <w:color w:val="auto"/>
              </w:rPr>
            </w:pPr>
          </w:p>
        </w:tc>
        <w:tc>
          <w:tcPr>
            <w:tcW w:w="3700" w:type="dxa"/>
            <w:vAlign w:val="bottom"/>
            <w:shd w:val="clear" w:color="auto" w:fill="BA0C2F"/>
          </w:tcPr>
          <w:p>
            <w:pPr>
              <w:spacing w:after="0"/>
              <w:rPr>
                <w:sz w:val="20"/>
                <w:szCs w:val="20"/>
                <w:color w:val="auto"/>
              </w:rPr>
            </w:pPr>
          </w:p>
        </w:tc>
        <w:tc>
          <w:tcPr>
            <w:tcW w:w="580" w:type="dxa"/>
            <w:vAlign w:val="bottom"/>
            <w:shd w:val="clear" w:color="auto" w:fill="BA0C2F"/>
          </w:tcPr>
          <w:p>
            <w:pPr>
              <w:ind w:left="40"/>
              <w:spacing w:after="0"/>
              <w:rPr>
                <w:sz w:val="20"/>
                <w:szCs w:val="20"/>
                <w:color w:val="auto"/>
              </w:rPr>
            </w:pPr>
            <w:r>
              <w:rPr>
                <w:rFonts w:ascii="Arial" w:cs="Arial" w:eastAsia="Arial" w:hAnsi="Arial"/>
                <w:sz w:val="14"/>
                <w:szCs w:val="14"/>
                <w:color w:val="FFFFFF"/>
              </w:rPr>
              <w:t>PSUs</w:t>
            </w:r>
          </w:p>
        </w:tc>
        <w:tc>
          <w:tcPr>
            <w:tcW w:w="40" w:type="dxa"/>
            <w:vAlign w:val="bottom"/>
          </w:tcPr>
          <w:p>
            <w:pPr>
              <w:spacing w:after="0"/>
              <w:rPr>
                <w:sz w:val="20"/>
                <w:szCs w:val="20"/>
                <w:color w:val="auto"/>
              </w:rPr>
            </w:pPr>
          </w:p>
        </w:tc>
      </w:tr>
      <w:tr>
        <w:trPr>
          <w:trHeight w:val="198"/>
        </w:trPr>
        <w:tc>
          <w:tcPr>
            <w:tcW w:w="552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Executive</w:t>
            </w:r>
          </w:p>
        </w:tc>
        <w:tc>
          <w:tcPr>
            <w:tcW w:w="4280" w:type="dxa"/>
            <w:vAlign w:val="bottom"/>
            <w:tcBorders>
              <w:bottom w:val="single" w:sz="8" w:color="auto"/>
            </w:tcBorders>
            <w:gridSpan w:val="2"/>
            <w:shd w:val="clear" w:color="auto" w:fill="BA0C2F"/>
          </w:tcPr>
          <w:p>
            <w:pPr>
              <w:ind w:left="3440"/>
              <w:spacing w:after="0" w:line="199" w:lineRule="exact"/>
              <w:rPr>
                <w:sz w:val="20"/>
                <w:szCs w:val="20"/>
                <w:color w:val="auto"/>
              </w:rPr>
            </w:pPr>
            <w:r>
              <w:rPr>
                <w:rFonts w:ascii="Arial" w:cs="Arial" w:eastAsia="Arial" w:hAnsi="Arial"/>
                <w:sz w:val="22"/>
                <w:szCs w:val="22"/>
                <w:color w:val="FFFFFF"/>
                <w:vertAlign w:val="subscript"/>
              </w:rPr>
              <w:t>​ ​</w:t>
            </w:r>
            <w:r>
              <w:rPr>
                <w:rFonts w:ascii="Arial" w:cs="Arial" w:eastAsia="Arial" w:hAnsi="Arial"/>
                <w:sz w:val="12"/>
                <w:szCs w:val="12"/>
                <w:color w:val="FFFFFF"/>
              </w:rPr>
              <w:t xml:space="preserve"> (at Target)</w:t>
            </w:r>
          </w:p>
        </w:tc>
        <w:tc>
          <w:tcPr>
            <w:tcW w:w="40" w:type="dxa"/>
            <w:vAlign w:val="bottom"/>
          </w:tcPr>
          <w:p>
            <w:pPr>
              <w:jc w:val="right"/>
              <w:spacing w:after="0"/>
              <w:rPr>
                <w:sz w:val="20"/>
                <w:szCs w:val="20"/>
                <w:color w:val="auto"/>
              </w:rPr>
            </w:pPr>
            <w:r>
              <w:rPr>
                <w:rFonts w:ascii="Arial" w:cs="Arial" w:eastAsia="Arial" w:hAnsi="Arial"/>
                <w:sz w:val="14"/>
                <w:szCs w:val="14"/>
                <w:color w:val="FFFFFF"/>
              </w:rPr>
              <w:t>​</w:t>
            </w:r>
          </w:p>
        </w:tc>
      </w:tr>
      <w:tr>
        <w:trPr>
          <w:trHeight w:val="237"/>
        </w:trPr>
        <w:tc>
          <w:tcPr>
            <w:tcW w:w="5520" w:type="dxa"/>
            <w:vAlign w:val="bottom"/>
            <w:tcBorders>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Girishchandra K. Saligram</w:t>
            </w:r>
          </w:p>
        </w:tc>
        <w:tc>
          <w:tcPr>
            <w:tcW w:w="4280" w:type="dxa"/>
            <w:vAlign w:val="bottom"/>
            <w:tcBorders>
              <w:bottom w:val="single" w:sz="8" w:color="666666"/>
            </w:tcBorders>
            <w:gridSpan w:val="2"/>
            <w:shd w:val="clear" w:color="auto" w:fill="CCCCCC"/>
          </w:tcPr>
          <w:p>
            <w:pPr>
              <w:ind w:left="3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237,529</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Pr>
          <w:p>
            <w:pPr>
              <w:spacing w:after="0"/>
              <w:rPr>
                <w:sz w:val="20"/>
                <w:szCs w:val="20"/>
                <w:color w:val="auto"/>
              </w:rPr>
            </w:pPr>
            <w:r>
              <w:rPr>
                <w:rFonts w:ascii="Arial" w:cs="Arial" w:eastAsia="Arial" w:hAnsi="Arial"/>
                <w:sz w:val="18"/>
                <w:szCs w:val="18"/>
                <w:color w:val="auto"/>
              </w:rPr>
              <w:t>H. Keith Jennings</w:t>
            </w:r>
          </w:p>
        </w:tc>
        <w:tc>
          <w:tcPr>
            <w:tcW w:w="3700" w:type="dxa"/>
            <w:vAlign w:val="bottom"/>
          </w:tcPr>
          <w:p>
            <w:pPr>
              <w:ind w:left="3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95,011​</w:t>
            </w:r>
          </w:p>
        </w:tc>
      </w:tr>
      <w:tr>
        <w:trPr>
          <w:trHeight w:val="250"/>
        </w:trPr>
        <w:tc>
          <w:tcPr>
            <w:tcW w:w="5520" w:type="dxa"/>
            <w:vAlign w:val="bottom"/>
            <w:tcBorders>
              <w:top w:val="single" w:sz="8" w:color="666666"/>
              <w:bottom w:val="single" w:sz="8" w:color="666666"/>
            </w:tcBorders>
            <w:shd w:val="clear" w:color="auto" w:fill="CCCCCC"/>
          </w:tcPr>
          <w:p>
            <w:pPr>
              <w:spacing w:after="0"/>
              <w:rPr>
                <w:sz w:val="20"/>
                <w:szCs w:val="20"/>
                <w:color w:val="auto"/>
              </w:rPr>
            </w:pPr>
            <w:r>
              <w:rPr>
                <w:rFonts w:ascii="Arial" w:cs="Arial" w:eastAsia="Arial" w:hAnsi="Arial"/>
                <w:sz w:val="18"/>
                <w:szCs w:val="18"/>
                <w:color w:val="auto"/>
              </w:rPr>
              <w:t>Scott C. Weatherholt</w:t>
            </w:r>
          </w:p>
        </w:tc>
        <w:tc>
          <w:tcPr>
            <w:tcW w:w="3700" w:type="dxa"/>
            <w:vAlign w:val="bottom"/>
            <w:tcBorders>
              <w:top w:val="single" w:sz="8" w:color="666666"/>
              <w:bottom w:val="single" w:sz="8" w:color="666666"/>
            </w:tcBorders>
            <w:shd w:val="clear" w:color="auto" w:fill="CCCCCC"/>
          </w:tcPr>
          <w:p>
            <w:pPr>
              <w:ind w:left="3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580" w:type="dxa"/>
            <w:vAlign w:val="bottom"/>
            <w:tcBorders>
              <w:top w:val="single" w:sz="8" w:color="666666"/>
              <w:bottom w:val="single" w:sz="8" w:color="666666"/>
            </w:tcBorders>
            <w:shd w:val="clear" w:color="auto" w:fill="CCCCCC"/>
          </w:tcPr>
          <w:p>
            <w:pPr>
              <w:ind w:left="20"/>
              <w:spacing w:after="0"/>
              <w:rPr>
                <w:sz w:val="20"/>
                <w:szCs w:val="20"/>
                <w:color w:val="auto"/>
              </w:rPr>
            </w:pPr>
            <w:r>
              <w:rPr>
                <w:rFonts w:ascii="Arial" w:cs="Arial" w:eastAsia="Arial" w:hAnsi="Arial"/>
                <w:sz w:val="18"/>
                <w:szCs w:val="18"/>
                <w:color w:val="auto"/>
                <w:w w:val="98"/>
              </w:rPr>
              <w:t>60,570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Pr>
          <w:p>
            <w:pPr>
              <w:spacing w:after="0"/>
              <w:rPr>
                <w:sz w:val="20"/>
                <w:szCs w:val="20"/>
                <w:color w:val="auto"/>
              </w:rPr>
            </w:pPr>
            <w:r>
              <w:rPr>
                <w:rFonts w:ascii="Arial" w:cs="Arial" w:eastAsia="Arial" w:hAnsi="Arial"/>
                <w:sz w:val="18"/>
                <w:szCs w:val="18"/>
                <w:color w:val="auto"/>
              </w:rPr>
              <w:t>Joseph H. Mongrain</w:t>
            </w:r>
          </w:p>
        </w:tc>
        <w:tc>
          <w:tcPr>
            <w:tcW w:w="3700" w:type="dxa"/>
            <w:vAlign w:val="bottom"/>
          </w:tcPr>
          <w:p>
            <w:pPr>
              <w:ind w:left="3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27,790​</w:t>
            </w:r>
          </w:p>
        </w:tc>
      </w:tr>
      <w:tr>
        <w:trPr>
          <w:trHeight w:val="250"/>
        </w:trPr>
        <w:tc>
          <w:tcPr>
            <w:tcW w:w="5520" w:type="dxa"/>
            <w:vAlign w:val="bottom"/>
            <w:tcBorders>
              <w:top w:val="single" w:sz="8" w:color="666666"/>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Desmond J. Mills</w:t>
            </w:r>
          </w:p>
        </w:tc>
        <w:tc>
          <w:tcPr>
            <w:tcW w:w="3700" w:type="dxa"/>
            <w:vAlign w:val="bottom"/>
            <w:tcBorders>
              <w:top w:val="single" w:sz="8" w:color="666666"/>
              <w:bottom w:val="single" w:sz="8" w:color="auto"/>
            </w:tcBorders>
            <w:shd w:val="clear" w:color="auto" w:fill="CCCCCC"/>
          </w:tcPr>
          <w:p>
            <w:pPr>
              <w:ind w:left="3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580" w:type="dxa"/>
            <w:vAlign w:val="bottom"/>
            <w:tcBorders>
              <w:top w:val="single" w:sz="8" w:color="666666"/>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17,102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SHAREHOLDER OUTREACH AND RESULTS</w:t>
      </w:r>
    </w:p>
    <w:p>
      <w:pPr>
        <w:spacing w:after="0" w:line="124" w:lineRule="exact"/>
        <w:rPr>
          <w:sz w:val="20"/>
          <w:szCs w:val="20"/>
          <w:color w:val="auto"/>
        </w:rPr>
      </w:pPr>
    </w:p>
    <w:p>
      <w:pPr>
        <w:ind w:left="440" w:right="260"/>
        <w:spacing w:after="0" w:line="262" w:lineRule="auto"/>
        <w:rPr>
          <w:sz w:val="20"/>
          <w:szCs w:val="20"/>
          <w:color w:val="auto"/>
        </w:rPr>
      </w:pPr>
      <w:r>
        <w:rPr>
          <w:rFonts w:ascii="Arial" w:cs="Arial" w:eastAsia="Arial" w:hAnsi="Arial"/>
          <w:sz w:val="18"/>
          <w:szCs w:val="18"/>
          <w:color w:val="auto"/>
        </w:rPr>
        <w:t>We engage in regular dialogue with our shareholders and potential investors to gain valuable insights into the issues they care most about. Shareholder feedback on subjects including our operational performance, capital structure, executive compensation, energy transition, and other matters have been shared with us and we take these comments under advisement. The results of our discussions are generally reported to the Board and to the applicable Committees.</w:t>
      </w:r>
    </w:p>
    <w:p>
      <w:pPr>
        <w:spacing w:after="0" w:line="68" w:lineRule="exact"/>
        <w:rPr>
          <w:sz w:val="20"/>
          <w:szCs w:val="20"/>
          <w:color w:val="auto"/>
        </w:rPr>
      </w:pPr>
    </w:p>
    <w:p>
      <w:pPr>
        <w:ind w:left="440" w:right="380"/>
        <w:spacing w:after="0" w:line="262" w:lineRule="auto"/>
        <w:rPr>
          <w:sz w:val="20"/>
          <w:szCs w:val="20"/>
          <w:color w:val="auto"/>
        </w:rPr>
      </w:pPr>
      <w:r>
        <w:rPr>
          <w:rFonts w:ascii="Arial" w:cs="Arial" w:eastAsia="Arial" w:hAnsi="Arial"/>
          <w:sz w:val="18"/>
          <w:szCs w:val="18"/>
          <w:color w:val="auto"/>
        </w:rPr>
        <w:t>In addition, we consider the results of the advisory vote on executive compensation at our annual general meeting. An advisory vote on our executive compensation was most recently held at our 2020 AGM where approximately 85% of the votes cast supported our executive compensation program. We continue to engage with our shareholders regarding executive compensation and other matters and welcome further dialogue.</w:t>
      </w:r>
    </w:p>
    <w:p>
      <w:pPr>
        <w:spacing w:after="0" w:line="98" w:lineRule="exact"/>
        <w:rPr>
          <w:sz w:val="20"/>
          <w:szCs w:val="20"/>
          <w:color w:val="auto"/>
        </w:rPr>
      </w:pPr>
    </w:p>
    <w:p>
      <w:pPr>
        <w:ind w:left="440" w:right="540"/>
        <w:spacing w:after="0" w:line="271" w:lineRule="auto"/>
        <w:rPr>
          <w:sz w:val="20"/>
          <w:szCs w:val="20"/>
          <w:color w:val="auto"/>
        </w:rPr>
      </w:pPr>
      <w:r>
        <w:rPr>
          <w:rFonts w:ascii="Arial" w:cs="Arial" w:eastAsia="Arial" w:hAnsi="Arial"/>
          <w:sz w:val="42"/>
          <w:szCs w:val="42"/>
          <w:b w:val="1"/>
          <w:bCs w:val="1"/>
          <w:color w:val="7F7F7F"/>
        </w:rPr>
        <w:t>PERQUISITES AND OTHER GENERALLY AVAILABLE BENEFITS AND COMPENSATION</w:t>
      </w:r>
    </w:p>
    <w:p>
      <w:pPr>
        <w:ind w:left="440" w:right="40"/>
        <w:spacing w:after="0" w:line="256" w:lineRule="auto"/>
        <w:rPr>
          <w:sz w:val="20"/>
          <w:szCs w:val="20"/>
          <w:color w:val="auto"/>
        </w:rPr>
      </w:pPr>
      <w:r>
        <w:rPr>
          <w:rFonts w:ascii="Arial" w:cs="Arial" w:eastAsia="Arial" w:hAnsi="Arial"/>
          <w:sz w:val="18"/>
          <w:szCs w:val="18"/>
          <w:color w:val="auto"/>
        </w:rPr>
        <w:t>We provide our NEOs with limited perquisites and other personal benefits that we believe are reasonable and consistent with the practices of our peer group. The amounts of these perquisites are shown in the 2021 Summary Compensation Table and the related footnotes. Our NEOs are also eligible for Company-wide benefits on the same basis as other full-time employees. These include a 401(k) plan, and health, medical and welfare programs. Matching contributions to our 401(k) plan were reinstated on March 1, 2021 after being suspended Company-wide in 2020. We also pay life insurance premiums on behalf of the NEOs and each NEO is entitled to severance benefits under our Executive Severance Plan and our Second Amended and Restated Change in Control Severance Plan, each as described below.</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EXECUTIVE SEVERANCE PLAN</w:t>
      </w:r>
    </w:p>
    <w:p>
      <w:pPr>
        <w:spacing w:after="0" w:line="124" w:lineRule="exact"/>
        <w:rPr>
          <w:sz w:val="20"/>
          <w:szCs w:val="20"/>
          <w:color w:val="auto"/>
        </w:rPr>
      </w:pPr>
    </w:p>
    <w:p>
      <w:pPr>
        <w:jc w:val="both"/>
        <w:ind w:left="440" w:right="60"/>
        <w:spacing w:after="0" w:line="254" w:lineRule="auto"/>
        <w:rPr>
          <w:sz w:val="20"/>
          <w:szCs w:val="20"/>
          <w:color w:val="auto"/>
        </w:rPr>
      </w:pPr>
      <w:r>
        <w:rPr>
          <w:rFonts w:ascii="Arial" w:cs="Arial" w:eastAsia="Arial" w:hAnsi="Arial"/>
          <w:sz w:val="18"/>
          <w:szCs w:val="18"/>
          <w:color w:val="auto"/>
        </w:rPr>
        <w:t>The Weatherford International plc Executive Severance Plan (the “Executive Severance Plan”) as most recently adopted by the Board, covers certain executive officers selected by the Compensation and Human Resources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able to receive:</w:t>
      </w:r>
    </w:p>
    <w:p>
      <w:pPr>
        <w:spacing w:after="0" w:line="3" w:lineRule="exact"/>
        <w:rPr>
          <w:sz w:val="20"/>
          <w:szCs w:val="20"/>
          <w:color w:val="auto"/>
        </w:rPr>
      </w:pPr>
    </w:p>
    <w:p>
      <w:pPr>
        <w:ind w:left="880" w:right="300" w:hanging="226"/>
        <w:spacing w:after="0" w:line="250" w:lineRule="auto"/>
        <w:tabs>
          <w:tab w:leader="none" w:pos="880" w:val="left"/>
        </w:tabs>
        <w:numPr>
          <w:ilvl w:val="0"/>
          <w:numId w:val="42"/>
        </w:numPr>
        <w:rPr>
          <w:rFonts w:ascii="Arial" w:cs="Arial" w:eastAsia="Arial" w:hAnsi="Arial"/>
          <w:sz w:val="18"/>
          <w:szCs w:val="18"/>
          <w:color w:val="BA0C2F"/>
        </w:rPr>
      </w:pPr>
      <w:r>
        <w:rPr>
          <w:rFonts w:ascii="Arial" w:cs="Arial" w:eastAsia="Arial" w:hAnsi="Arial"/>
          <w:sz w:val="18"/>
          <w:szCs w:val="18"/>
          <w:color w:val="auto"/>
        </w:rPr>
        <w:t>an amount equal to (i) one and a half times for the CEO or (ii) one times for other participants (including Messrs. Jennings, Weatherholt, Mongrain, and Mills) the sum of (x) participant’s base salary in effect up to and including the termination date, and (y) the participant’s target bonus, and provided that the amounts in (x) and (y) shall be annualized for any period of employment that is less than one full year;</w:t>
      </w:r>
    </w:p>
    <w:p>
      <w:pPr>
        <w:spacing w:after="0" w:line="1" w:lineRule="exact"/>
        <w:rPr>
          <w:rFonts w:ascii="Arial" w:cs="Arial" w:eastAsia="Arial" w:hAnsi="Arial"/>
          <w:sz w:val="18"/>
          <w:szCs w:val="18"/>
          <w:color w:val="BA0C2F"/>
        </w:rPr>
      </w:pPr>
    </w:p>
    <w:p>
      <w:pPr>
        <w:ind w:left="880" w:hanging="226"/>
        <w:spacing w:after="0"/>
        <w:tabs>
          <w:tab w:leader="none" w:pos="880" w:val="left"/>
        </w:tabs>
        <w:numPr>
          <w:ilvl w:val="0"/>
          <w:numId w:val="42"/>
        </w:numPr>
        <w:rPr>
          <w:rFonts w:ascii="Arial" w:cs="Arial" w:eastAsia="Arial" w:hAnsi="Arial"/>
          <w:sz w:val="18"/>
          <w:szCs w:val="18"/>
          <w:color w:val="BA0C2F"/>
        </w:rPr>
      </w:pPr>
      <w:r>
        <w:rPr>
          <w:rFonts w:ascii="Arial" w:cs="Arial" w:eastAsia="Arial" w:hAnsi="Arial"/>
          <w:sz w:val="18"/>
          <w:szCs w:val="18"/>
          <w:color w:val="auto"/>
        </w:rPr>
        <w:t>a prorated target annual incentive bonus for the year of termination;</w:t>
      </w:r>
    </w:p>
    <w:p>
      <w:pPr>
        <w:spacing w:after="0" w:line="9" w:lineRule="exact"/>
        <w:rPr>
          <w:rFonts w:ascii="Arial" w:cs="Arial" w:eastAsia="Arial" w:hAnsi="Arial"/>
          <w:sz w:val="18"/>
          <w:szCs w:val="18"/>
          <w:color w:val="BA0C2F"/>
        </w:rPr>
      </w:pPr>
    </w:p>
    <w:p>
      <w:pPr>
        <w:ind w:left="880" w:right="240" w:hanging="226"/>
        <w:spacing w:after="0" w:line="250" w:lineRule="auto"/>
        <w:tabs>
          <w:tab w:leader="none" w:pos="880" w:val="left"/>
        </w:tabs>
        <w:numPr>
          <w:ilvl w:val="0"/>
          <w:numId w:val="42"/>
        </w:numPr>
        <w:rPr>
          <w:rFonts w:ascii="Arial" w:cs="Arial" w:eastAsia="Arial" w:hAnsi="Arial"/>
          <w:sz w:val="18"/>
          <w:szCs w:val="18"/>
          <w:color w:val="BA0C2F"/>
        </w:rPr>
      </w:pPr>
      <w:r>
        <w:rPr>
          <w:rFonts w:ascii="Arial" w:cs="Arial" w:eastAsia="Arial" w:hAnsi="Arial"/>
          <w:sz w:val="18"/>
          <w:szCs w:val="18"/>
          <w:color w:val="auto"/>
        </w:rPr>
        <w:t>continued health and welfare benefits for (i) one and a half years for the CEO, and (ii) one year for other participants (including Messrs. Jennings, Weatherholt, Mongrain and Mills);</w:t>
      </w:r>
    </w:p>
    <w:p>
      <w:pPr>
        <w:ind w:left="880" w:hanging="226"/>
        <w:spacing w:after="0"/>
        <w:tabs>
          <w:tab w:leader="none" w:pos="880" w:val="left"/>
        </w:tabs>
        <w:numPr>
          <w:ilvl w:val="0"/>
          <w:numId w:val="42"/>
        </w:numPr>
        <w:rPr>
          <w:rFonts w:ascii="Arial" w:cs="Arial" w:eastAsia="Arial" w:hAnsi="Arial"/>
          <w:sz w:val="18"/>
          <w:szCs w:val="18"/>
          <w:color w:val="BA0C2F"/>
        </w:rPr>
      </w:pPr>
      <w:r>
        <w:rPr>
          <w:rFonts w:ascii="Arial" w:cs="Arial" w:eastAsia="Arial" w:hAnsi="Arial"/>
          <w:sz w:val="18"/>
          <w:szCs w:val="18"/>
          <w:color w:val="auto"/>
        </w:rPr>
        <w:t>other severance required by law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134620</wp:posOffset>
            </wp:positionV>
            <wp:extent cx="6231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24" w:lineRule="exact"/>
        <w:rPr>
          <w:sz w:val="20"/>
          <w:szCs w:val="20"/>
          <w:color w:val="auto"/>
        </w:rPr>
      </w:pPr>
    </w:p>
    <w:p>
      <w:pPr>
        <w:ind w:left="720" w:hanging="282"/>
        <w:spacing w:after="0"/>
        <w:tabs>
          <w:tab w:leader="none" w:pos="720" w:val="left"/>
        </w:tabs>
        <w:numPr>
          <w:ilvl w:val="0"/>
          <w:numId w:val="4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880" w:hanging="226"/>
        <w:spacing w:after="0"/>
        <w:tabs>
          <w:tab w:leader="none" w:pos="880" w:val="left"/>
        </w:tabs>
        <w:numPr>
          <w:ilvl w:val="0"/>
          <w:numId w:val="44"/>
        </w:numPr>
        <w:rPr>
          <w:rFonts w:ascii="Arial" w:cs="Arial" w:eastAsia="Arial" w:hAnsi="Arial"/>
          <w:sz w:val="18"/>
          <w:szCs w:val="18"/>
          <w:color w:val="BA0C2F"/>
        </w:rPr>
      </w:pPr>
      <w:r>
        <w:rPr>
          <w:rFonts w:ascii="Arial" w:cs="Arial" w:eastAsia="Arial" w:hAnsi="Arial"/>
          <w:sz w:val="18"/>
          <w:szCs w:val="18"/>
          <w:color w:val="auto"/>
        </w:rPr>
        <w:t>up to six months of outplacement services; and</w:t>
      </w:r>
    </w:p>
    <w:p>
      <w:pPr>
        <w:spacing w:after="0" w:line="27" w:lineRule="exact"/>
        <w:rPr>
          <w:rFonts w:ascii="Arial" w:cs="Arial" w:eastAsia="Arial" w:hAnsi="Arial"/>
          <w:sz w:val="18"/>
          <w:szCs w:val="18"/>
          <w:color w:val="BA0C2F"/>
        </w:rPr>
      </w:pPr>
    </w:p>
    <w:p>
      <w:pPr>
        <w:ind w:left="880" w:hanging="226"/>
        <w:spacing w:after="0"/>
        <w:tabs>
          <w:tab w:leader="none" w:pos="880" w:val="left"/>
        </w:tabs>
        <w:numPr>
          <w:ilvl w:val="0"/>
          <w:numId w:val="44"/>
        </w:numPr>
        <w:rPr>
          <w:rFonts w:ascii="Arial" w:cs="Arial" w:eastAsia="Arial" w:hAnsi="Arial"/>
          <w:sz w:val="18"/>
          <w:szCs w:val="18"/>
          <w:color w:val="BA0C2F"/>
        </w:rPr>
      </w:pPr>
      <w:r>
        <w:rPr>
          <w:rFonts w:ascii="Arial" w:cs="Arial" w:eastAsia="Arial" w:hAnsi="Arial"/>
          <w:sz w:val="18"/>
          <w:szCs w:val="18"/>
          <w:color w:val="auto"/>
        </w:rPr>
        <w:t>salary and benefits accrued through the date of termination.</w:t>
      </w:r>
    </w:p>
    <w:p>
      <w:pPr>
        <w:spacing w:after="0" w:line="9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To participate in the Executive Severance Plan, participants must execute the Company’s form Confidentiality and Restrictive Covenant Agreement, which provides for a 6-month post-termination non-competition covenant, 12-month post-termination non-solicitation of employees covenant, and perpetual confidentiality and non-disparagement covenants. The receipt of such severance payments and benefits is subject to the execution and non-revocation of a release of claims by the participant.</w:t>
      </w:r>
    </w:p>
    <w:p>
      <w:pPr>
        <w:spacing w:after="0" w:line="71" w:lineRule="exact"/>
        <w:rPr>
          <w:sz w:val="20"/>
          <w:szCs w:val="20"/>
          <w:color w:val="auto"/>
        </w:rPr>
      </w:pPr>
    </w:p>
    <w:p>
      <w:pPr>
        <w:ind w:left="440" w:right="360"/>
        <w:spacing w:after="0" w:line="259" w:lineRule="auto"/>
        <w:rPr>
          <w:sz w:val="20"/>
          <w:szCs w:val="20"/>
          <w:color w:val="auto"/>
        </w:rPr>
      </w:pPr>
      <w:r>
        <w:rPr>
          <w:rFonts w:ascii="Arial" w:cs="Arial" w:eastAsia="Arial" w:hAnsi="Arial"/>
          <w:sz w:val="18"/>
          <w:szCs w:val="18"/>
          <w:color w:val="auto"/>
        </w:rPr>
        <w:t>If we are obligated by law or contract to pay certain other severance pay to a participant, then the amount of severance otherwise payable to a participant would be reduced by the amount of any such other severance actually paid to the participant, but not below zero. The amount of severance, however, would not be reduced by amounts paid under any accelerated vesting, payment or settlement of long-term cash or equity incentive awards payable in connection with a qualifying termination or similar event under the applicable plans.</w:t>
      </w:r>
    </w:p>
    <w:p>
      <w:pPr>
        <w:spacing w:after="0" w:line="71" w:lineRule="exact"/>
        <w:rPr>
          <w:sz w:val="20"/>
          <w:szCs w:val="20"/>
          <w:color w:val="auto"/>
        </w:rPr>
      </w:pPr>
    </w:p>
    <w:p>
      <w:pPr>
        <w:ind w:left="440" w:right="80"/>
        <w:spacing w:after="0" w:line="287" w:lineRule="auto"/>
        <w:rPr>
          <w:sz w:val="20"/>
          <w:szCs w:val="20"/>
          <w:color w:val="auto"/>
        </w:rPr>
      </w:pPr>
      <w:r>
        <w:rPr>
          <w:rFonts w:ascii="Arial" w:cs="Arial" w:eastAsia="Arial" w:hAnsi="Arial"/>
          <w:sz w:val="18"/>
          <w:szCs w:val="18"/>
          <w:color w:val="auto"/>
        </w:rPr>
        <w:t>The Executive Severance Plan may be found at www.weatherford.com by clicking on the “Investor Relations” section, then “Corporate Governance,” then “Corporate Documents,” then searching for “Executive Severance Plan.”</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CHANGE IN CONTROL SEVERANCE PLAN</w:t>
      </w:r>
    </w:p>
    <w:p>
      <w:pPr>
        <w:spacing w:after="0" w:line="111" w:lineRule="exact"/>
        <w:rPr>
          <w:sz w:val="20"/>
          <w:szCs w:val="20"/>
          <w:color w:val="auto"/>
        </w:rPr>
      </w:pPr>
    </w:p>
    <w:p>
      <w:pPr>
        <w:ind w:left="440" w:right="40"/>
        <w:spacing w:after="0" w:line="253" w:lineRule="auto"/>
        <w:rPr>
          <w:sz w:val="20"/>
          <w:szCs w:val="20"/>
          <w:color w:val="auto"/>
        </w:rPr>
      </w:pPr>
      <w:r>
        <w:rPr>
          <w:rFonts w:ascii="Arial" w:cs="Arial" w:eastAsia="Arial" w:hAnsi="Arial"/>
          <w:sz w:val="18"/>
          <w:szCs w:val="18"/>
          <w:color w:val="auto"/>
        </w:rPr>
        <w:t>The Second Amended and Restated Weatherford International plc Change in Control Severance Plan (the “CIC Severance Plan”) as adopted by the Board, covers certain executive officers selected by the Compensation and Human Resources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at any time following a Change in Control while the CIC Severance Plan remains in effect. Under the CIC Severance Plan, in general, a change in control will occur if (i) another person becomes the owner of 50% or more of the combined voting power of our shares, (ii) there is a change in a majority of the members of the then incumbent Board, or (iii) our shareholders approve a merger with another entity in which our shareholders fail to own more than 50% of the combined voting power of the surviving entity. Upon such termination, participants will be able to receive:</w:t>
      </w:r>
    </w:p>
    <w:p>
      <w:pPr>
        <w:spacing w:after="0" w:line="1" w:lineRule="exact"/>
        <w:rPr>
          <w:sz w:val="20"/>
          <w:szCs w:val="20"/>
          <w:color w:val="auto"/>
        </w:rPr>
      </w:pPr>
    </w:p>
    <w:p>
      <w:pPr>
        <w:ind w:left="880" w:right="180" w:hanging="226"/>
        <w:spacing w:after="0" w:line="252" w:lineRule="auto"/>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an amount equal to (i) two and a half times for the CEO, (ii) two times for participants with a title of Executive Vice President (which as of the end of 2021 included Messrs. Jennings, Weatherholt, and Mongrain), or (iii) one times for other participants (which as of the end of 2021 included Mr. Mills) the sum of (x) the higher of the participant’s base salary in effect immediately prior to the Change in Control or the rate of base salary in effect up to and including the termination date, and (y) the participant’s target bonus, and provided that the amounts in (x) and (y) shall be annualized for any period of employment that is less than one full year;</w:t>
      </w:r>
    </w:p>
    <w:p>
      <w:pPr>
        <w:ind w:left="880" w:hanging="226"/>
        <w:spacing w:after="0"/>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a prorated target annual bonus for the year of termination;</w:t>
      </w:r>
    </w:p>
    <w:p>
      <w:pPr>
        <w:spacing w:after="0" w:line="13" w:lineRule="exact"/>
        <w:rPr>
          <w:rFonts w:ascii="Arial" w:cs="Arial" w:eastAsia="Arial" w:hAnsi="Arial"/>
          <w:sz w:val="18"/>
          <w:szCs w:val="18"/>
          <w:color w:val="BA0C2F"/>
        </w:rPr>
      </w:pPr>
    </w:p>
    <w:p>
      <w:pPr>
        <w:jc w:val="both"/>
        <w:ind w:left="880" w:right="20" w:hanging="226"/>
        <w:spacing w:after="0" w:line="253" w:lineRule="auto"/>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continued health and welfare benefits for (i) two and a half years, for the CEO, (ii) two years for participants with a title of Executive Vice President (which as of the end of 2021 included Messrs. Jennings, Weatherholt and Mongrain), and (iii) one year for other participants (which as of the end of 2021 included Mr. Mills);</w:t>
      </w:r>
    </w:p>
    <w:p>
      <w:pPr>
        <w:spacing w:after="0" w:line="2" w:lineRule="exact"/>
        <w:rPr>
          <w:rFonts w:ascii="Arial" w:cs="Arial" w:eastAsia="Arial" w:hAnsi="Arial"/>
          <w:sz w:val="18"/>
          <w:szCs w:val="18"/>
          <w:color w:val="BA0C2F"/>
        </w:rPr>
      </w:pPr>
    </w:p>
    <w:p>
      <w:pPr>
        <w:ind w:left="880" w:hanging="226"/>
        <w:spacing w:after="0"/>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other severance required by law or contract;</w:t>
      </w:r>
    </w:p>
    <w:p>
      <w:pPr>
        <w:spacing w:after="0" w:line="9" w:lineRule="exact"/>
        <w:rPr>
          <w:rFonts w:ascii="Arial" w:cs="Arial" w:eastAsia="Arial" w:hAnsi="Arial"/>
          <w:sz w:val="18"/>
          <w:szCs w:val="18"/>
          <w:color w:val="BA0C2F"/>
        </w:rPr>
      </w:pPr>
    </w:p>
    <w:p>
      <w:pPr>
        <w:ind w:left="880" w:hanging="226"/>
        <w:spacing w:after="0"/>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up to six months of outplacement services; and</w:t>
      </w:r>
    </w:p>
    <w:p>
      <w:pPr>
        <w:spacing w:after="0" w:line="13" w:lineRule="exact"/>
        <w:rPr>
          <w:rFonts w:ascii="Arial" w:cs="Arial" w:eastAsia="Arial" w:hAnsi="Arial"/>
          <w:sz w:val="18"/>
          <w:szCs w:val="18"/>
          <w:color w:val="BA0C2F"/>
        </w:rPr>
      </w:pPr>
    </w:p>
    <w:p>
      <w:pPr>
        <w:ind w:left="880" w:hanging="226"/>
        <w:spacing w:after="0"/>
        <w:tabs>
          <w:tab w:leader="none" w:pos="880" w:val="left"/>
        </w:tabs>
        <w:numPr>
          <w:ilvl w:val="0"/>
          <w:numId w:val="45"/>
        </w:numPr>
        <w:rPr>
          <w:rFonts w:ascii="Arial" w:cs="Arial" w:eastAsia="Arial" w:hAnsi="Arial"/>
          <w:sz w:val="18"/>
          <w:szCs w:val="18"/>
          <w:color w:val="BA0C2F"/>
        </w:rPr>
      </w:pPr>
      <w:r>
        <w:rPr>
          <w:rFonts w:ascii="Arial" w:cs="Arial" w:eastAsia="Arial" w:hAnsi="Arial"/>
          <w:sz w:val="18"/>
          <w:szCs w:val="18"/>
          <w:color w:val="auto"/>
        </w:rPr>
        <w:t>salary and benefits accrued through the date of termination.</w:t>
      </w:r>
    </w:p>
    <w:p>
      <w:pPr>
        <w:spacing w:after="0" w:line="108"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To participate in the CIC Severance Plan, participants must execute the Company’s form Confidentiality and Restrictive Covenant Agreement, which provides for a six-month post-termination non-competition covenant, 12-month post-termination non-solicitation of employees covenant and perpetual confidentiality and non-disparagement covenants. The receipt of such severance payments and benefits is subject to the execution and non-revocation of a release of claims by the participant.</w:t>
      </w:r>
    </w:p>
    <w:p>
      <w:pPr>
        <w:spacing w:after="0" w:line="7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If we are obligated by law or contract to pay certain other severance pay to a participant, then we would reduce the amount of severance otherwise payable to the participant by the amount of any such other severance actually paid to the participant, but not below zero. However, the amount of severance would not be reduced by amounts paid under any accelerated vesting, payment or settlement of long-term cash or equity incentive awards payable in connection with a qualifying termination or similar event under the applicable plans.</w:t>
      </w:r>
    </w:p>
    <w:p>
      <w:pPr>
        <w:spacing w:after="0" w:line="71" w:lineRule="exact"/>
        <w:rPr>
          <w:sz w:val="20"/>
          <w:szCs w:val="20"/>
          <w:color w:val="auto"/>
        </w:rPr>
      </w:pPr>
    </w:p>
    <w:p>
      <w:pPr>
        <w:jc w:val="both"/>
        <w:ind w:left="440" w:right="20"/>
        <w:spacing w:after="0" w:line="268" w:lineRule="auto"/>
        <w:rPr>
          <w:sz w:val="20"/>
          <w:szCs w:val="20"/>
          <w:color w:val="auto"/>
        </w:rPr>
      </w:pPr>
      <w:r>
        <w:rPr>
          <w:rFonts w:ascii="Arial" w:cs="Arial" w:eastAsia="Arial" w:hAnsi="Arial"/>
          <w:sz w:val="18"/>
          <w:szCs w:val="18"/>
          <w:color w:val="auto"/>
        </w:rPr>
        <w:t>You may find the Second Amended and Restated Change in Control Severance Policy at www.weatherford.com by clicking on the “Investor Relations” section then “Corporate Governance,” then “Corporate Documents,” then searching for “Change in Control Severance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120015</wp:posOffset>
            </wp:positionV>
            <wp:extent cx="6231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87"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CLAWBACK POLICY</w:t>
      </w:r>
    </w:p>
    <w:p>
      <w:pPr>
        <w:spacing w:after="0" w:line="124"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 Amended and Restated Weatherford International plc Compensation Clawback Policy (the “Clawback Policy”) as adopted by the Board, authorizes the Company to seek recovery of certain incentive compensation paid to Covered Executives (as defined in the Clawback Policy) including our NEOs. In the event the Company is required to prepare an accounting restatement of the Company’s financial results to comply with federal securities laws or to correct a material error, the Board will review all Performance-based Compensation (as defined in the Clawback Policy) awarded to or earned by a Covered Executive within the preceding three-year period of the fiscal period(s) affected by the restatement. If the Board determines that any such Performance-based Compensation would not have been paid or would have been earned at a lower amount had it been based on the restated financial results, the Board may, within 12 months of such a restatement, seek recoupment from such Covered Executive of the portion of such Performance-based Compensation that is greater than the amount which would have otherwise been awarded or earned had such compensation been calculated on the basis of the restated financial results.</w:t>
      </w:r>
    </w:p>
    <w:p>
      <w:pPr>
        <w:spacing w:after="0" w:line="74" w:lineRule="exact"/>
        <w:rPr>
          <w:sz w:val="20"/>
          <w:szCs w:val="20"/>
          <w:color w:val="auto"/>
        </w:rPr>
      </w:pPr>
    </w:p>
    <w:p>
      <w:pPr>
        <w:ind w:left="440" w:right="320"/>
        <w:spacing w:after="0" w:line="276" w:lineRule="auto"/>
        <w:rPr>
          <w:sz w:val="20"/>
          <w:szCs w:val="20"/>
          <w:color w:val="auto"/>
        </w:rPr>
      </w:pPr>
      <w:r>
        <w:rPr>
          <w:rFonts w:ascii="Arial" w:cs="Arial" w:eastAsia="Arial" w:hAnsi="Arial"/>
          <w:sz w:val="17"/>
          <w:szCs w:val="17"/>
          <w:color w:val="auto"/>
        </w:rPr>
        <w:t>In addition, if the Board determines that a Covered Executive has engaged in any Detrimental Activity (as defined in the Clawback Policy, including fraud, willful misconduct, or gross negligence), the Board, in its reasonable discretion, may,</w:t>
      </w:r>
    </w:p>
    <w:p>
      <w:pPr>
        <w:ind w:left="440" w:right="360" w:hanging="2"/>
        <w:spacing w:after="0" w:line="25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three years following payment or vesting of any incentive compensation, seek recoupment from such Covered Executive of all or a portion of such compensation and (ii) cancel, or otherwise cause the forfeiture of any unpaid or unvested incentive compensation then held by such Covered Executive that has not been earned.</w:t>
      </w:r>
    </w:p>
    <w:p>
      <w:pPr>
        <w:spacing w:after="0" w:line="70"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The Amended and Restated Compensation Clawback Policy may be found at www.weatherford.com by clicking on the “Investor Relations” section, then “Corporate Governance,” then “Corporate Documents,” then searching for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4466590</wp:posOffset>
            </wp:positionV>
            <wp:extent cx="6231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282"/>
        <w:spacing w:after="0"/>
        <w:tabs>
          <w:tab w:leader="none" w:pos="720" w:val="left"/>
        </w:tabs>
        <w:numPr>
          <w:ilvl w:val="0"/>
          <w:numId w:val="4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15" w:lineRule="exact"/>
        <w:rPr>
          <w:sz w:val="20"/>
          <w:szCs w:val="20"/>
          <w:color w:val="auto"/>
        </w:rPr>
      </w:pPr>
    </w:p>
    <w:p>
      <w:pPr>
        <w:ind w:left="440" w:right="700"/>
        <w:spacing w:after="0" w:line="277" w:lineRule="auto"/>
        <w:rPr>
          <w:sz w:val="20"/>
          <w:szCs w:val="20"/>
          <w:color w:val="auto"/>
        </w:rPr>
      </w:pPr>
      <w:r>
        <w:rPr>
          <w:rFonts w:ascii="Arial" w:cs="Arial" w:eastAsia="Arial" w:hAnsi="Arial"/>
          <w:sz w:val="43"/>
          <w:szCs w:val="43"/>
          <w:b w:val="1"/>
          <w:bCs w:val="1"/>
          <w:color w:val="7F7F7F"/>
        </w:rPr>
        <w:t>FURTHER CONSIDERATIONS FOR SETTING EXECUTIVE COMPENSATION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OVERSIGHT OF OUR EXECUTIVE COMPENSATION PRACTICES</w:t>
      </w:r>
    </w:p>
    <w:p>
      <w:pPr>
        <w:spacing w:after="0" w:line="114"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Our executive compensation program is administered by the Committee. The Committee currently consists of three non-executive directors: Benjamin C. Duster, IV (Chair), Neal P. Goldman, and Jacqueline C. Mutschler. Currently, and at all times in 2021, all of the persons serving on the Committee were independent, as defined by the standards of Nasdaq, and satisfied the qualification standards of Section 16 of the Exchange Act. The members of the Committee draw upon a combination of their respective business experience, other board service and advice from our independent compensation consultant to keep themselves abreast of current trends and best practices in the area of executive compensation.</w:t>
      </w:r>
    </w:p>
    <w:p>
      <w:pPr>
        <w:spacing w:after="0" w:line="74" w:lineRule="exact"/>
        <w:rPr>
          <w:sz w:val="20"/>
          <w:szCs w:val="20"/>
          <w:color w:val="auto"/>
        </w:rPr>
      </w:pPr>
    </w:p>
    <w:p>
      <w:pPr>
        <w:ind w:left="440" w:right="300"/>
        <w:spacing w:after="0" w:line="287" w:lineRule="auto"/>
        <w:rPr>
          <w:sz w:val="20"/>
          <w:szCs w:val="20"/>
          <w:color w:val="auto"/>
        </w:rPr>
      </w:pPr>
      <w:r>
        <w:rPr>
          <w:rFonts w:ascii="Arial" w:cs="Arial" w:eastAsia="Arial" w:hAnsi="Arial"/>
          <w:sz w:val="18"/>
          <w:szCs w:val="18"/>
          <w:color w:val="auto"/>
        </w:rPr>
        <w:t>The Committee is responsible for, among other functions, reviewing and approving the total compensation for our NEOs consistent with the philosophy and objectives described above.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COMPENSATION CONSULTANTS AND INDEPENDENCE</w:t>
      </w:r>
    </w:p>
    <w:p>
      <w:pPr>
        <w:spacing w:after="0" w:line="114" w:lineRule="exact"/>
        <w:rPr>
          <w:sz w:val="20"/>
          <w:szCs w:val="20"/>
          <w:color w:val="auto"/>
        </w:rPr>
      </w:pPr>
    </w:p>
    <w:p>
      <w:pPr>
        <w:ind w:left="440" w:right="120"/>
        <w:spacing w:after="0" w:line="254" w:lineRule="auto"/>
        <w:rPr>
          <w:sz w:val="20"/>
          <w:szCs w:val="20"/>
          <w:color w:val="auto"/>
        </w:rPr>
      </w:pPr>
      <w:r>
        <w:rPr>
          <w:rFonts w:ascii="Arial" w:cs="Arial" w:eastAsia="Arial" w:hAnsi="Arial"/>
          <w:sz w:val="18"/>
          <w:szCs w:val="18"/>
          <w:color w:val="auto"/>
        </w:rPr>
        <w:t>As set forth in its charter, the Committee has the authority to retain and terminate compensation consultants to provide advice to the Committee. You may find the Committee’s charter at www.weatherford.com by clicking on the “Investor Relations” section, then “Corporate Governance,” then “Corporate Documents” then searching for “Compensation and Human Resources Committee Charter.” The Committee has retained LB&amp;Co. as its independent compensation consultant to advise on our executive compensation and independent, non-employee director compensation matters. In addition, LB&amp;Co. provides information, analyses, advice, and independent support and guidance for the Company’s compensation practices. Nasdaq has adopted guidelines for compensation committees to consider when identifying Committee advisor independence. The Committee reviewed these guidelines and determined that LB&amp;Co. is an independent consultant, and LB&amp;Co. does not perform services for the Company other than those related to executive and non-employee director compensation.</w:t>
      </w:r>
    </w:p>
    <w:p>
      <w:pPr>
        <w:spacing w:after="0" w:line="77" w:lineRule="exact"/>
        <w:rPr>
          <w:sz w:val="20"/>
          <w:szCs w:val="20"/>
          <w:color w:val="auto"/>
        </w:rPr>
      </w:pPr>
    </w:p>
    <w:p>
      <w:pPr>
        <w:ind w:left="440" w:right="220"/>
        <w:spacing w:after="0" w:line="318" w:lineRule="auto"/>
        <w:rPr>
          <w:sz w:val="20"/>
          <w:szCs w:val="20"/>
          <w:color w:val="auto"/>
        </w:rPr>
      </w:pPr>
      <w:r>
        <w:rPr>
          <w:rFonts w:ascii="Arial" w:cs="Arial" w:eastAsia="Arial" w:hAnsi="Arial"/>
          <w:sz w:val="17"/>
          <w:szCs w:val="17"/>
          <w:color w:val="auto"/>
        </w:rPr>
        <w:t>Our management communicates with LB&amp;Co. and provides data to LB&amp;Co. regarding our executive officers but does not direct LB&amp;Co. activities. LB&amp;Co. has not performed or provided compensation services in the past to our management.</w:t>
      </w:r>
    </w:p>
    <w:p>
      <w:pPr>
        <w:spacing w:after="0" w:line="51" w:lineRule="exact"/>
        <w:rPr>
          <w:sz w:val="20"/>
          <w:szCs w:val="20"/>
          <w:color w:val="auto"/>
        </w:rPr>
      </w:pPr>
    </w:p>
    <w:p>
      <w:pPr>
        <w:ind w:left="440" w:right="1080"/>
        <w:spacing w:after="0" w:line="264" w:lineRule="auto"/>
        <w:rPr>
          <w:sz w:val="20"/>
          <w:szCs w:val="20"/>
          <w:color w:val="auto"/>
        </w:rPr>
      </w:pPr>
      <w:r>
        <w:rPr>
          <w:rFonts w:ascii="Arial" w:cs="Arial" w:eastAsia="Arial" w:hAnsi="Arial"/>
          <w:sz w:val="43"/>
          <w:szCs w:val="43"/>
          <w:b w:val="1"/>
          <w:bCs w:val="1"/>
          <w:color w:val="7F7F7F"/>
        </w:rPr>
        <w:t>RISK ANALYSIS OF OUR COMPENSATION PROGRAMS</w:t>
      </w:r>
    </w:p>
    <w:p>
      <w:pPr>
        <w:spacing w:after="0" w:line="3"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color w:val="auto"/>
        </w:rPr>
        <w:t>The Committee regularly monitors and annually reviews our executive compensation program to determine, in consultation with LB&amp;Co., whether the elements of the program are consistent with our executive compensation objectives and principles. As part of this review, the Committee evaluates whether the Company’s risk management objectives are being met with respect to the executive compensation program and our compensation programs. If the program elements are determined to be inconsistent with our objectives and principles, or if any incentives are determined to encourage risks that are reasonably likely to have a material adverse effect on the Company, the elements are adjusted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1721485</wp:posOffset>
            </wp:positionV>
            <wp:extent cx="6231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3" w:lineRule="exact"/>
        <w:rPr>
          <w:sz w:val="20"/>
          <w:szCs w:val="20"/>
          <w:color w:val="auto"/>
        </w:rPr>
      </w:pPr>
    </w:p>
    <w:p>
      <w:pPr>
        <w:ind w:left="440" w:right="160"/>
        <w:spacing w:after="0" w:line="268" w:lineRule="auto"/>
        <w:rPr>
          <w:sz w:val="20"/>
          <w:szCs w:val="20"/>
          <w:color w:val="auto"/>
        </w:rPr>
      </w:pPr>
      <w:r>
        <w:rPr>
          <w:rFonts w:ascii="Arial" w:cs="Arial" w:eastAsia="Arial" w:hAnsi="Arial"/>
          <w:sz w:val="18"/>
          <w:szCs w:val="18"/>
          <w:color w:val="auto"/>
        </w:rPr>
        <w:t>Following the Committee’s annual review in 2021, it was concluded that there were no risks arising from our compensation policies and practices that are reasonably likely to have a material adverse effect on the Company. In reaching this conclusion, the Committee considered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77470</wp:posOffset>
            </wp:positionV>
            <wp:extent cx="6223635" cy="28632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23635" cy="2863215"/>
                    </a:xfrm>
                    <a:prstGeom prst="rect">
                      <a:avLst/>
                    </a:prstGeom>
                    <a:noFill/>
                  </pic:spPr>
                </pic:pic>
              </a:graphicData>
            </a:graphic>
          </wp:anchor>
        </w:drawing>
      </w:r>
    </w:p>
    <w:p>
      <w:pPr>
        <w:spacing w:after="0" w:line="82" w:lineRule="exact"/>
        <w:rPr>
          <w:sz w:val="20"/>
          <w:szCs w:val="20"/>
          <w:color w:val="auto"/>
        </w:rPr>
      </w:pPr>
    </w:p>
    <w:tbl>
      <w:tblPr>
        <w:tblLayout w:type="fixed"/>
        <w:tblInd w:w="450" w:type="dxa"/>
        <w:tblCellMar>
          <w:top w:w="0" w:type="dxa"/>
          <w:left w:w="0" w:type="dxa"/>
          <w:bottom w:w="0" w:type="dxa"/>
          <w:right w:w="0" w:type="dxa"/>
        </w:tblCellMar>
      </w:tblPr>
      <w:tr>
        <w:trPr>
          <w:trHeight w:val="241"/>
        </w:trPr>
        <w:tc>
          <w:tcPr>
            <w:tcW w:w="180" w:type="dxa"/>
            <w:vAlign w:val="bottom"/>
            <w:tcBorders>
              <w:top w:val="single" w:sz="8" w:color="auto"/>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FFFFFF"/>
              </w:rPr>
              <w:t>​</w:t>
            </w:r>
          </w:p>
        </w:tc>
        <w:tc>
          <w:tcPr>
            <w:tcW w:w="4540" w:type="dxa"/>
            <w:vAlign w:val="bottom"/>
            <w:tcBorders>
              <w:top w:val="single" w:sz="8" w:color="auto"/>
            </w:tcBorders>
          </w:tcPr>
          <w:p>
            <w:pPr>
              <w:ind w:left="1620"/>
              <w:spacing w:after="0"/>
              <w:rPr>
                <w:sz w:val="20"/>
                <w:szCs w:val="20"/>
                <w:color w:val="auto"/>
              </w:rPr>
            </w:pPr>
            <w:r>
              <w:rPr>
                <w:rFonts w:ascii="Arial" w:cs="Arial" w:eastAsia="Arial" w:hAnsi="Arial"/>
                <w:sz w:val="14"/>
                <w:szCs w:val="14"/>
                <w:b w:val="1"/>
                <w:bCs w:val="1"/>
                <w:color w:val="FFFFFF"/>
              </w:rPr>
              <w:t>Program Attribute</w:t>
            </w:r>
          </w:p>
        </w:tc>
        <w:tc>
          <w:tcPr>
            <w:tcW w:w="3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FFFFFF"/>
              </w:rPr>
              <w:t>​ ​</w:t>
            </w:r>
          </w:p>
        </w:tc>
        <w:tc>
          <w:tcPr>
            <w:tcW w:w="4640" w:type="dxa"/>
            <w:vAlign w:val="bottom"/>
            <w:tcBorders>
              <w:top w:val="single" w:sz="8" w:color="auto"/>
            </w:tcBorders>
          </w:tcPr>
          <w:p>
            <w:pPr>
              <w:ind w:left="1540"/>
              <w:spacing w:after="0"/>
              <w:rPr>
                <w:sz w:val="20"/>
                <w:szCs w:val="20"/>
                <w:color w:val="auto"/>
              </w:rPr>
            </w:pPr>
            <w:r>
              <w:rPr>
                <w:rFonts w:ascii="Arial" w:cs="Arial" w:eastAsia="Arial" w:hAnsi="Arial"/>
                <w:sz w:val="14"/>
                <w:szCs w:val="14"/>
                <w:b w:val="1"/>
                <w:bCs w:val="1"/>
                <w:color w:val="FFFFFF"/>
              </w:rPr>
              <w:t>Risk-Mitigating Effect</w:t>
            </w:r>
          </w:p>
        </w:tc>
        <w:tc>
          <w:tcPr>
            <w:tcW w:w="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9"/>
        </w:trPr>
        <w:tc>
          <w:tcPr>
            <w:tcW w:w="180" w:type="dxa"/>
            <w:vAlign w:val="bottom"/>
            <w:tcBorders>
              <w:left w:val="single" w:sz="8" w:color="auto"/>
              <w:bottom w:val="single" w:sz="8" w:color="auto"/>
            </w:tcBorders>
            <w:vMerge w:val="continue"/>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vMerge w:val="continue"/>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80" w:type="dxa"/>
            <w:vAlign w:val="bottom"/>
            <w:tcBorders>
              <w:left w:val="single" w:sz="8" w:color="auto"/>
            </w:tcBorders>
          </w:tcPr>
          <w:p>
            <w:pPr>
              <w:spacing w:after="0"/>
              <w:rPr>
                <w:sz w:val="18"/>
                <w:szCs w:val="18"/>
                <w:color w:val="auto"/>
              </w:rPr>
            </w:pPr>
          </w:p>
        </w:tc>
        <w:tc>
          <w:tcPr>
            <w:tcW w:w="4540" w:type="dxa"/>
            <w:vAlign w:val="bottom"/>
            <w:vMerge w:val="restart"/>
          </w:tcPr>
          <w:p>
            <w:pPr>
              <w:ind w:left="160"/>
              <w:spacing w:after="0"/>
              <w:rPr>
                <w:sz w:val="20"/>
                <w:szCs w:val="20"/>
                <w:color w:val="auto"/>
              </w:rPr>
            </w:pPr>
            <w:r>
              <w:rPr>
                <w:rFonts w:ascii="Arial" w:cs="Arial" w:eastAsia="Arial" w:hAnsi="Arial"/>
                <w:sz w:val="14"/>
                <w:szCs w:val="14"/>
                <w:color w:val="auto"/>
              </w:rPr>
              <w:t>The compensation mix between fixed and variable components and</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Competitive levels of fixed compensation eliminate any day-to-day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454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40" w:type="dxa"/>
            <w:vAlign w:val="bottom"/>
            <w:vMerge w:val="restart"/>
          </w:tcPr>
          <w:p>
            <w:pPr>
              <w:ind w:left="12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personal concerns, while variable compensation ensures our</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720" w:type="dxa"/>
            <w:vAlign w:val="bottom"/>
            <w:tcBorders>
              <w:left w:val="single" w:sz="8" w:color="auto"/>
            </w:tcBorders>
            <w:gridSpan w:val="2"/>
          </w:tcPr>
          <w:p>
            <w:pPr>
              <w:ind w:left="20"/>
              <w:spacing w:after="0" w:line="145" w:lineRule="exact"/>
              <w:rPr>
                <w:sz w:val="20"/>
                <w:szCs w:val="20"/>
                <w:color w:val="auto"/>
              </w:rPr>
            </w:pPr>
            <w:r>
              <w:rPr>
                <w:rFonts w:ascii="Arial" w:cs="Arial" w:eastAsia="Arial" w:hAnsi="Arial"/>
                <w:sz w:val="14"/>
                <w:szCs w:val="14"/>
                <w:color w:val="auto"/>
              </w:rPr>
              <w:t>​   ​levels, and the balance between short-term and long-term variable</w:t>
            </w:r>
          </w:p>
        </w:tc>
        <w:tc>
          <w:tcPr>
            <w:tcW w:w="160" w:type="dxa"/>
            <w:vAlign w:val="bottom"/>
            <w:tcBorders>
              <w:right w:val="single" w:sz="8" w:color="auto"/>
            </w:tcBorders>
          </w:tcPr>
          <w:p>
            <w:pPr>
              <w:ind w:left="4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w:t>
            </w:r>
          </w:p>
        </w:tc>
        <w:tc>
          <w:tcPr>
            <w:tcW w:w="4640" w:type="dxa"/>
            <w:vAlign w:val="bottom"/>
            <w:vMerge w:val="continue"/>
          </w:tcPr>
          <w:p>
            <w:pPr>
              <w:spacing w:after="0"/>
              <w:rPr>
                <w:sz w:val="12"/>
                <w:szCs w:val="12"/>
                <w:color w:val="auto"/>
              </w:rPr>
            </w:pPr>
          </w:p>
        </w:tc>
        <w:tc>
          <w:tcPr>
            <w:tcW w:w="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80" w:type="dxa"/>
            <w:vAlign w:val="bottom"/>
            <w:tcBorders>
              <w:left w:val="single" w:sz="8" w:color="auto"/>
            </w:tcBorders>
          </w:tcPr>
          <w:p>
            <w:pPr>
              <w:spacing w:after="0"/>
              <w:rPr>
                <w:sz w:val="12"/>
                <w:szCs w:val="12"/>
                <w:color w:val="auto"/>
              </w:rPr>
            </w:pPr>
          </w:p>
        </w:tc>
        <w:tc>
          <w:tcPr>
            <w:tcW w:w="4540" w:type="dxa"/>
            <w:vAlign w:val="bottom"/>
            <w:vMerge w:val="restart"/>
          </w:tcPr>
          <w:p>
            <w:pPr>
              <w:ind w:left="160"/>
              <w:spacing w:after="0"/>
              <w:rPr>
                <w:sz w:val="20"/>
                <w:szCs w:val="20"/>
                <w:color w:val="auto"/>
              </w:rPr>
            </w:pPr>
            <w:r>
              <w:rPr>
                <w:rFonts w:ascii="Arial" w:cs="Arial" w:eastAsia="Arial" w:hAnsi="Arial"/>
                <w:sz w:val="14"/>
                <w:szCs w:val="14"/>
                <w:color w:val="auto"/>
              </w:rPr>
              <w:t>compensation are reasonable and appropriate</w:t>
            </w: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40" w:type="dxa"/>
            <w:vAlign w:val="bottom"/>
          </w:tcPr>
          <w:p>
            <w:pPr>
              <w:ind w:left="160"/>
              <w:spacing w:after="0" w:line="139" w:lineRule="exact"/>
              <w:rPr>
                <w:sz w:val="20"/>
                <w:szCs w:val="20"/>
                <w:color w:val="auto"/>
              </w:rPr>
            </w:pPr>
            <w:r>
              <w:rPr>
                <w:rFonts w:ascii="Arial" w:cs="Arial" w:eastAsia="Arial" w:hAnsi="Arial"/>
                <w:sz w:val="14"/>
                <w:szCs w:val="14"/>
                <w:color w:val="auto"/>
              </w:rPr>
              <w:t>executives are appropriately motivated and rewarded both in the short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80" w:type="dxa"/>
            <w:vAlign w:val="bottom"/>
            <w:tcBorders>
              <w:left w:val="single" w:sz="8" w:color="auto"/>
            </w:tcBorders>
          </w:tcPr>
          <w:p>
            <w:pPr>
              <w:spacing w:after="0"/>
              <w:rPr>
                <w:sz w:val="7"/>
                <w:szCs w:val="7"/>
                <w:color w:val="auto"/>
              </w:rPr>
            </w:pPr>
          </w:p>
        </w:tc>
        <w:tc>
          <w:tcPr>
            <w:tcW w:w="454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640" w:type="dxa"/>
            <w:vAlign w:val="bottom"/>
            <w:vMerge w:val="restart"/>
          </w:tcPr>
          <w:p>
            <w:pPr>
              <w:ind w:left="160"/>
              <w:spacing w:after="0"/>
              <w:rPr>
                <w:sz w:val="20"/>
                <w:szCs w:val="20"/>
                <w:color w:val="auto"/>
              </w:rPr>
            </w:pPr>
            <w:r>
              <w:rPr>
                <w:rFonts w:ascii="Arial" w:cs="Arial" w:eastAsia="Arial" w:hAnsi="Arial"/>
                <w:sz w:val="14"/>
                <w:szCs w:val="14"/>
                <w:color w:val="auto"/>
              </w:rPr>
              <w:t>and long-term</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80" w:type="dxa"/>
            <w:vAlign w:val="bottom"/>
            <w:tcBorders>
              <w:left w:val="single" w:sz="8" w:color="auto"/>
              <w:bottom w:val="single" w:sz="8" w:color="7F7F7F"/>
            </w:tcBorders>
          </w:tcPr>
          <w:p>
            <w:pPr>
              <w:spacing w:after="0" w:line="20" w:lineRule="exact"/>
              <w:rPr>
                <w:sz w:val="1"/>
                <w:szCs w:val="1"/>
                <w:color w:val="auto"/>
              </w:rPr>
            </w:pPr>
          </w:p>
        </w:tc>
        <w:tc>
          <w:tcPr>
            <w:tcW w:w="454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right w:val="single" w:sz="8" w:color="auto"/>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4640" w:type="dxa"/>
            <w:vAlign w:val="bottom"/>
            <w:tcBorders>
              <w:bottom w:val="single" w:sz="8" w:color="7F7F7F"/>
            </w:tcBorders>
          </w:tcPr>
          <w:p>
            <w:pPr>
              <w:spacing w:after="0" w:line="20" w:lineRule="exact"/>
              <w:rPr>
                <w:sz w:val="1"/>
                <w:szCs w:val="1"/>
                <w:color w:val="auto"/>
              </w:rPr>
            </w:pPr>
          </w:p>
        </w:tc>
        <w:tc>
          <w:tcPr>
            <w:tcW w:w="60" w:type="dxa"/>
            <w:vAlign w:val="bottom"/>
            <w:tcBorders>
              <w:bottom w:val="single" w:sz="8" w:color="7F7F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180" w:type="dxa"/>
            <w:vAlign w:val="bottom"/>
            <w:tcBorders>
              <w:left w:val="single" w:sz="8" w:color="auto"/>
            </w:tcBorders>
          </w:tcPr>
          <w:p>
            <w:pPr>
              <w:spacing w:after="0"/>
              <w:rPr>
                <w:sz w:val="18"/>
                <w:szCs w:val="18"/>
                <w:color w:val="auto"/>
              </w:rPr>
            </w:pPr>
          </w:p>
        </w:tc>
        <w:tc>
          <w:tcPr>
            <w:tcW w:w="4540" w:type="dxa"/>
            <w:vAlign w:val="bottom"/>
            <w:vMerge w:val="restart"/>
          </w:tcPr>
          <w:p>
            <w:pPr>
              <w:ind w:left="160"/>
              <w:spacing w:after="0"/>
              <w:rPr>
                <w:sz w:val="20"/>
                <w:szCs w:val="20"/>
                <w:color w:val="auto"/>
              </w:rPr>
            </w:pPr>
            <w:r>
              <w:rPr>
                <w:rFonts w:ascii="Arial" w:cs="Arial" w:eastAsia="Arial" w:hAnsi="Arial"/>
                <w:sz w:val="14"/>
                <w:szCs w:val="14"/>
                <w:color w:val="auto"/>
              </w:rPr>
              <w:t>The quality and reasonableness of incentive plan performance goals</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Threshold, target and maximum performance and payout levels,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80" w:type="dxa"/>
            <w:vAlign w:val="bottom"/>
            <w:tcBorders>
              <w:left w:val="single" w:sz="8" w:color="auto"/>
            </w:tcBorders>
          </w:tcPr>
          <w:p>
            <w:pPr>
              <w:spacing w:after="0"/>
              <w:rPr>
                <w:sz w:val="12"/>
                <w:szCs w:val="12"/>
                <w:color w:val="auto"/>
              </w:rPr>
            </w:pPr>
          </w:p>
        </w:tc>
        <w:tc>
          <w:tcPr>
            <w:tcW w:w="454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40" w:type="dxa"/>
            <w:vAlign w:val="bottom"/>
          </w:tcPr>
          <w:p>
            <w:pPr>
              <w:ind w:left="160"/>
              <w:spacing w:after="0" w:line="145" w:lineRule="exact"/>
              <w:rPr>
                <w:sz w:val="20"/>
                <w:szCs w:val="20"/>
                <w:color w:val="auto"/>
              </w:rPr>
            </w:pPr>
            <w:r>
              <w:rPr>
                <w:rFonts w:ascii="Arial" w:cs="Arial" w:eastAsia="Arial" w:hAnsi="Arial"/>
                <w:sz w:val="14"/>
                <w:szCs w:val="14"/>
                <w:color w:val="auto"/>
              </w:rPr>
              <w:t>funding formulas are not extreme, and goals are set within reach,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540" w:type="dxa"/>
            <w:vAlign w:val="bottom"/>
          </w:tcPr>
          <w:p>
            <w:pPr>
              <w:ind w:left="12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and payout formulas</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thereby mitigating the likelihood of excessive risk taking in order to</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0" w:type="dxa"/>
            <w:vAlign w:val="bottom"/>
            <w:tcBorders>
              <w:left w:val="single" w:sz="8" w:color="auto"/>
            </w:tcBorders>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achieve a compensation result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0" w:type="dxa"/>
            <w:vAlign w:val="bottom"/>
            <w:tcBorders>
              <w:left w:val="single" w:sz="8" w:color="auto"/>
              <w:bottom w:val="single" w:sz="8" w:color="7F7F7F"/>
            </w:tcBorders>
          </w:tcPr>
          <w:p>
            <w:pPr>
              <w:spacing w:after="0" w:line="20" w:lineRule="exact"/>
              <w:rPr>
                <w:sz w:val="1"/>
                <w:szCs w:val="1"/>
                <w:color w:val="auto"/>
              </w:rPr>
            </w:pPr>
          </w:p>
        </w:tc>
        <w:tc>
          <w:tcPr>
            <w:tcW w:w="454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right w:val="single" w:sz="8" w:color="auto"/>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4640" w:type="dxa"/>
            <w:vAlign w:val="bottom"/>
            <w:tcBorders>
              <w:bottom w:val="single" w:sz="8" w:color="7F7F7F"/>
            </w:tcBorders>
          </w:tcPr>
          <w:p>
            <w:pPr>
              <w:spacing w:after="0" w:line="20" w:lineRule="exact"/>
              <w:rPr>
                <w:sz w:val="1"/>
                <w:szCs w:val="1"/>
                <w:color w:val="auto"/>
              </w:rPr>
            </w:pPr>
          </w:p>
        </w:tc>
        <w:tc>
          <w:tcPr>
            <w:tcW w:w="60" w:type="dxa"/>
            <w:vAlign w:val="bottom"/>
            <w:tcBorders>
              <w:bottom w:val="single" w:sz="8" w:color="7F7F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540" w:type="dxa"/>
            <w:vAlign w:val="bottom"/>
          </w:tcPr>
          <w:p>
            <w:pPr>
              <w:ind w:left="12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The nature and breadth of the performance metrics that govern</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Encourages executives to avoid sacrificing short-term performance for</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0" w:type="dxa"/>
            <w:vAlign w:val="bottom"/>
            <w:tcBorders>
              <w:left w:val="single" w:sz="8" w:color="auto"/>
            </w:tcBorders>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4"/>
                <w:szCs w:val="14"/>
                <w:color w:val="auto"/>
              </w:rPr>
              <w:t>incentive compensation throughout the Company</w:t>
            </w: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long-term performance and vice versa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left w:val="single" w:sz="8" w:color="auto"/>
              <w:bottom w:val="single" w:sz="8" w:color="7F7F7F"/>
            </w:tcBorders>
          </w:tcPr>
          <w:p>
            <w:pPr>
              <w:spacing w:after="0" w:line="20" w:lineRule="exact"/>
              <w:rPr>
                <w:sz w:val="1"/>
                <w:szCs w:val="1"/>
                <w:color w:val="auto"/>
              </w:rPr>
            </w:pPr>
          </w:p>
        </w:tc>
        <w:tc>
          <w:tcPr>
            <w:tcW w:w="454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right w:val="single" w:sz="8" w:color="auto"/>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4640" w:type="dxa"/>
            <w:vAlign w:val="bottom"/>
            <w:tcBorders>
              <w:bottom w:val="single" w:sz="8" w:color="7F7F7F"/>
            </w:tcBorders>
          </w:tcPr>
          <w:p>
            <w:pPr>
              <w:spacing w:after="0" w:line="20" w:lineRule="exact"/>
              <w:rPr>
                <w:sz w:val="1"/>
                <w:szCs w:val="1"/>
                <w:color w:val="auto"/>
              </w:rPr>
            </w:pPr>
          </w:p>
        </w:tc>
        <w:tc>
          <w:tcPr>
            <w:tcW w:w="60" w:type="dxa"/>
            <w:vAlign w:val="bottom"/>
            <w:tcBorders>
              <w:bottom w:val="single" w:sz="8" w:color="7F7F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180" w:type="dxa"/>
            <w:vAlign w:val="bottom"/>
            <w:tcBorders>
              <w:lef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Subjects executives to a requirement to surrender any undue incentive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tcBorders>
              <w:left w:val="single" w:sz="8" w:color="auto"/>
            </w:tcBorders>
            <w:gridSpan w:val="2"/>
          </w:tcPr>
          <w:p>
            <w:pPr>
              <w:ind w:left="20"/>
              <w:spacing w:after="0"/>
              <w:rPr>
                <w:sz w:val="20"/>
                <w:szCs w:val="20"/>
                <w:color w:val="auto"/>
              </w:rPr>
            </w:pPr>
            <w:r>
              <w:rPr>
                <w:rFonts w:ascii="Arial" w:cs="Arial" w:eastAsia="Arial" w:hAnsi="Arial"/>
                <w:sz w:val="14"/>
                <w:szCs w:val="14"/>
                <w:color w:val="auto"/>
              </w:rPr>
              <w:t>​   ​The existence of a clawback policy</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compensation that was paid on the basis of financial results that were</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80" w:type="dxa"/>
            <w:vAlign w:val="bottom"/>
            <w:tcBorders>
              <w:left w:val="single" w:sz="8" w:color="auto"/>
            </w:tcBorders>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40" w:type="dxa"/>
            <w:vAlign w:val="bottom"/>
          </w:tcPr>
          <w:p>
            <w:pPr>
              <w:ind w:left="160"/>
              <w:spacing w:after="0" w:line="139" w:lineRule="exact"/>
              <w:rPr>
                <w:sz w:val="20"/>
                <w:szCs w:val="20"/>
                <w:color w:val="auto"/>
              </w:rPr>
            </w:pPr>
            <w:r>
              <w:rPr>
                <w:rFonts w:ascii="Arial" w:cs="Arial" w:eastAsia="Arial" w:hAnsi="Arial"/>
                <w:sz w:val="14"/>
                <w:szCs w:val="14"/>
                <w:color w:val="auto"/>
              </w:rPr>
              <w:t>required to be restated (other than as a result of a change in the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 w:type="dxa"/>
            <w:vAlign w:val="bottom"/>
            <w:tcBorders>
              <w:left w:val="single" w:sz="8" w:color="auto"/>
            </w:tcBorders>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Pr>
          <w:p>
            <w:pPr>
              <w:ind w:left="160"/>
              <w:spacing w:after="0"/>
              <w:rPr>
                <w:sz w:val="20"/>
                <w:szCs w:val="20"/>
                <w:color w:val="auto"/>
              </w:rPr>
            </w:pPr>
            <w:r>
              <w:rPr>
                <w:rFonts w:ascii="Arial" w:cs="Arial" w:eastAsia="Arial" w:hAnsi="Arial"/>
                <w:sz w:val="14"/>
                <w:szCs w:val="14"/>
                <w:color w:val="auto"/>
              </w:rPr>
              <w:t>applicable accounting rules or interpretations)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0" w:type="dxa"/>
            <w:vAlign w:val="bottom"/>
            <w:tcBorders>
              <w:left w:val="single" w:sz="8" w:color="auto"/>
              <w:bottom w:val="single" w:sz="8" w:color="7F7F7F"/>
            </w:tcBorders>
          </w:tcPr>
          <w:p>
            <w:pPr>
              <w:spacing w:after="0" w:line="20" w:lineRule="exact"/>
              <w:rPr>
                <w:sz w:val="1"/>
                <w:szCs w:val="1"/>
                <w:color w:val="auto"/>
              </w:rPr>
            </w:pPr>
          </w:p>
        </w:tc>
        <w:tc>
          <w:tcPr>
            <w:tcW w:w="454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right w:val="single" w:sz="8" w:color="auto"/>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4640" w:type="dxa"/>
            <w:vAlign w:val="bottom"/>
            <w:tcBorders>
              <w:bottom w:val="single" w:sz="8" w:color="7F7F7F"/>
            </w:tcBorders>
          </w:tcPr>
          <w:p>
            <w:pPr>
              <w:spacing w:after="0" w:line="20" w:lineRule="exact"/>
              <w:rPr>
                <w:sz w:val="1"/>
                <w:szCs w:val="1"/>
                <w:color w:val="auto"/>
              </w:rPr>
            </w:pPr>
          </w:p>
        </w:tc>
        <w:tc>
          <w:tcPr>
            <w:tcW w:w="60" w:type="dxa"/>
            <w:vAlign w:val="bottom"/>
            <w:tcBorders>
              <w:bottom w:val="single" w:sz="8" w:color="7F7F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540" w:type="dxa"/>
            <w:vAlign w:val="bottom"/>
          </w:tcPr>
          <w:p>
            <w:pPr>
              <w:ind w:left="120"/>
              <w:spacing w:after="0"/>
              <w:rPr>
                <w:sz w:val="20"/>
                <w:szCs w:val="20"/>
                <w:color w:val="auto"/>
              </w:rPr>
            </w:pPr>
            <w:r>
              <w:rPr>
                <w:rFonts w:ascii="Arial" w:cs="Arial" w:eastAsia="Arial" w:hAnsi="Arial"/>
                <w:sz w:val="14"/>
                <w:szCs w:val="14"/>
                <w:color w:val="auto"/>
              </w:rPr>
              <w:t>​The existence of Anti-Pledging &amp; Anti-Hedging Policies</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Ensures the alignment of interests generated by our executives’ equity</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80" w:type="dxa"/>
            <w:vAlign w:val="bottom"/>
            <w:tcBorders>
              <w:left w:val="single" w:sz="8" w:color="auto"/>
              <w:bottom w:val="single" w:sz="8" w:color="7F7F7F"/>
            </w:tcBorders>
          </w:tcPr>
          <w:p>
            <w:pPr>
              <w:spacing w:after="0"/>
              <w:rPr>
                <w:sz w:val="15"/>
                <w:szCs w:val="15"/>
                <w:color w:val="auto"/>
              </w:rPr>
            </w:pPr>
          </w:p>
        </w:tc>
        <w:tc>
          <w:tcPr>
            <w:tcW w:w="4540" w:type="dxa"/>
            <w:vAlign w:val="bottom"/>
            <w:tcBorders>
              <w:bottom w:val="single" w:sz="8" w:color="7F7F7F"/>
            </w:tcBorders>
          </w:tcPr>
          <w:p>
            <w:pPr>
              <w:spacing w:after="0"/>
              <w:rPr>
                <w:sz w:val="15"/>
                <w:szCs w:val="15"/>
                <w:color w:val="auto"/>
              </w:rPr>
            </w:pPr>
          </w:p>
        </w:tc>
        <w:tc>
          <w:tcPr>
            <w:tcW w:w="160" w:type="dxa"/>
            <w:vAlign w:val="bottom"/>
            <w:tcBorders>
              <w:bottom w:val="single" w:sz="8" w:color="7F7F7F"/>
              <w:right w:val="single" w:sz="8" w:color="auto"/>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4640" w:type="dxa"/>
            <w:vAlign w:val="bottom"/>
            <w:tcBorders>
              <w:bottom w:val="single" w:sz="8" w:color="7F7F7F"/>
            </w:tcBorders>
          </w:tcPr>
          <w:p>
            <w:pPr>
              <w:ind w:left="160"/>
              <w:spacing w:after="0"/>
              <w:rPr>
                <w:sz w:val="20"/>
                <w:szCs w:val="20"/>
                <w:color w:val="auto"/>
              </w:rPr>
            </w:pPr>
            <w:r>
              <w:rPr>
                <w:rFonts w:ascii="Arial" w:cs="Arial" w:eastAsia="Arial" w:hAnsi="Arial"/>
                <w:sz w:val="14"/>
                <w:szCs w:val="14"/>
                <w:color w:val="auto"/>
              </w:rPr>
              <w:t>holdings is not undermined by hedging or similar transactions</w:t>
            </w:r>
          </w:p>
        </w:tc>
        <w:tc>
          <w:tcPr>
            <w:tcW w:w="60" w:type="dxa"/>
            <w:vAlign w:val="bottom"/>
            <w:tcBorders>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540" w:type="dxa"/>
            <w:vAlign w:val="bottom"/>
          </w:tcPr>
          <w:p>
            <w:pPr>
              <w:ind w:left="120"/>
              <w:spacing w:after="0"/>
              <w:rPr>
                <w:sz w:val="20"/>
                <w:szCs w:val="20"/>
                <w:color w:val="auto"/>
              </w:rPr>
            </w:pPr>
            <w:r>
              <w:rPr>
                <w:rFonts w:ascii="Arial" w:cs="Arial" w:eastAsia="Arial" w:hAnsi="Arial"/>
                <w:sz w:val="14"/>
                <w:szCs w:val="14"/>
                <w:color w:val="auto"/>
              </w:rPr>
              <w:t>​The existence of robust share ownership guidelines</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Provides a clear link between the economic interests of executives and</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80" w:type="dxa"/>
            <w:vAlign w:val="bottom"/>
            <w:tcBorders>
              <w:left w:val="single" w:sz="8" w:color="auto"/>
              <w:bottom w:val="single" w:sz="8" w:color="7F7F7F"/>
            </w:tcBorders>
          </w:tcPr>
          <w:p>
            <w:pPr>
              <w:spacing w:after="0"/>
              <w:rPr>
                <w:sz w:val="15"/>
                <w:szCs w:val="15"/>
                <w:color w:val="auto"/>
              </w:rPr>
            </w:pPr>
          </w:p>
        </w:tc>
        <w:tc>
          <w:tcPr>
            <w:tcW w:w="4540" w:type="dxa"/>
            <w:vAlign w:val="bottom"/>
            <w:tcBorders>
              <w:bottom w:val="single" w:sz="8" w:color="7F7F7F"/>
            </w:tcBorders>
          </w:tcPr>
          <w:p>
            <w:pPr>
              <w:spacing w:after="0"/>
              <w:rPr>
                <w:sz w:val="15"/>
                <w:szCs w:val="15"/>
                <w:color w:val="auto"/>
              </w:rPr>
            </w:pPr>
          </w:p>
        </w:tc>
        <w:tc>
          <w:tcPr>
            <w:tcW w:w="160" w:type="dxa"/>
            <w:vAlign w:val="bottom"/>
            <w:tcBorders>
              <w:bottom w:val="single" w:sz="8" w:color="7F7F7F"/>
              <w:right w:val="single" w:sz="8" w:color="auto"/>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4640" w:type="dxa"/>
            <w:vAlign w:val="bottom"/>
            <w:tcBorders>
              <w:bottom w:val="single" w:sz="8" w:color="7F7F7F"/>
            </w:tcBorders>
          </w:tcPr>
          <w:p>
            <w:pPr>
              <w:ind w:left="160"/>
              <w:spacing w:after="0"/>
              <w:rPr>
                <w:sz w:val="20"/>
                <w:szCs w:val="20"/>
                <w:color w:val="auto"/>
              </w:rPr>
            </w:pPr>
            <w:r>
              <w:rPr>
                <w:rFonts w:ascii="Arial" w:cs="Arial" w:eastAsia="Arial" w:hAnsi="Arial"/>
                <w:sz w:val="14"/>
                <w:szCs w:val="14"/>
                <w:color w:val="auto"/>
              </w:rPr>
              <w:t>shareholders over the long-term</w:t>
            </w:r>
          </w:p>
        </w:tc>
        <w:tc>
          <w:tcPr>
            <w:tcW w:w="60" w:type="dxa"/>
            <w:vAlign w:val="bottom"/>
            <w:tcBorders>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540" w:type="dxa"/>
            <w:vAlign w:val="bottom"/>
          </w:tcPr>
          <w:p>
            <w:pPr>
              <w:ind w:left="12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Use of an independent compensation consultant that performs no</w:t>
            </w:r>
          </w:p>
        </w:tc>
        <w:tc>
          <w:tcPr>
            <w:tcW w:w="1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center"/>
              <w:ind w:right="88"/>
              <w:spacing w:after="0"/>
              <w:rPr>
                <w:sz w:val="20"/>
                <w:szCs w:val="20"/>
                <w:color w:val="auto"/>
              </w:rPr>
            </w:pPr>
            <w:r>
              <w:rPr>
                <w:rFonts w:ascii="Arial" w:cs="Arial" w:eastAsia="Arial" w:hAnsi="Arial"/>
                <w:sz w:val="14"/>
                <w:szCs w:val="14"/>
                <w:color w:val="auto"/>
              </w:rPr>
              <w:t>​</w:t>
            </w:r>
          </w:p>
        </w:tc>
        <w:tc>
          <w:tcPr>
            <w:tcW w:w="4640" w:type="dxa"/>
            <w:vAlign w:val="bottom"/>
          </w:tcPr>
          <w:p>
            <w:pPr>
              <w:ind w:left="120"/>
              <w:spacing w:after="0"/>
              <w:rPr>
                <w:sz w:val="20"/>
                <w:szCs w:val="20"/>
                <w:color w:val="auto"/>
              </w:rPr>
            </w:pPr>
            <w:r>
              <w:rPr>
                <w:rFonts w:ascii="Arial" w:cs="Arial" w:eastAsia="Arial" w:hAnsi="Arial"/>
                <w:sz w:val="14"/>
                <w:szCs w:val="14"/>
                <w:color w:val="auto"/>
              </w:rPr>
              <w:t>​Helps ensure advice will not be influenced by conflicts of interest</w:t>
            </w:r>
          </w:p>
        </w:tc>
        <w:tc>
          <w:tcPr>
            <w:tcW w:w="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80" w:type="dxa"/>
            <w:vAlign w:val="bottom"/>
            <w:tcBorders>
              <w:left w:val="single" w:sz="8" w:color="auto"/>
              <w:bottom w:val="single" w:sz="8" w:color="7F7F7F"/>
            </w:tcBorders>
          </w:tcPr>
          <w:p>
            <w:pPr>
              <w:spacing w:after="0"/>
              <w:rPr>
                <w:sz w:val="15"/>
                <w:szCs w:val="15"/>
                <w:color w:val="auto"/>
              </w:rPr>
            </w:pPr>
          </w:p>
        </w:tc>
        <w:tc>
          <w:tcPr>
            <w:tcW w:w="454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other services for the Company</w:t>
            </w:r>
          </w:p>
        </w:tc>
        <w:tc>
          <w:tcPr>
            <w:tcW w:w="160" w:type="dxa"/>
            <w:vAlign w:val="bottom"/>
            <w:tcBorders>
              <w:bottom w:val="single" w:sz="8" w:color="7F7F7F"/>
              <w:right w:val="single" w:sz="8" w:color="auto"/>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46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-2477135</wp:posOffset>
            </wp:positionV>
            <wp:extent cx="76835"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-2477135</wp:posOffset>
            </wp:positionV>
            <wp:extent cx="76835" cy="77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-2468245</wp:posOffset>
            </wp:positionV>
            <wp:extent cx="60325" cy="603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000000"/>
                        </a:clrFrom>
                        <a:clrTo>
                          <a:srgbClr val="000000">
                            <a:alpha val="0"/>
                          </a:srgbClr>
                        </a:clrTo>
                      </a:clrChange>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-2468245</wp:posOffset>
            </wp:positionV>
            <wp:extent cx="60325" cy="603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-1971040</wp:posOffset>
            </wp:positionV>
            <wp:extent cx="76835" cy="77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-1971040</wp:posOffset>
            </wp:positionV>
            <wp:extent cx="76835" cy="774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-1962785</wp:posOffset>
            </wp:positionV>
            <wp:extent cx="6032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000000"/>
                        </a:clrFrom>
                        <a:clrTo>
                          <a:srgbClr val="000000">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-1962785</wp:posOffset>
            </wp:positionV>
            <wp:extent cx="6032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-1568450</wp:posOffset>
            </wp:positionV>
            <wp:extent cx="76835" cy="77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-1568450</wp:posOffset>
            </wp:positionV>
            <wp:extent cx="76835" cy="77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-1559560</wp:posOffset>
            </wp:positionV>
            <wp:extent cx="60325" cy="603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000000"/>
                        </a:clrFrom>
                        <a:clrTo>
                          <a:srgbClr val="000000">
                            <a:alpha val="0"/>
                          </a:srgbClr>
                        </a:clrTo>
                      </a:clrChange>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-1559560</wp:posOffset>
            </wp:positionV>
            <wp:extent cx="60325" cy="603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-1174115</wp:posOffset>
            </wp:positionV>
            <wp:extent cx="76835" cy="774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-1174115</wp:posOffset>
            </wp:positionV>
            <wp:extent cx="76835" cy="77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-1165225</wp:posOffset>
            </wp:positionV>
            <wp:extent cx="6032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000000"/>
                        </a:clrFrom>
                        <a:clrTo>
                          <a:srgbClr val="000000">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-1165225</wp:posOffset>
            </wp:positionV>
            <wp:extent cx="60325"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-770890</wp:posOffset>
            </wp:positionV>
            <wp:extent cx="76835" cy="774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-770890</wp:posOffset>
            </wp:positionV>
            <wp:extent cx="76835" cy="774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-762635</wp:posOffset>
            </wp:positionV>
            <wp:extent cx="6032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000000"/>
                        </a:clrFrom>
                        <a:clrTo>
                          <a:srgbClr val="000000">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-762635</wp:posOffset>
            </wp:positionV>
            <wp:extent cx="6032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-479425</wp:posOffset>
            </wp:positionV>
            <wp:extent cx="76835" cy="76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000000"/>
                        </a:clrFrom>
                        <a:clrTo>
                          <a:srgbClr val="000000">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-479425</wp:posOffset>
            </wp:positionV>
            <wp:extent cx="76835" cy="768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-471170</wp:posOffset>
            </wp:positionV>
            <wp:extent cx="6032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000000"/>
                        </a:clrFrom>
                        <a:clrTo>
                          <a:srgbClr val="000000">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-471170</wp:posOffset>
            </wp:positionV>
            <wp:extent cx="6032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-187960</wp:posOffset>
            </wp:positionV>
            <wp:extent cx="76835" cy="77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000000"/>
                        </a:clrFrom>
                        <a:clrTo>
                          <a:srgbClr val="000000">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320040</wp:posOffset>
            </wp:positionH>
            <wp:positionV relativeFrom="paragraph">
              <wp:posOffset>-187960</wp:posOffset>
            </wp:positionV>
            <wp:extent cx="76835" cy="774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-179705</wp:posOffset>
            </wp:positionV>
            <wp:extent cx="6032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000000"/>
                        </a:clrFrom>
                        <a:clrTo>
                          <a:srgbClr val="000000">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-179705</wp:posOffset>
            </wp:positionV>
            <wp:extent cx="6032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126" w:lineRule="exact"/>
        <w:rPr>
          <w:sz w:val="20"/>
          <w:szCs w:val="20"/>
          <w:color w:val="auto"/>
        </w:rPr>
      </w:pPr>
    </w:p>
    <w:p>
      <w:pPr>
        <w:ind w:left="440" w:right="740"/>
        <w:spacing w:after="0" w:line="267" w:lineRule="auto"/>
        <w:rPr>
          <w:sz w:val="20"/>
          <w:szCs w:val="20"/>
          <w:color w:val="auto"/>
        </w:rPr>
      </w:pPr>
      <w:r>
        <w:rPr>
          <w:rFonts w:ascii="Arial" w:cs="Arial" w:eastAsia="Arial" w:hAnsi="Arial"/>
          <w:sz w:val="42"/>
          <w:szCs w:val="42"/>
          <w:b w:val="1"/>
          <w:bCs w:val="1"/>
          <w:color w:val="7F7F7F"/>
        </w:rPr>
        <w:t>COMPENSATION COMMITTEE INTERLOCKS AND INSIDER PARTICIPATION</w:t>
      </w:r>
    </w:p>
    <w:p>
      <w:pPr>
        <w:spacing w:after="0" w:line="3" w:lineRule="exact"/>
        <w:rPr>
          <w:sz w:val="20"/>
          <w:szCs w:val="20"/>
          <w:color w:val="auto"/>
        </w:rPr>
      </w:pPr>
    </w:p>
    <w:p>
      <w:pPr>
        <w:ind w:left="440" w:right="220"/>
        <w:spacing w:after="0" w:line="287" w:lineRule="auto"/>
        <w:rPr>
          <w:sz w:val="20"/>
          <w:szCs w:val="20"/>
          <w:color w:val="auto"/>
        </w:rPr>
      </w:pPr>
      <w:r>
        <w:rPr>
          <w:rFonts w:ascii="Arial" w:cs="Arial" w:eastAsia="Arial" w:hAnsi="Arial"/>
          <w:sz w:val="18"/>
          <w:szCs w:val="18"/>
          <w:color w:val="auto"/>
        </w:rPr>
        <w:t>The Committee’s current members are all independent, non-employee directors as of the date hereof. None of the current Committee members has served as an officer or employee of the Company.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COMMITTEE REPORT</w:t>
      </w:r>
    </w:p>
    <w:p>
      <w:pPr>
        <w:spacing w:after="0" w:line="111" w:lineRule="exact"/>
        <w:rPr>
          <w:sz w:val="20"/>
          <w:szCs w:val="20"/>
          <w:color w:val="auto"/>
        </w:rPr>
      </w:pPr>
    </w:p>
    <w:p>
      <w:pPr>
        <w:ind w:left="440" w:right="40"/>
        <w:spacing w:after="0" w:line="282" w:lineRule="auto"/>
        <w:rPr>
          <w:sz w:val="20"/>
          <w:szCs w:val="20"/>
          <w:color w:val="auto"/>
        </w:rPr>
      </w:pPr>
      <w:r>
        <w:rPr>
          <w:rFonts w:ascii="Arial" w:cs="Arial" w:eastAsia="Arial" w:hAnsi="Arial"/>
          <w:sz w:val="17"/>
          <w:szCs w:val="17"/>
          <w:color w:val="auto"/>
        </w:rPr>
        <w:t>The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2021 and how those decisions support and implement our philosophy.</w:t>
      </w:r>
    </w:p>
    <w:p>
      <w:pPr>
        <w:spacing w:after="0" w:line="53" w:lineRule="exact"/>
        <w:rPr>
          <w:sz w:val="20"/>
          <w:szCs w:val="20"/>
          <w:color w:val="auto"/>
        </w:rPr>
      </w:pPr>
    </w:p>
    <w:p>
      <w:pPr>
        <w:ind w:left="440" w:right="300"/>
        <w:spacing w:after="0" w:line="287" w:lineRule="auto"/>
        <w:rPr>
          <w:sz w:val="20"/>
          <w:szCs w:val="20"/>
          <w:color w:val="auto"/>
        </w:rPr>
      </w:pPr>
      <w:r>
        <w:rPr>
          <w:rFonts w:ascii="Arial" w:cs="Arial" w:eastAsia="Arial" w:hAnsi="Arial"/>
          <w:sz w:val="18"/>
          <w:szCs w:val="18"/>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194945</wp:posOffset>
            </wp:positionV>
            <wp:extent cx="1156970"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56970" cy="25717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117475</wp:posOffset>
            </wp:positionV>
            <wp:extent cx="3145790" cy="3340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45790" cy="3340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rPr>
              <w:t>​ ​</w:t>
            </w:r>
          </w:p>
        </w:tc>
        <w:tc>
          <w:tcPr>
            <w:tcW w:w="226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rPr>
              <w:t>​ ​</w:t>
            </w:r>
          </w:p>
        </w:tc>
        <w:tc>
          <w:tcPr>
            <w:tcW w:w="2540" w:type="dxa"/>
            <w:vAlign w:val="bottom"/>
          </w:tcPr>
          <w:p>
            <w:pPr>
              <w:spacing w:after="0"/>
              <w:rPr>
                <w:sz w:val="18"/>
                <w:szCs w:val="18"/>
                <w:color w:val="auto"/>
              </w:rPr>
            </w:pPr>
          </w:p>
        </w:tc>
        <w:tc>
          <w:tcPr>
            <w:tcW w:w="6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7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ind w:left="360"/>
              <w:spacing w:after="0" w:line="181" w:lineRule="exact"/>
              <w:rPr>
                <w:sz w:val="20"/>
                <w:szCs w:val="20"/>
                <w:color w:val="auto"/>
              </w:rPr>
            </w:pPr>
            <w:r>
              <w:rPr>
                <w:rFonts w:ascii="Arial" w:cs="Arial" w:eastAsia="Arial" w:hAnsi="Arial"/>
                <w:sz w:val="18"/>
                <w:szCs w:val="18"/>
                <w:color w:val="auto"/>
              </w:rPr>
              <w:t>​ ​</w:t>
            </w:r>
          </w:p>
        </w:tc>
        <w:tc>
          <w:tcPr>
            <w:tcW w:w="2260" w:type="dxa"/>
            <w:vAlign w:val="bottom"/>
            <w:vMerge w:val="restart"/>
          </w:tcPr>
          <w:p>
            <w:pPr>
              <w:ind w:left="40"/>
              <w:spacing w:after="0"/>
              <w:rPr>
                <w:sz w:val="20"/>
                <w:szCs w:val="20"/>
                <w:color w:val="auto"/>
              </w:rPr>
            </w:pPr>
            <w:r>
              <w:rPr>
                <w:rFonts w:ascii="Arial" w:cs="Arial" w:eastAsia="Arial" w:hAnsi="Arial"/>
                <w:sz w:val="18"/>
                <w:szCs w:val="18"/>
                <w:color w:val="auto"/>
              </w:rPr>
              <w:t>Neal P. Goldman</w:t>
            </w:r>
          </w:p>
        </w:tc>
        <w:tc>
          <w:tcPr>
            <w:tcW w:w="1080" w:type="dxa"/>
            <w:vAlign w:val="bottom"/>
          </w:tcPr>
          <w:p>
            <w:pPr>
              <w:ind w:left="900"/>
              <w:spacing w:after="0" w:line="181" w:lineRule="exact"/>
              <w:rPr>
                <w:sz w:val="20"/>
                <w:szCs w:val="20"/>
                <w:color w:val="auto"/>
              </w:rPr>
            </w:pPr>
            <w:r>
              <w:rPr>
                <w:rFonts w:ascii="Arial" w:cs="Arial" w:eastAsia="Arial" w:hAnsi="Arial"/>
                <w:sz w:val="18"/>
                <w:szCs w:val="18"/>
                <w:color w:val="auto"/>
              </w:rPr>
              <w:t>​ ​</w:t>
            </w:r>
          </w:p>
        </w:tc>
        <w:tc>
          <w:tcPr>
            <w:tcW w:w="2540" w:type="dxa"/>
            <w:vAlign w:val="bottom"/>
            <w:vMerge w:val="restart"/>
          </w:tcPr>
          <w:p>
            <w:pPr>
              <w:ind w:left="20"/>
              <w:spacing w:after="0"/>
              <w:rPr>
                <w:sz w:val="20"/>
                <w:szCs w:val="20"/>
                <w:color w:val="auto"/>
              </w:rPr>
            </w:pPr>
            <w:r>
              <w:rPr>
                <w:rFonts w:ascii="Arial" w:cs="Arial" w:eastAsia="Arial" w:hAnsi="Arial"/>
                <w:sz w:val="18"/>
                <w:szCs w:val="18"/>
                <w:color w:val="auto"/>
              </w:rPr>
              <w:t>Jacqueline C. Mutschler</w:t>
            </w:r>
          </w:p>
        </w:tc>
        <w:tc>
          <w:tcPr>
            <w:tcW w:w="660" w:type="dxa"/>
            <w:vAlign w:val="bottom"/>
            <w:gridSpan w:val="2"/>
          </w:tcPr>
          <w:p>
            <w:pPr>
              <w:ind w:left="60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276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color w:val="auto"/>
              </w:rPr>
              <w:t>Benjamin C. Duster, IV (Chair)</w:t>
            </w:r>
          </w:p>
        </w:tc>
        <w:tc>
          <w:tcPr>
            <w:tcW w:w="5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1105535</wp:posOffset>
            </wp:positionV>
            <wp:extent cx="6231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hanging="282"/>
        <w:spacing w:after="0"/>
        <w:tabs>
          <w:tab w:leader="none" w:pos="720" w:val="left"/>
        </w:tabs>
        <w:numPr>
          <w:ilvl w:val="0"/>
          <w:numId w:val="4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right="780"/>
        <w:spacing w:after="0" w:line="250" w:lineRule="auto"/>
        <w:rPr>
          <w:sz w:val="20"/>
          <w:szCs w:val="20"/>
          <w:color w:val="auto"/>
        </w:rPr>
      </w:pPr>
      <w:r>
        <w:rPr>
          <w:rFonts w:ascii="Arial" w:cs="Arial" w:eastAsia="Arial" w:hAnsi="Arial"/>
          <w:sz w:val="65"/>
          <w:szCs w:val="65"/>
          <w:b w:val="1"/>
          <w:bCs w:val="1"/>
          <w:color w:val="BA0C2F"/>
        </w:rPr>
        <w:t>EXECUTIVE COMPENSATION TABLES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2021 SUMMARY COMPENSATION TABLE</w:t>
      </w:r>
    </w:p>
    <w:p>
      <w:pPr>
        <w:spacing w:after="0" w:line="122" w:lineRule="exact"/>
        <w:rPr>
          <w:sz w:val="20"/>
          <w:szCs w:val="20"/>
          <w:color w:val="auto"/>
        </w:rPr>
      </w:pPr>
    </w:p>
    <w:p>
      <w:pPr>
        <w:ind w:left="440" w:right="680"/>
        <w:spacing w:after="0" w:line="275" w:lineRule="auto"/>
        <w:rPr>
          <w:sz w:val="20"/>
          <w:szCs w:val="20"/>
          <w:color w:val="auto"/>
        </w:rPr>
      </w:pPr>
      <w:r>
        <w:rPr>
          <w:rFonts w:ascii="Arial" w:cs="Arial" w:eastAsia="Arial" w:hAnsi="Arial"/>
          <w:sz w:val="17"/>
          <w:szCs w:val="17"/>
          <w:color w:val="auto"/>
        </w:rPr>
        <w:t>This table shows the total compensation paid for the years ended December 31, 2021, 2020 and 2019 to our NEOs, including one former executive officer. Information is not provided (i) for 2019 for Messrs. Saligram, Jennings and Weatherholt and (ii) for 2020 and 2019 for Messrs. Mongrain and Mills because they were not NEOs in those years.</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Non-Equity</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(Cash)</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4"/>
                <w:szCs w:val="14"/>
                <w:color w:val="auto"/>
                <w:w w:val="99"/>
              </w:rPr>
              <w:t>All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Salary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color w:val="auto"/>
              </w:rPr>
              <w:t>Bonus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color w:val="auto"/>
              </w:rPr>
              <w:t>Awards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Incentive</w:t>
            </w:r>
          </w:p>
        </w:tc>
        <w:tc>
          <w:tcPr>
            <w:tcW w:w="1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20"/>
                <w:szCs w:val="20"/>
                <w:color w:val="auto"/>
              </w:rPr>
            </w:pPr>
            <w:r>
              <w:rPr>
                <w:rFonts w:ascii="Arial" w:cs="Arial" w:eastAsia="Arial" w:hAnsi="Arial"/>
                <w:sz w:val="14"/>
                <w:szCs w:val="14"/>
                <w:color w:val="auto"/>
              </w:rPr>
              <w:t>Name and Principal Position</w:t>
            </w:r>
          </w:p>
        </w:tc>
        <w:tc>
          <w:tcPr>
            <w:tcW w:w="1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ind w:left="120"/>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Year</w:t>
            </w:r>
          </w:p>
        </w:tc>
        <w:tc>
          <w:tcPr>
            <w:tcW w:w="1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3"/>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(7)</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3"/>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2"/>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(9)</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(10)</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99"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30"/>
        </w:trPr>
        <w:tc>
          <w:tcPr>
            <w:tcW w:w="2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Girishchandra K. Saligram</w:t>
            </w:r>
            <w:r>
              <w:rPr>
                <w:rFonts w:ascii="Arial" w:cs="Arial" w:eastAsia="Arial" w:hAnsi="Arial"/>
                <w:sz w:val="17"/>
                <w:szCs w:val="17"/>
                <w:color w:val="auto"/>
                <w:vertAlign w:val="superscript"/>
              </w:rPr>
              <w:t>(1)</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CCCCCC"/>
            </w:tcBorders>
            <w:shd w:val="clear" w:color="auto" w:fill="CCCCCC"/>
          </w:tcPr>
          <w:p>
            <w:pPr>
              <w:spacing w:after="0"/>
              <w:rPr>
                <w:sz w:val="20"/>
                <w:szCs w:val="20"/>
                <w:color w:val="auto"/>
              </w:rPr>
            </w:pPr>
          </w:p>
        </w:tc>
        <w:tc>
          <w:tcPr>
            <w:tcW w:w="600" w:type="dxa"/>
            <w:vAlign w:val="bottom"/>
            <w:tcBorders>
              <w:top w:val="single" w:sz="8" w:color="auto"/>
              <w:bottom w:val="single" w:sz="8" w:color="CCCCCC"/>
            </w:tcBorders>
            <w:gridSpan w:val="2"/>
            <w:shd w:val="clear" w:color="auto" w:fill="CCCCCC"/>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​2021</w:t>
            </w:r>
            <w:r>
              <w:rPr>
                <w:rFonts w:ascii="Arial" w:cs="Arial" w:eastAsia="Arial" w:hAnsi="Arial"/>
                <w:sz w:val="26"/>
                <w:szCs w:val="26"/>
                <w:color w:val="auto"/>
                <w:vertAlign w:val="superscript"/>
              </w:rPr>
              <w:t>​ ​</w:t>
            </w:r>
          </w:p>
        </w:tc>
        <w:tc>
          <w:tcPr>
            <w:tcW w:w="900" w:type="dxa"/>
            <w:vAlign w:val="bottom"/>
            <w:tcBorders>
              <w:top w:val="single" w:sz="8" w:color="auto"/>
              <w:bottom w:val="single" w:sz="8" w:color="CCCCCC"/>
            </w:tcBorders>
            <w:gridSpan w:val="2"/>
            <w:shd w:val="clear" w:color="auto" w:fill="CCCCCC"/>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​837,500</w:t>
            </w:r>
            <w:r>
              <w:rPr>
                <w:rFonts w:ascii="Arial" w:cs="Arial" w:eastAsia="Arial" w:hAnsi="Arial"/>
                <w:sz w:val="26"/>
                <w:szCs w:val="26"/>
                <w:color w:val="auto"/>
                <w:vertAlign w:val="superscript"/>
              </w:rPr>
              <w:t>​ ​</w:t>
            </w:r>
          </w:p>
        </w:tc>
        <w:tc>
          <w:tcPr>
            <w:tcW w:w="320" w:type="dxa"/>
            <w:vAlign w:val="bottom"/>
            <w:tcBorders>
              <w:top w:val="single" w:sz="8" w:color="auto"/>
              <w:bottom w:val="single" w:sz="8" w:color="CCCCCC"/>
            </w:tcBorders>
            <w:gridSpan w:val="2"/>
            <w:shd w:val="clear" w:color="auto" w:fill="CCCCCC"/>
          </w:tcPr>
          <w:p>
            <w:pPr>
              <w:jc w:val="right"/>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720" w:type="dxa"/>
            <w:vAlign w:val="bottom"/>
            <w:tcBorders>
              <w:top w:val="single" w:sz="8" w:color="auto"/>
              <w:bottom w:val="single" w:sz="8" w:color="CCCCCC"/>
            </w:tcBorders>
            <w:shd w:val="clear" w:color="auto" w:fill="CCCCCC"/>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1040" w:type="dxa"/>
            <w:vAlign w:val="bottom"/>
            <w:tcBorders>
              <w:top w:val="single" w:sz="8" w:color="auto"/>
              <w:bottom w:val="single" w:sz="8" w:color="CCCCCC"/>
            </w:tcBorders>
            <w:gridSpan w:val="3"/>
            <w:shd w:val="clear" w:color="auto" w:fill="CCCCCC"/>
          </w:tcPr>
          <w:p>
            <w:pPr>
              <w:jc w:val="right"/>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​9,296,759</w:t>
            </w:r>
            <w:r>
              <w:rPr>
                <w:rFonts w:ascii="Arial" w:cs="Arial" w:eastAsia="Arial" w:hAnsi="Arial"/>
                <w:sz w:val="26"/>
                <w:szCs w:val="26"/>
                <w:color w:val="auto"/>
                <w:vertAlign w:val="superscript"/>
              </w:rPr>
              <w:t>​ ​</w:t>
            </w:r>
          </w:p>
        </w:tc>
        <w:tc>
          <w:tcPr>
            <w:tcW w:w="200" w:type="dxa"/>
            <w:vAlign w:val="bottom"/>
            <w:tcBorders>
              <w:top w:val="single" w:sz="8" w:color="auto"/>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CCCC"/>
            </w:tcBorders>
            <w:gridSpan w:val="2"/>
            <w:shd w:val="clear" w:color="auto" w:fill="CCCCCC"/>
          </w:tcPr>
          <w:p>
            <w:pPr>
              <w:jc w:val="right"/>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​2,444,375 </w:t>
            </w:r>
            <w:r>
              <w:rPr>
                <w:rFonts w:ascii="Arial" w:cs="Arial" w:eastAsia="Arial" w:hAnsi="Arial"/>
                <w:sz w:val="26"/>
                <w:szCs w:val="26"/>
                <w:color w:val="auto"/>
                <w:vertAlign w:val="superscript"/>
              </w:rPr>
              <w:t>​ ​</w:t>
            </w:r>
          </w:p>
        </w:tc>
        <w:tc>
          <w:tcPr>
            <w:tcW w:w="180" w:type="dxa"/>
            <w:vAlign w:val="bottom"/>
            <w:tcBorders>
              <w:top w:val="single" w:sz="8" w:color="auto"/>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CCCC"/>
            </w:tcBorders>
            <w:gridSpan w:val="2"/>
            <w:shd w:val="clear" w:color="auto" w:fill="CCCCCC"/>
          </w:tcPr>
          <w:p>
            <w:pPr>
              <w:ind w:left="24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12,435</w:t>
            </w:r>
          </w:p>
        </w:tc>
        <w:tc>
          <w:tcPr>
            <w:tcW w:w="100" w:type="dxa"/>
            <w:vAlign w:val="bottom"/>
            <w:tcBorders>
              <w:top w:val="single" w:sz="8" w:color="auto"/>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CCCC"/>
            </w:tcBorders>
            <w:gridSpan w:val="3"/>
            <w:shd w:val="clear" w:color="auto" w:fill="CCCCCC"/>
          </w:tcPr>
          <w:p>
            <w:pPr>
              <w:ind w:left="120"/>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​12,591,069</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President and CEO</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2"/>
          </w:tcPr>
          <w:p>
            <w:pPr>
              <w:jc w:val="right"/>
              <w:spacing w:after="0" w:line="24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​2020</w:t>
            </w:r>
            <w:r>
              <w:rPr>
                <w:rFonts w:ascii="Arial" w:cs="Arial" w:eastAsia="Arial" w:hAnsi="Arial"/>
                <w:sz w:val="28"/>
                <w:szCs w:val="28"/>
                <w:color w:val="auto"/>
                <w:vertAlign w:val="superscript"/>
              </w:rPr>
              <w:t>​ ​</w:t>
            </w:r>
          </w:p>
        </w:tc>
        <w:tc>
          <w:tcPr>
            <w:tcW w:w="900" w:type="dxa"/>
            <w:vAlign w:val="bottom"/>
            <w:gridSpan w:val="2"/>
          </w:tcPr>
          <w:p>
            <w:pPr>
              <w:jc w:val="right"/>
              <w:spacing w:after="0" w:line="24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​184,375</w:t>
            </w:r>
            <w:r>
              <w:rPr>
                <w:rFonts w:ascii="Arial" w:cs="Arial" w:eastAsia="Arial" w:hAnsi="Arial"/>
                <w:sz w:val="28"/>
                <w:szCs w:val="28"/>
                <w:color w:val="auto"/>
                <w:vertAlign w:val="superscript"/>
              </w:rPr>
              <w:t>​ ​</w:t>
            </w:r>
          </w:p>
        </w:tc>
        <w:tc>
          <w:tcPr>
            <w:tcW w:w="320" w:type="dxa"/>
            <w:vAlign w:val="bottom"/>
            <w:gridSpan w:val="2"/>
          </w:tcPr>
          <w:p>
            <w:pPr>
              <w:jc w:val="right"/>
              <w:spacing w:after="0" w:line="24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tcPr>
          <w:p>
            <w:pPr>
              <w:jc w:val="right"/>
              <w:spacing w:after="0" w:line="247" w:lineRule="exact"/>
              <w:rPr>
                <w:sz w:val="20"/>
                <w:szCs w:val="20"/>
                <w:color w:val="auto"/>
              </w:rPr>
            </w:pPr>
            <w:r>
              <w:rPr>
                <w:rFonts w:ascii="Arial" w:cs="Arial" w:eastAsia="Arial" w:hAnsi="Arial"/>
                <w:sz w:val="14"/>
                <w:szCs w:val="14"/>
                <w:color w:val="auto"/>
              </w:rPr>
              <w:t>400,000</w:t>
            </w:r>
            <w:r>
              <w:rPr>
                <w:rFonts w:ascii="Arial" w:cs="Arial" w:eastAsia="Arial" w:hAnsi="Arial"/>
                <w:sz w:val="28"/>
                <w:szCs w:val="28"/>
                <w:color w:val="auto"/>
                <w:vertAlign w:val="superscript"/>
              </w:rPr>
              <w:t>​ ​</w:t>
            </w:r>
          </w:p>
        </w:tc>
        <w:tc>
          <w:tcPr>
            <w:tcW w:w="320" w:type="dxa"/>
            <w:vAlign w:val="bottom"/>
            <w:gridSpan w:val="2"/>
          </w:tcPr>
          <w:p>
            <w:pPr>
              <w:jc w:val="right"/>
              <w:spacing w:after="0" w:line="24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tcPr>
          <w:p>
            <w:pPr>
              <w:jc w:val="right"/>
              <w:spacing w:after="0" w:line="247" w:lineRule="exact"/>
              <w:rPr>
                <w:sz w:val="20"/>
                <w:szCs w:val="20"/>
                <w:color w:val="auto"/>
              </w:rPr>
            </w:pPr>
            <w:r>
              <w:rPr>
                <w:rFonts w:ascii="Arial" w:cs="Arial" w:eastAsia="Arial" w:hAnsi="Arial"/>
                <w:sz w:val="14"/>
                <w:szCs w:val="14"/>
                <w:color w:val="auto"/>
              </w:rPr>
              <w:t>833,896</w:t>
            </w:r>
            <w:r>
              <w:rPr>
                <w:rFonts w:ascii="Arial" w:cs="Arial" w:eastAsia="Arial" w:hAnsi="Arial"/>
                <w:sz w:val="28"/>
                <w:szCs w:val="28"/>
                <w:color w:val="auto"/>
                <w:vertAlign w:val="superscript"/>
              </w:rPr>
              <w:t>​ ​</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4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820" w:type="dxa"/>
            <w:vAlign w:val="bottom"/>
          </w:tcPr>
          <w:p>
            <w:pPr>
              <w:jc w:val="right"/>
              <w:spacing w:after="0" w:line="247" w:lineRule="exact"/>
              <w:rPr>
                <w:sz w:val="20"/>
                <w:szCs w:val="20"/>
                <w:color w:val="auto"/>
              </w:rPr>
            </w:pPr>
            <w:r>
              <w:rPr>
                <w:rFonts w:ascii="Arial" w:cs="Arial" w:eastAsia="Arial" w:hAnsi="Arial"/>
                <w:sz w:val="14"/>
                <w:szCs w:val="14"/>
                <w:color w:val="auto"/>
              </w:rPr>
              <w:t xml:space="preserve">307,318 </w:t>
            </w:r>
            <w:r>
              <w:rPr>
                <w:rFonts w:ascii="Arial" w:cs="Arial" w:eastAsia="Arial" w:hAnsi="Arial"/>
                <w:sz w:val="28"/>
                <w:szCs w:val="28"/>
                <w:color w:val="auto"/>
                <w:vertAlign w:val="superscript"/>
              </w:rPr>
              <w:t>​ ​</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line="24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688</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120"/>
              <w:spacing w:after="0" w:line="24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1,726,277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 ​</w:t>
            </w:r>
          </w:p>
        </w:tc>
        <w:tc>
          <w:tcPr>
            <w:tcW w:w="2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560" w:type="dxa"/>
            <w:vAlign w:val="bottom"/>
          </w:tcPr>
          <w:p>
            <w:pPr>
              <w:spacing w:after="0" w:line="20" w:lineRule="exact"/>
              <w:rPr>
                <w:sz w:val="1"/>
                <w:szCs w:val="1"/>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4"/>
                <w:szCs w:val="14"/>
                <w:color w:val="auto"/>
              </w:rPr>
              <w:t>H. Keith Jennings</w:t>
            </w:r>
            <w:r>
              <w:rPr>
                <w:rFonts w:ascii="Arial" w:cs="Arial" w:eastAsia="Arial" w:hAnsi="Arial"/>
                <w:sz w:val="17"/>
                <w:szCs w:val="17"/>
                <w:color w:val="auto"/>
                <w:vertAlign w:val="superscript"/>
              </w:rPr>
              <w:t>(2)</w:t>
            </w:r>
          </w:p>
        </w:tc>
        <w:tc>
          <w:tcPr>
            <w:tcW w:w="140" w:type="dxa"/>
            <w:vAlign w:val="bottom"/>
            <w:vMerge w:val="continue"/>
          </w:tcPr>
          <w:p>
            <w:pPr>
              <w:spacing w:after="0"/>
              <w:rPr>
                <w:sz w:val="20"/>
                <w:szCs w:val="20"/>
                <w:color w:val="auto"/>
              </w:rPr>
            </w:pPr>
          </w:p>
        </w:tc>
        <w:tc>
          <w:tcPr>
            <w:tcW w:w="6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​2021</w:t>
            </w:r>
            <w:r>
              <w:rPr>
                <w:rFonts w:ascii="Arial" w:cs="Arial" w:eastAsia="Arial" w:hAnsi="Arial"/>
                <w:sz w:val="27"/>
                <w:szCs w:val="27"/>
                <w:color w:val="auto"/>
                <w:vertAlign w:val="superscript"/>
              </w:rPr>
              <w:t>​ ​</w:t>
            </w:r>
          </w:p>
        </w:tc>
        <w:tc>
          <w:tcPr>
            <w:tcW w:w="90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​500,000</w:t>
            </w:r>
            <w:r>
              <w:rPr>
                <w:rFonts w:ascii="Arial" w:cs="Arial" w:eastAsia="Arial" w:hAnsi="Arial"/>
                <w:sz w:val="27"/>
                <w:szCs w:val="27"/>
                <w:color w:val="auto"/>
                <w:vertAlign w:val="superscript"/>
              </w:rPr>
              <w:t>​ ​</w:t>
            </w:r>
          </w:p>
        </w:tc>
        <w:tc>
          <w:tcPr>
            <w:tcW w:w="32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bscript"/>
              </w:rPr>
              <w:t>​</w:t>
            </w:r>
          </w:p>
        </w:tc>
        <w:tc>
          <w:tcPr>
            <w:tcW w:w="720" w:type="dxa"/>
            <w:vAlign w:val="bottom"/>
            <w:tcBorders>
              <w:bottom w:val="single" w:sz="8" w:color="CCCCCC"/>
            </w:tcBorders>
            <w:shd w:val="clear" w:color="auto" w:fill="CCCCCC"/>
          </w:tcPr>
          <w:p>
            <w:pPr>
              <w:jc w:val="right"/>
              <w:spacing w:after="0" w:line="233" w:lineRule="exact"/>
              <w:rPr>
                <w:sz w:val="20"/>
                <w:szCs w:val="20"/>
                <w:color w:val="auto"/>
              </w:rPr>
            </w:pPr>
            <w:r>
              <w:rPr>
                <w:rFonts w:ascii="Arial" w:cs="Arial" w:eastAsia="Arial" w:hAnsi="Arial"/>
                <w:sz w:val="14"/>
                <w:szCs w:val="14"/>
                <w:color w:val="auto"/>
              </w:rPr>
              <w:t>290,000</w:t>
            </w:r>
            <w:r>
              <w:rPr>
                <w:rFonts w:ascii="Arial" w:cs="Arial" w:eastAsia="Arial" w:hAnsi="Arial"/>
                <w:sz w:val="27"/>
                <w:szCs w:val="27"/>
                <w:color w:val="auto"/>
                <w:vertAlign w:val="superscript"/>
              </w:rPr>
              <w:t>​ ​</w:t>
            </w:r>
          </w:p>
        </w:tc>
        <w:tc>
          <w:tcPr>
            <w:tcW w:w="1040" w:type="dxa"/>
            <w:vAlign w:val="bottom"/>
            <w:tcBorders>
              <w:bottom w:val="single" w:sz="8" w:color="CCCCCC"/>
            </w:tcBorders>
            <w:gridSpan w:val="3"/>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​3,954,913</w:t>
            </w:r>
            <w:r>
              <w:rPr>
                <w:rFonts w:ascii="Arial" w:cs="Arial" w:eastAsia="Arial" w:hAnsi="Arial"/>
                <w:sz w:val="27"/>
                <w:szCs w:val="27"/>
                <w:color w:val="auto"/>
                <w:vertAlign w:val="superscript"/>
              </w:rPr>
              <w:t>​ ​</w:t>
            </w:r>
          </w:p>
        </w:tc>
        <w:tc>
          <w:tcPr>
            <w:tcW w:w="20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​1,137,500 </w:t>
            </w:r>
            <w:r>
              <w:rPr>
                <w:rFonts w:ascii="Arial" w:cs="Arial" w:eastAsia="Arial" w:hAnsi="Arial"/>
                <w:sz w:val="27"/>
                <w:szCs w:val="27"/>
                <w:color w:val="auto"/>
                <w:vertAlign w:val="superscript"/>
              </w:rPr>
              <w:t>​ ​</w:t>
            </w:r>
          </w:p>
        </w:tc>
        <w:tc>
          <w:tcPr>
            <w:tcW w:w="18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CCCCCC"/>
          </w:tcPr>
          <w:p>
            <w:pPr>
              <w:ind w:left="240"/>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11,676</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3"/>
            <w:shd w:val="clear" w:color="auto" w:fill="CCCCCC"/>
          </w:tcPr>
          <w:p>
            <w:pPr>
              <w:ind w:left="120"/>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5,894,089</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​2020</w:t>
            </w:r>
            <w:r>
              <w:rPr>
                <w:rFonts w:ascii="Arial" w:cs="Arial" w:eastAsia="Arial" w:hAnsi="Arial"/>
                <w:sz w:val="20"/>
                <w:szCs w:val="20"/>
                <w:color w:val="auto"/>
                <w:vertAlign w:val="superscript"/>
              </w:rPr>
              <w:t>​ ​</w:t>
            </w:r>
          </w:p>
        </w:tc>
        <w:tc>
          <w:tcPr>
            <w:tcW w:w="9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​166,667</w:t>
            </w:r>
            <w:r>
              <w:rPr>
                <w:rFonts w:ascii="Arial" w:cs="Arial" w:eastAsia="Arial" w:hAnsi="Arial"/>
                <w:sz w:val="20"/>
                <w:szCs w:val="20"/>
                <w:color w:val="auto"/>
                <w:vertAlign w:val="superscript"/>
              </w:rPr>
              <w:t>​ ​</w:t>
            </w:r>
          </w:p>
        </w:tc>
        <w:tc>
          <w:tcPr>
            <w:tcW w:w="3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720" w:type="dxa"/>
            <w:vAlign w:val="bottom"/>
          </w:tcPr>
          <w:p>
            <w:pPr>
              <w:jc w:val="right"/>
              <w:spacing w:after="0" w:line="176" w:lineRule="exact"/>
              <w:rPr>
                <w:sz w:val="20"/>
                <w:szCs w:val="20"/>
                <w:color w:val="auto"/>
              </w:rPr>
            </w:pPr>
            <w:r>
              <w:rPr>
                <w:rFonts w:ascii="Arial" w:cs="Arial" w:eastAsia="Arial" w:hAnsi="Arial"/>
                <w:sz w:val="12"/>
                <w:szCs w:val="12"/>
                <w:color w:val="auto"/>
              </w:rPr>
              <w:t>250,000</w:t>
            </w:r>
            <w:r>
              <w:rPr>
                <w:rFonts w:ascii="Arial" w:cs="Arial" w:eastAsia="Arial" w:hAnsi="Arial"/>
                <w:sz w:val="20"/>
                <w:szCs w:val="20"/>
                <w:color w:val="auto"/>
                <w:vertAlign w:val="superscript"/>
              </w:rPr>
              <w:t>​ ​</w:t>
            </w:r>
          </w:p>
        </w:tc>
        <w:tc>
          <w:tcPr>
            <w:tcW w:w="3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720" w:type="dxa"/>
            <w:vAlign w:val="bottom"/>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176"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820" w:type="dxa"/>
            <w:vAlign w:val="bottom"/>
          </w:tcPr>
          <w:p>
            <w:pPr>
              <w:jc w:val="right"/>
              <w:spacing w:after="0" w:line="176" w:lineRule="exact"/>
              <w:rPr>
                <w:sz w:val="20"/>
                <w:szCs w:val="20"/>
                <w:color w:val="auto"/>
              </w:rPr>
            </w:pPr>
            <w:r>
              <w:rPr>
                <w:rFonts w:ascii="Arial" w:cs="Arial" w:eastAsia="Arial" w:hAnsi="Arial"/>
                <w:sz w:val="12"/>
                <w:szCs w:val="12"/>
                <w:color w:val="auto"/>
              </w:rPr>
              <w:t xml:space="preserve">220,537 </w:t>
            </w:r>
            <w:r>
              <w:rPr>
                <w:rFonts w:ascii="Arial" w:cs="Arial" w:eastAsia="Arial" w:hAnsi="Arial"/>
                <w:sz w:val="20"/>
                <w:szCs w:val="20"/>
                <w:color w:val="auto"/>
                <w:vertAlign w:val="superscript"/>
              </w:rPr>
              <w:t>​ ​</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2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​150,738</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120"/>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787,942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line="20" w:lineRule="exact"/>
              <w:rPr>
                <w:sz w:val="1"/>
                <w:szCs w:val="1"/>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36"/>
        </w:trPr>
        <w:tc>
          <w:tcPr>
            <w:tcW w:w="2560" w:type="dxa"/>
            <w:vAlign w:val="bottom"/>
          </w:tcPr>
          <w:p>
            <w:pPr>
              <w:spacing w:after="0"/>
              <w:rPr>
                <w:sz w:val="20"/>
                <w:szCs w:val="20"/>
                <w:color w:val="auto"/>
              </w:rPr>
            </w:pPr>
            <w:r>
              <w:rPr>
                <w:rFonts w:ascii="Arial" w:cs="Arial" w:eastAsia="Arial" w:hAnsi="Arial"/>
                <w:sz w:val="14"/>
                <w:szCs w:val="14"/>
                <w:color w:val="auto"/>
              </w:rPr>
              <w:t>Scott C. Weatherholt</w:t>
            </w:r>
            <w:r>
              <w:rPr>
                <w:rFonts w:ascii="Arial" w:cs="Arial" w:eastAsia="Arial" w:hAnsi="Arial"/>
                <w:sz w:val="17"/>
                <w:szCs w:val="17"/>
                <w:color w:val="auto"/>
                <w:vertAlign w:val="superscript"/>
              </w:rPr>
              <w:t>(3)</w:t>
            </w:r>
          </w:p>
        </w:tc>
        <w:tc>
          <w:tcPr>
            <w:tcW w:w="140" w:type="dxa"/>
            <w:vAlign w:val="bottom"/>
            <w:vMerge w:val="continue"/>
          </w:tcPr>
          <w:p>
            <w:pPr>
              <w:spacing w:after="0"/>
              <w:rPr>
                <w:sz w:val="20"/>
                <w:szCs w:val="20"/>
                <w:color w:val="auto"/>
              </w:rPr>
            </w:pPr>
          </w:p>
        </w:tc>
        <w:tc>
          <w:tcPr>
            <w:tcW w:w="6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​2021</w:t>
            </w:r>
            <w:r>
              <w:rPr>
                <w:rFonts w:ascii="Arial" w:cs="Arial" w:eastAsia="Arial" w:hAnsi="Arial"/>
                <w:sz w:val="27"/>
                <w:szCs w:val="27"/>
                <w:color w:val="auto"/>
                <w:vertAlign w:val="superscript"/>
              </w:rPr>
              <w:t>​ ​</w:t>
            </w:r>
          </w:p>
        </w:tc>
        <w:tc>
          <w:tcPr>
            <w:tcW w:w="90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​417,621</w:t>
            </w:r>
            <w:r>
              <w:rPr>
                <w:rFonts w:ascii="Arial" w:cs="Arial" w:eastAsia="Arial" w:hAnsi="Arial"/>
                <w:sz w:val="27"/>
                <w:szCs w:val="27"/>
                <w:color w:val="auto"/>
                <w:vertAlign w:val="superscript"/>
              </w:rPr>
              <w:t>​ ​</w:t>
            </w:r>
          </w:p>
        </w:tc>
        <w:tc>
          <w:tcPr>
            <w:tcW w:w="320" w:type="dxa"/>
            <w:vAlign w:val="bottom"/>
            <w:tcBorders>
              <w:bottom w:val="single" w:sz="8" w:color="CCCCCC"/>
            </w:tcBorders>
            <w:gridSpan w:val="2"/>
            <w:shd w:val="clear" w:color="auto" w:fill="CCCCCC"/>
          </w:tcPr>
          <w:p>
            <w:pPr>
              <w:jc w:val="right"/>
              <w:spacing w:after="0" w:line="233"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bscript"/>
              </w:rPr>
              <w:t>​</w:t>
            </w:r>
          </w:p>
        </w:tc>
        <w:tc>
          <w:tcPr>
            <w:tcW w:w="720" w:type="dxa"/>
            <w:vAlign w:val="bottom"/>
            <w:tcBorders>
              <w:bottom w:val="single" w:sz="8" w:color="CCCCCC"/>
            </w:tcBorders>
            <w:shd w:val="clear" w:color="auto" w:fill="CCCCCC"/>
          </w:tcPr>
          <w:p>
            <w:pPr>
              <w:jc w:val="right"/>
              <w:spacing w:after="0" w:line="233" w:lineRule="exact"/>
              <w:rPr>
                <w:sz w:val="20"/>
                <w:szCs w:val="20"/>
                <w:color w:val="auto"/>
              </w:rPr>
            </w:pPr>
            <w:r>
              <w:rPr>
                <w:rFonts w:ascii="Arial" w:cs="Arial" w:eastAsia="Arial" w:hAnsi="Arial"/>
                <w:sz w:val="14"/>
                <w:szCs w:val="14"/>
                <w:color w:val="auto"/>
              </w:rPr>
              <w:t>55,000</w:t>
            </w:r>
            <w:r>
              <w:rPr>
                <w:rFonts w:ascii="Arial" w:cs="Arial" w:eastAsia="Arial" w:hAnsi="Arial"/>
                <w:sz w:val="27"/>
                <w:szCs w:val="27"/>
                <w:color w:val="auto"/>
                <w:vertAlign w:val="superscript"/>
              </w:rPr>
              <w:t>​ ​</w:t>
            </w:r>
          </w:p>
        </w:tc>
        <w:tc>
          <w:tcPr>
            <w:tcW w:w="1040" w:type="dxa"/>
            <w:vAlign w:val="bottom"/>
            <w:tcBorders>
              <w:bottom w:val="single" w:sz="8" w:color="CCCCCC"/>
            </w:tcBorders>
            <w:gridSpan w:val="3"/>
            <w:shd w:val="clear" w:color="auto" w:fill="CCCCCC"/>
          </w:tcPr>
          <w:p>
            <w:pPr>
              <w:jc w:val="right"/>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​2,512,446</w:t>
            </w:r>
            <w:r>
              <w:rPr>
                <w:rFonts w:ascii="Arial" w:cs="Arial" w:eastAsia="Arial" w:hAnsi="Arial"/>
                <w:sz w:val="27"/>
                <w:szCs w:val="27"/>
                <w:color w:val="auto"/>
                <w:vertAlign w:val="superscript"/>
              </w:rPr>
              <w:t>​ ​</w:t>
            </w:r>
          </w:p>
        </w:tc>
        <w:tc>
          <w:tcPr>
            <w:tcW w:w="20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line="233"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820" w:type="dxa"/>
            <w:vAlign w:val="bottom"/>
            <w:tcBorders>
              <w:bottom w:val="single" w:sz="8" w:color="CCCCCC"/>
            </w:tcBorders>
            <w:shd w:val="clear" w:color="auto" w:fill="CCCCCC"/>
          </w:tcPr>
          <w:p>
            <w:pPr>
              <w:jc w:val="right"/>
              <w:spacing w:after="0" w:line="233" w:lineRule="exact"/>
              <w:rPr>
                <w:sz w:val="20"/>
                <w:szCs w:val="20"/>
                <w:color w:val="auto"/>
              </w:rPr>
            </w:pPr>
            <w:r>
              <w:rPr>
                <w:rFonts w:ascii="Arial" w:cs="Arial" w:eastAsia="Arial" w:hAnsi="Arial"/>
                <w:sz w:val="14"/>
                <w:szCs w:val="14"/>
                <w:color w:val="auto"/>
              </w:rPr>
              <w:t xml:space="preserve">845,750 </w:t>
            </w:r>
            <w:r>
              <w:rPr>
                <w:rFonts w:ascii="Arial" w:cs="Arial" w:eastAsia="Arial" w:hAnsi="Arial"/>
                <w:sz w:val="27"/>
                <w:szCs w:val="27"/>
                <w:color w:val="auto"/>
                <w:vertAlign w:val="superscript"/>
              </w:rPr>
              <w:t>​ ​</w:t>
            </w:r>
          </w:p>
        </w:tc>
        <w:tc>
          <w:tcPr>
            <w:tcW w:w="18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2"/>
            <w:shd w:val="clear" w:color="auto" w:fill="CCCCCC"/>
          </w:tcPr>
          <w:p>
            <w:pPr>
              <w:ind w:left="240"/>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10,772</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CCCC"/>
            </w:tcBorders>
            <w:gridSpan w:val="3"/>
            <w:shd w:val="clear" w:color="auto" w:fill="CCCCCC"/>
          </w:tcPr>
          <w:p>
            <w:pPr>
              <w:ind w:left="120"/>
              <w:spacing w:after="0" w:line="233"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3,841,589</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General</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​2020</w:t>
            </w:r>
            <w:r>
              <w:rPr>
                <w:rFonts w:ascii="Arial" w:cs="Arial" w:eastAsia="Arial" w:hAnsi="Arial"/>
                <w:sz w:val="20"/>
                <w:szCs w:val="20"/>
                <w:color w:val="auto"/>
                <w:vertAlign w:val="superscript"/>
              </w:rPr>
              <w:t>​ ​</w:t>
            </w:r>
          </w:p>
        </w:tc>
        <w:tc>
          <w:tcPr>
            <w:tcW w:w="9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​194,792</w:t>
            </w:r>
            <w:r>
              <w:rPr>
                <w:rFonts w:ascii="Arial" w:cs="Arial" w:eastAsia="Arial" w:hAnsi="Arial"/>
                <w:sz w:val="20"/>
                <w:szCs w:val="20"/>
                <w:color w:val="auto"/>
                <w:vertAlign w:val="superscript"/>
              </w:rPr>
              <w:t>​ ​</w:t>
            </w:r>
          </w:p>
        </w:tc>
        <w:tc>
          <w:tcPr>
            <w:tcW w:w="3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720" w:type="dxa"/>
            <w:vAlign w:val="bottom"/>
          </w:tcPr>
          <w:p>
            <w:pPr>
              <w:jc w:val="right"/>
              <w:spacing w:after="0" w:line="176" w:lineRule="exact"/>
              <w:rPr>
                <w:sz w:val="20"/>
                <w:szCs w:val="20"/>
                <w:color w:val="auto"/>
              </w:rPr>
            </w:pPr>
            <w:r>
              <w:rPr>
                <w:rFonts w:ascii="Arial" w:cs="Arial" w:eastAsia="Arial" w:hAnsi="Arial"/>
                <w:sz w:val="12"/>
                <w:szCs w:val="12"/>
                <w:color w:val="auto"/>
              </w:rPr>
              <w:t>200,000</w:t>
            </w:r>
            <w:r>
              <w:rPr>
                <w:rFonts w:ascii="Arial" w:cs="Arial" w:eastAsia="Arial" w:hAnsi="Arial"/>
                <w:sz w:val="20"/>
                <w:szCs w:val="20"/>
                <w:color w:val="auto"/>
                <w:vertAlign w:val="superscript"/>
              </w:rPr>
              <w:t>​ ​</w:t>
            </w:r>
          </w:p>
        </w:tc>
        <w:tc>
          <w:tcPr>
            <w:tcW w:w="3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720" w:type="dxa"/>
            <w:vAlign w:val="bottom"/>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2"/>
                <w:szCs w:val="12"/>
                <w:color w:val="auto"/>
              </w:rPr>
              <w:t xml:space="preserve">212,726 </w:t>
            </w:r>
            <w:r>
              <w:rPr>
                <w:rFonts w:ascii="Arial" w:cs="Arial" w:eastAsia="Arial" w:hAnsi="Arial"/>
                <w:sz w:val="20"/>
                <w:szCs w:val="20"/>
                <w:color w:val="auto"/>
                <w:vertAlign w:val="superscript"/>
              </w:rPr>
              <w:t>​ ​</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620</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120"/>
              <w:spacing w:after="0" w:line="176"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608,138</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Counsel and Chief Compliance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Officer</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90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gridSpan w:val="3"/>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4"/>
                <w:szCs w:val="14"/>
                <w:color w:val="auto"/>
              </w:rPr>
              <w:t>Joseph H. Mongrain</w:t>
            </w:r>
            <w:r>
              <w:rPr>
                <w:rFonts w:ascii="Arial" w:cs="Arial" w:eastAsia="Arial" w:hAnsi="Arial"/>
                <w:sz w:val="17"/>
                <w:szCs w:val="17"/>
                <w:color w:val="auto"/>
                <w:vertAlign w:val="superscript"/>
              </w:rPr>
              <w:t>(4)</w:t>
            </w:r>
          </w:p>
        </w:tc>
        <w:tc>
          <w:tcPr>
            <w:tcW w:w="140" w:type="dxa"/>
            <w:vAlign w:val="bottom"/>
            <w:vMerge w:val="continue"/>
          </w:tcPr>
          <w:p>
            <w:pPr>
              <w:spacing w:after="0"/>
              <w:rPr>
                <w:sz w:val="22"/>
                <w:szCs w:val="22"/>
                <w:color w:val="auto"/>
              </w:rPr>
            </w:pPr>
          </w:p>
        </w:tc>
        <w:tc>
          <w:tcPr>
            <w:tcW w:w="60" w:type="dxa"/>
            <w:vAlign w:val="bottom"/>
            <w:shd w:val="clear" w:color="auto" w:fill="CCCCCC"/>
          </w:tcPr>
          <w:p>
            <w:pPr>
              <w:spacing w:after="0"/>
              <w:rPr>
                <w:sz w:val="22"/>
                <w:szCs w:val="22"/>
                <w:color w:val="auto"/>
              </w:rPr>
            </w:pPr>
          </w:p>
        </w:tc>
        <w:tc>
          <w:tcPr>
            <w:tcW w:w="600" w:type="dxa"/>
            <w:vAlign w:val="bottom"/>
            <w:gridSpan w:val="2"/>
            <w:shd w:val="clear" w:color="auto" w:fill="CCCCCC"/>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​2021</w:t>
            </w:r>
            <w:r>
              <w:rPr>
                <w:rFonts w:ascii="Arial" w:cs="Arial" w:eastAsia="Arial" w:hAnsi="Arial"/>
                <w:sz w:val="28"/>
                <w:szCs w:val="28"/>
                <w:color w:val="auto"/>
                <w:vertAlign w:val="superscript"/>
              </w:rPr>
              <w:t>​ ​</w:t>
            </w:r>
          </w:p>
        </w:tc>
        <w:tc>
          <w:tcPr>
            <w:tcW w:w="900" w:type="dxa"/>
            <w:vAlign w:val="bottom"/>
            <w:gridSpan w:val="2"/>
            <w:shd w:val="clear" w:color="auto" w:fill="CCCCCC"/>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​291,111</w:t>
            </w:r>
            <w:r>
              <w:rPr>
                <w:rFonts w:ascii="Arial" w:cs="Arial" w:eastAsia="Arial" w:hAnsi="Arial"/>
                <w:sz w:val="28"/>
                <w:szCs w:val="28"/>
                <w:color w:val="auto"/>
                <w:vertAlign w:val="superscript"/>
              </w:rPr>
              <w:t>​ ​</w:t>
            </w:r>
          </w:p>
        </w:tc>
        <w:tc>
          <w:tcPr>
            <w:tcW w:w="320" w:type="dxa"/>
            <w:vAlign w:val="bottom"/>
            <w:gridSpan w:val="2"/>
            <w:shd w:val="clear" w:color="auto" w:fill="CCCCCC"/>
          </w:tcPr>
          <w:p>
            <w:pPr>
              <w:jc w:val="right"/>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shd w:val="clear" w:color="auto" w:fill="CCCCCC"/>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40" w:type="dxa"/>
            <w:vAlign w:val="bottom"/>
            <w:gridSpan w:val="3"/>
            <w:shd w:val="clear" w:color="auto" w:fill="CCCCCC"/>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​1,602,672</w:t>
            </w:r>
            <w:r>
              <w:rPr>
                <w:rFonts w:ascii="Arial" w:cs="Arial" w:eastAsia="Arial" w:hAnsi="Arial"/>
                <w:sz w:val="28"/>
                <w:szCs w:val="28"/>
                <w:color w:val="auto"/>
                <w:vertAlign w:val="superscript"/>
              </w:rPr>
              <w:t>​ ​</w:t>
            </w:r>
          </w:p>
        </w:tc>
        <w:tc>
          <w:tcPr>
            <w:tcW w:w="20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ind w:left="6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820" w:type="dxa"/>
            <w:vAlign w:val="bottom"/>
            <w:shd w:val="clear" w:color="auto" w:fill="CCCCCC"/>
          </w:tcPr>
          <w:p>
            <w:pPr>
              <w:jc w:val="right"/>
              <w:spacing w:after="0" w:line="257" w:lineRule="exact"/>
              <w:rPr>
                <w:sz w:val="20"/>
                <w:szCs w:val="20"/>
                <w:color w:val="auto"/>
              </w:rPr>
            </w:pPr>
            <w:r>
              <w:rPr>
                <w:rFonts w:ascii="Arial" w:cs="Arial" w:eastAsia="Arial" w:hAnsi="Arial"/>
                <w:sz w:val="14"/>
                <w:szCs w:val="14"/>
                <w:color w:val="auto"/>
              </w:rPr>
              <w:t xml:space="preserve">354,453 </w:t>
            </w:r>
            <w:r>
              <w:rPr>
                <w:rFonts w:ascii="Arial" w:cs="Arial" w:eastAsia="Arial" w:hAnsi="Arial"/>
                <w:sz w:val="28"/>
                <w:szCs w:val="28"/>
                <w:color w:val="auto"/>
                <w:vertAlign w:val="superscript"/>
              </w:rPr>
              <w:t>​ ​</w:t>
            </w:r>
          </w:p>
        </w:tc>
        <w:tc>
          <w:tcPr>
            <w:tcW w:w="18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CCCC"/>
          </w:tcPr>
          <w:p>
            <w:pPr>
              <w:ind w:left="24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12,132</w:t>
            </w:r>
          </w:p>
        </w:tc>
        <w:tc>
          <w:tcPr>
            <w:tcW w:w="200" w:type="dxa"/>
            <w:vAlign w:val="bottom"/>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960" w:type="dxa"/>
            <w:vAlign w:val="bottom"/>
            <w:gridSpan w:val="3"/>
            <w:shd w:val="clear" w:color="auto" w:fill="CCCCCC"/>
          </w:tcPr>
          <w:p>
            <w:pPr>
              <w:ind w:left="120"/>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2,260,368</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5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Chief People Officer</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560" w:type="dxa"/>
            <w:vAlign w:val="bottom"/>
          </w:tcPr>
          <w:p>
            <w:pPr>
              <w:spacing w:after="0"/>
              <w:rPr>
                <w:sz w:val="20"/>
                <w:szCs w:val="20"/>
                <w:color w:val="auto"/>
              </w:rPr>
            </w:pPr>
            <w:r>
              <w:rPr>
                <w:rFonts w:ascii="Arial" w:cs="Arial" w:eastAsia="Arial" w:hAnsi="Arial"/>
                <w:sz w:val="14"/>
                <w:szCs w:val="14"/>
                <w:color w:val="auto"/>
              </w:rPr>
              <w:t xml:space="preserve">Desmond J. Mills </w:t>
            </w:r>
            <w:r>
              <w:rPr>
                <w:rFonts w:ascii="Arial" w:cs="Arial" w:eastAsia="Arial" w:hAnsi="Arial"/>
                <w:sz w:val="17"/>
                <w:szCs w:val="17"/>
                <w:color w:val="auto"/>
                <w:vertAlign w:val="superscript"/>
              </w:rPr>
              <w:t>(5)</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​2021</w:t>
            </w:r>
            <w:r>
              <w:rPr>
                <w:rFonts w:ascii="Arial" w:cs="Arial" w:eastAsia="Arial" w:hAnsi="Arial"/>
                <w:sz w:val="28"/>
                <w:szCs w:val="28"/>
                <w:color w:val="auto"/>
                <w:vertAlign w:val="superscript"/>
              </w:rPr>
              <w:t>​ ​</w:t>
            </w:r>
          </w:p>
        </w:tc>
        <w:tc>
          <w:tcPr>
            <w:tcW w:w="900" w:type="dxa"/>
            <w:vAlign w:val="bottom"/>
            <w:gridSpan w:val="2"/>
          </w:tcPr>
          <w:p>
            <w:pPr>
              <w:jc w:val="right"/>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​258,611</w:t>
            </w:r>
            <w:r>
              <w:rPr>
                <w:rFonts w:ascii="Arial" w:cs="Arial" w:eastAsia="Arial" w:hAnsi="Arial"/>
                <w:sz w:val="28"/>
                <w:szCs w:val="28"/>
                <w:color w:val="auto"/>
                <w:vertAlign w:val="superscript"/>
              </w:rPr>
              <w:t>​ ​</w:t>
            </w:r>
          </w:p>
        </w:tc>
        <w:tc>
          <w:tcPr>
            <w:tcW w:w="320" w:type="dxa"/>
            <w:vAlign w:val="bottom"/>
            <w:gridSpan w:val="2"/>
          </w:tcPr>
          <w:p>
            <w:pPr>
              <w:jc w:val="right"/>
              <w:spacing w:after="0" w:line="284"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tcPr>
          <w:p>
            <w:pPr>
              <w:jc w:val="right"/>
              <w:spacing w:after="0" w:line="284" w:lineRule="exact"/>
              <w:rPr>
                <w:sz w:val="20"/>
                <w:szCs w:val="20"/>
                <w:color w:val="auto"/>
              </w:rPr>
            </w:pPr>
            <w:r>
              <w:rPr>
                <w:rFonts w:ascii="Arial" w:cs="Arial" w:eastAsia="Arial" w:hAnsi="Arial"/>
                <w:sz w:val="14"/>
                <w:szCs w:val="14"/>
                <w:color w:val="auto"/>
              </w:rPr>
              <w:t>2,500</w:t>
            </w:r>
            <w:r>
              <w:rPr>
                <w:rFonts w:ascii="Arial" w:cs="Arial" w:eastAsia="Arial" w:hAnsi="Arial"/>
                <w:sz w:val="28"/>
                <w:szCs w:val="28"/>
                <w:color w:val="auto"/>
                <w:vertAlign w:val="superscript"/>
              </w:rPr>
              <w:t>​ ​</w:t>
            </w:r>
          </w:p>
        </w:tc>
        <w:tc>
          <w:tcPr>
            <w:tcW w:w="1040" w:type="dxa"/>
            <w:vAlign w:val="bottom"/>
            <w:gridSpan w:val="3"/>
          </w:tcPr>
          <w:p>
            <w:pPr>
              <w:jc w:val="right"/>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​1,059,176</w:t>
            </w:r>
            <w:r>
              <w:rPr>
                <w:rFonts w:ascii="Arial" w:cs="Arial" w:eastAsia="Arial" w:hAnsi="Arial"/>
                <w:sz w:val="28"/>
                <w:szCs w:val="28"/>
                <w:color w:val="auto"/>
                <w:vertAlign w:val="superscript"/>
              </w:rPr>
              <w:t>​ ​</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28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820" w:type="dxa"/>
            <w:vAlign w:val="bottom"/>
          </w:tcPr>
          <w:p>
            <w:pPr>
              <w:jc w:val="right"/>
              <w:spacing w:after="0" w:line="284" w:lineRule="exact"/>
              <w:rPr>
                <w:sz w:val="20"/>
                <w:szCs w:val="20"/>
                <w:color w:val="auto"/>
              </w:rPr>
            </w:pPr>
            <w:r>
              <w:rPr>
                <w:rFonts w:ascii="Arial" w:cs="Arial" w:eastAsia="Arial" w:hAnsi="Arial"/>
                <w:sz w:val="14"/>
                <w:szCs w:val="14"/>
                <w:color w:val="auto"/>
              </w:rPr>
              <w:t xml:space="preserve">297,863 </w:t>
            </w:r>
            <w:r>
              <w:rPr>
                <w:rFonts w:ascii="Arial" w:cs="Arial" w:eastAsia="Arial" w:hAnsi="Arial"/>
                <w:sz w:val="28"/>
                <w:szCs w:val="28"/>
                <w:color w:val="auto"/>
                <w:vertAlign w:val="superscript"/>
              </w:rPr>
              <w:t>​ ​</w:t>
            </w:r>
          </w:p>
        </w:tc>
        <w:tc>
          <w:tcPr>
            <w:tcW w:w="18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24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​119,475</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284"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1,737,625</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76"/>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Senior Vice President and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4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5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Chief Accounting Officer</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90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49"/>
        </w:trPr>
        <w:tc>
          <w:tcPr>
            <w:tcW w:w="2560" w:type="dxa"/>
            <w:vAlign w:val="bottom"/>
          </w:tcPr>
          <w:p>
            <w:pPr>
              <w:spacing w:after="0"/>
              <w:rPr>
                <w:sz w:val="20"/>
                <w:szCs w:val="20"/>
                <w:color w:val="auto"/>
              </w:rPr>
            </w:pPr>
            <w:r>
              <w:rPr>
                <w:rFonts w:ascii="Arial" w:cs="Arial" w:eastAsia="Arial" w:hAnsi="Arial"/>
                <w:sz w:val="14"/>
                <w:szCs w:val="14"/>
                <w:color w:val="auto"/>
              </w:rPr>
              <w:t xml:space="preserve">Karl Blanchard </w:t>
            </w:r>
            <w:r>
              <w:rPr>
                <w:rFonts w:ascii="Arial" w:cs="Arial" w:eastAsia="Arial" w:hAnsi="Arial"/>
                <w:sz w:val="17"/>
                <w:szCs w:val="17"/>
                <w:color w:val="auto"/>
                <w:vertAlign w:val="superscript"/>
              </w:rPr>
              <w:t>(6)</w:t>
            </w:r>
          </w:p>
        </w:tc>
        <w:tc>
          <w:tcPr>
            <w:tcW w:w="140" w:type="dxa"/>
            <w:vAlign w:val="bottom"/>
            <w:vMerge w:val="continue"/>
          </w:tcPr>
          <w:p>
            <w:pPr>
              <w:spacing w:after="0"/>
              <w:rPr>
                <w:sz w:val="21"/>
                <w:szCs w:val="21"/>
                <w:color w:val="auto"/>
              </w:rPr>
            </w:pPr>
          </w:p>
        </w:tc>
        <w:tc>
          <w:tcPr>
            <w:tcW w:w="60" w:type="dxa"/>
            <w:vAlign w:val="bottom"/>
            <w:shd w:val="clear" w:color="auto" w:fill="CCCCCC"/>
          </w:tcPr>
          <w:p>
            <w:pPr>
              <w:spacing w:after="0"/>
              <w:rPr>
                <w:sz w:val="21"/>
                <w:szCs w:val="21"/>
                <w:color w:val="auto"/>
              </w:rPr>
            </w:pPr>
          </w:p>
        </w:tc>
        <w:tc>
          <w:tcPr>
            <w:tcW w:w="600" w:type="dxa"/>
            <w:vAlign w:val="bottom"/>
            <w:gridSpan w:val="2"/>
            <w:shd w:val="clear" w:color="auto" w:fill="CCCCCC"/>
          </w:tcPr>
          <w:p>
            <w:pPr>
              <w:jc w:val="right"/>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​2021</w:t>
            </w:r>
            <w:r>
              <w:rPr>
                <w:rFonts w:ascii="Arial" w:cs="Arial" w:eastAsia="Arial" w:hAnsi="Arial"/>
                <w:sz w:val="28"/>
                <w:szCs w:val="28"/>
                <w:color w:val="auto"/>
                <w:vertAlign w:val="superscript"/>
              </w:rPr>
              <w:t>​ ​</w:t>
            </w:r>
          </w:p>
        </w:tc>
        <w:tc>
          <w:tcPr>
            <w:tcW w:w="900" w:type="dxa"/>
            <w:vAlign w:val="bottom"/>
            <w:gridSpan w:val="2"/>
            <w:shd w:val="clear" w:color="auto" w:fill="CCCCCC"/>
          </w:tcPr>
          <w:p>
            <w:pPr>
              <w:jc w:val="right"/>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​116,667</w:t>
            </w:r>
            <w:r>
              <w:rPr>
                <w:rFonts w:ascii="Arial" w:cs="Arial" w:eastAsia="Arial" w:hAnsi="Arial"/>
                <w:sz w:val="28"/>
                <w:szCs w:val="28"/>
                <w:color w:val="auto"/>
                <w:vertAlign w:val="superscript"/>
              </w:rPr>
              <w:t>​ ​</w:t>
            </w:r>
          </w:p>
        </w:tc>
        <w:tc>
          <w:tcPr>
            <w:tcW w:w="320" w:type="dxa"/>
            <w:vAlign w:val="bottom"/>
            <w:gridSpan w:val="2"/>
            <w:shd w:val="clear" w:color="auto" w:fill="CCCCCC"/>
          </w:tcPr>
          <w:p>
            <w:pPr>
              <w:jc w:val="right"/>
              <w:spacing w:after="0" w:line="249"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shd w:val="clear" w:color="auto" w:fill="CCCCCC"/>
          </w:tcPr>
          <w:p>
            <w:pPr>
              <w:jc w:val="right"/>
              <w:spacing w:after="0" w:line="249" w:lineRule="exact"/>
              <w:rPr>
                <w:sz w:val="20"/>
                <w:szCs w:val="20"/>
                <w:color w:val="auto"/>
              </w:rPr>
            </w:pPr>
            <w:r>
              <w:rPr>
                <w:rFonts w:ascii="Arial" w:cs="Arial" w:eastAsia="Arial" w:hAnsi="Arial"/>
                <w:sz w:val="14"/>
                <w:szCs w:val="14"/>
                <w:color w:val="auto"/>
              </w:rPr>
              <w:t>740,592</w:t>
            </w:r>
            <w:r>
              <w:rPr>
                <w:rFonts w:ascii="Arial" w:cs="Arial" w:eastAsia="Arial" w:hAnsi="Arial"/>
                <w:sz w:val="28"/>
                <w:szCs w:val="28"/>
                <w:color w:val="auto"/>
                <w:vertAlign w:val="superscript"/>
              </w:rPr>
              <w:t>​ ​</w:t>
            </w:r>
          </w:p>
        </w:tc>
        <w:tc>
          <w:tcPr>
            <w:tcW w:w="320" w:type="dxa"/>
            <w:vAlign w:val="bottom"/>
            <w:gridSpan w:val="2"/>
            <w:shd w:val="clear" w:color="auto" w:fill="CCCCCC"/>
          </w:tcPr>
          <w:p>
            <w:pPr>
              <w:jc w:val="right"/>
              <w:spacing w:after="0" w:line="249"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shd w:val="clear" w:color="auto" w:fill="CCCCCC"/>
          </w:tcPr>
          <w:p>
            <w:pPr>
              <w:jc w:val="right"/>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20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ind w:left="60"/>
              <w:spacing w:after="0" w:line="249"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820" w:type="dxa"/>
            <w:vAlign w:val="bottom"/>
            <w:shd w:val="clear" w:color="auto" w:fill="CCCCCC"/>
          </w:tcPr>
          <w:p>
            <w:pPr>
              <w:jc w:val="right"/>
              <w:spacing w:after="0" w:line="249" w:lineRule="exact"/>
              <w:rPr>
                <w:sz w:val="20"/>
                <w:szCs w:val="20"/>
                <w:color w:val="auto"/>
              </w:rPr>
            </w:pPr>
            <w:r>
              <w:rPr>
                <w:rFonts w:ascii="Arial" w:cs="Arial" w:eastAsia="Arial" w:hAnsi="Arial"/>
                <w:sz w:val="14"/>
                <w:szCs w:val="14"/>
                <w:color w:val="auto"/>
              </w:rPr>
              <w:t xml:space="preserve">300,000 </w:t>
            </w:r>
            <w:r>
              <w:rPr>
                <w:rFonts w:ascii="Arial" w:cs="Arial" w:eastAsia="Arial" w:hAnsi="Arial"/>
                <w:sz w:val="28"/>
                <w:szCs w:val="28"/>
                <w:color w:val="auto"/>
                <w:vertAlign w:val="superscript"/>
              </w:rPr>
              <w:t>​ ​</w:t>
            </w:r>
          </w:p>
        </w:tc>
        <w:tc>
          <w:tcPr>
            <w:tcW w:w="18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CCCC"/>
          </w:tcPr>
          <w:p>
            <w:pPr>
              <w:ind w:left="24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​836,524</w:t>
            </w:r>
          </w:p>
        </w:tc>
        <w:tc>
          <w:tcPr>
            <w:tcW w:w="100" w:type="dxa"/>
            <w:vAlign w:val="bottom"/>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CCCC"/>
          </w:tcPr>
          <w:p>
            <w:pPr>
              <w:ind w:left="120"/>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1,993,783</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5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Former Office of the Chief Executive,</w:t>
            </w:r>
          </w:p>
        </w:tc>
        <w:tc>
          <w:tcPr>
            <w:tcW w:w="140" w:type="dxa"/>
            <w:vAlign w:val="bottom"/>
          </w:tcPr>
          <w:p>
            <w:pPr>
              <w:spacing w:after="0"/>
              <w:rPr>
                <w:sz w:val="5"/>
                <w:szCs w:val="5"/>
                <w:color w:val="auto"/>
              </w:rPr>
            </w:pPr>
          </w:p>
        </w:tc>
        <w:tc>
          <w:tcPr>
            <w:tcW w:w="60" w:type="dxa"/>
            <w:vAlign w:val="bottom"/>
            <w:shd w:val="clear" w:color="auto" w:fill="CCCCCC"/>
          </w:tcPr>
          <w:p>
            <w:pPr>
              <w:spacing w:after="0"/>
              <w:rPr>
                <w:sz w:val="5"/>
                <w:szCs w:val="5"/>
                <w:color w:val="auto"/>
              </w:rPr>
            </w:pPr>
          </w:p>
        </w:tc>
        <w:tc>
          <w:tcPr>
            <w:tcW w:w="440" w:type="dxa"/>
            <w:vAlign w:val="bottom"/>
            <w:shd w:val="clear" w:color="auto" w:fill="CCCCCC"/>
          </w:tcPr>
          <w:p>
            <w:pPr>
              <w:spacing w:after="0"/>
              <w:rPr>
                <w:sz w:val="5"/>
                <w:szCs w:val="5"/>
                <w:color w:val="auto"/>
              </w:rPr>
            </w:pPr>
          </w:p>
        </w:tc>
        <w:tc>
          <w:tcPr>
            <w:tcW w:w="160" w:type="dxa"/>
            <w:vAlign w:val="bottom"/>
            <w:shd w:val="clear" w:color="auto" w:fill="CCCCCC"/>
          </w:tcPr>
          <w:p>
            <w:pPr>
              <w:spacing w:after="0"/>
              <w:rPr>
                <w:sz w:val="5"/>
                <w:szCs w:val="5"/>
                <w:color w:val="auto"/>
              </w:rPr>
            </w:pPr>
          </w:p>
        </w:tc>
        <w:tc>
          <w:tcPr>
            <w:tcW w:w="280" w:type="dxa"/>
            <w:vAlign w:val="bottom"/>
            <w:shd w:val="clear" w:color="auto" w:fill="CCCCCC"/>
          </w:tcPr>
          <w:p>
            <w:pPr>
              <w:spacing w:after="0"/>
              <w:rPr>
                <w:sz w:val="5"/>
                <w:szCs w:val="5"/>
                <w:color w:val="auto"/>
              </w:rPr>
            </w:pPr>
          </w:p>
        </w:tc>
        <w:tc>
          <w:tcPr>
            <w:tcW w:w="620" w:type="dxa"/>
            <w:vAlign w:val="bottom"/>
            <w:shd w:val="clear" w:color="auto" w:fill="CCCCCC"/>
          </w:tcPr>
          <w:p>
            <w:pPr>
              <w:spacing w:after="0"/>
              <w:rPr>
                <w:sz w:val="5"/>
                <w:szCs w:val="5"/>
                <w:color w:val="auto"/>
              </w:rPr>
            </w:pPr>
          </w:p>
        </w:tc>
        <w:tc>
          <w:tcPr>
            <w:tcW w:w="200" w:type="dxa"/>
            <w:vAlign w:val="bottom"/>
            <w:shd w:val="clear" w:color="auto" w:fill="CCCCCC"/>
          </w:tcPr>
          <w:p>
            <w:pPr>
              <w:spacing w:after="0"/>
              <w:rPr>
                <w:sz w:val="5"/>
                <w:szCs w:val="5"/>
                <w:color w:val="auto"/>
              </w:rPr>
            </w:pPr>
          </w:p>
        </w:tc>
        <w:tc>
          <w:tcPr>
            <w:tcW w:w="120" w:type="dxa"/>
            <w:vAlign w:val="bottom"/>
            <w:shd w:val="clear" w:color="auto" w:fill="CCCCCC"/>
          </w:tcPr>
          <w:p>
            <w:pPr>
              <w:spacing w:after="0"/>
              <w:rPr>
                <w:sz w:val="5"/>
                <w:szCs w:val="5"/>
                <w:color w:val="auto"/>
              </w:rPr>
            </w:pPr>
          </w:p>
        </w:tc>
        <w:tc>
          <w:tcPr>
            <w:tcW w:w="720" w:type="dxa"/>
            <w:vAlign w:val="bottom"/>
            <w:shd w:val="clear" w:color="auto" w:fill="CCCCCC"/>
          </w:tcPr>
          <w:p>
            <w:pPr>
              <w:spacing w:after="0"/>
              <w:rPr>
                <w:sz w:val="5"/>
                <w:szCs w:val="5"/>
                <w:color w:val="auto"/>
              </w:rPr>
            </w:pPr>
          </w:p>
        </w:tc>
        <w:tc>
          <w:tcPr>
            <w:tcW w:w="200" w:type="dxa"/>
            <w:vAlign w:val="bottom"/>
            <w:shd w:val="clear" w:color="auto" w:fill="CCCCCC"/>
          </w:tcPr>
          <w:p>
            <w:pPr>
              <w:spacing w:after="0"/>
              <w:rPr>
                <w:sz w:val="5"/>
                <w:szCs w:val="5"/>
                <w:color w:val="auto"/>
              </w:rPr>
            </w:pPr>
          </w:p>
        </w:tc>
        <w:tc>
          <w:tcPr>
            <w:tcW w:w="120" w:type="dxa"/>
            <w:vAlign w:val="bottom"/>
            <w:shd w:val="clear" w:color="auto" w:fill="CCCCCC"/>
          </w:tcPr>
          <w:p>
            <w:pPr>
              <w:spacing w:after="0"/>
              <w:rPr>
                <w:sz w:val="5"/>
                <w:szCs w:val="5"/>
                <w:color w:val="auto"/>
              </w:rPr>
            </w:pPr>
          </w:p>
        </w:tc>
        <w:tc>
          <w:tcPr>
            <w:tcW w:w="720" w:type="dxa"/>
            <w:vAlign w:val="bottom"/>
            <w:shd w:val="clear" w:color="auto" w:fill="CCCCCC"/>
          </w:tcPr>
          <w:p>
            <w:pPr>
              <w:spacing w:after="0"/>
              <w:rPr>
                <w:sz w:val="5"/>
                <w:szCs w:val="5"/>
                <w:color w:val="auto"/>
              </w:rPr>
            </w:pPr>
          </w:p>
        </w:tc>
        <w:tc>
          <w:tcPr>
            <w:tcW w:w="200" w:type="dxa"/>
            <w:vAlign w:val="bottom"/>
            <w:shd w:val="clear" w:color="auto" w:fill="CCCCCC"/>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820" w:type="dxa"/>
            <w:vAlign w:val="bottom"/>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340" w:type="dxa"/>
            <w:vAlign w:val="bottom"/>
            <w:shd w:val="clear" w:color="auto" w:fill="CCCCCC"/>
          </w:tcPr>
          <w:p>
            <w:pPr>
              <w:spacing w:after="0"/>
              <w:rPr>
                <w:sz w:val="5"/>
                <w:szCs w:val="5"/>
                <w:color w:val="auto"/>
              </w:rPr>
            </w:pPr>
          </w:p>
        </w:tc>
        <w:tc>
          <w:tcPr>
            <w:tcW w:w="620" w:type="dxa"/>
            <w:vAlign w:val="bottom"/>
            <w:shd w:val="clear" w:color="auto" w:fill="CCCCCC"/>
          </w:tcPr>
          <w:p>
            <w:pPr>
              <w:spacing w:after="0"/>
              <w:rPr>
                <w:sz w:val="5"/>
                <w:szCs w:val="5"/>
                <w:color w:val="auto"/>
              </w:rPr>
            </w:pPr>
          </w:p>
        </w:tc>
        <w:tc>
          <w:tcPr>
            <w:tcW w:w="100" w:type="dxa"/>
            <w:vAlign w:val="bottom"/>
            <w:shd w:val="clear" w:color="auto" w:fill="CCCCCC"/>
          </w:tcPr>
          <w:p>
            <w:pPr>
              <w:spacing w:after="0"/>
              <w:rPr>
                <w:sz w:val="5"/>
                <w:szCs w:val="5"/>
                <w:color w:val="auto"/>
              </w:rPr>
            </w:pPr>
          </w:p>
        </w:tc>
        <w:tc>
          <w:tcPr>
            <w:tcW w:w="100" w:type="dxa"/>
            <w:vAlign w:val="bottom"/>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180" w:type="dxa"/>
            <w:vAlign w:val="bottom"/>
            <w:shd w:val="clear" w:color="auto" w:fill="CCCCCC"/>
          </w:tcPr>
          <w:p>
            <w:pPr>
              <w:spacing w:after="0"/>
              <w:rPr>
                <w:sz w:val="5"/>
                <w:szCs w:val="5"/>
                <w:color w:val="auto"/>
              </w:rPr>
            </w:pPr>
          </w:p>
        </w:tc>
        <w:tc>
          <w:tcPr>
            <w:tcW w:w="600" w:type="dxa"/>
            <w:vAlign w:val="bottom"/>
            <w:shd w:val="clear" w:color="auto" w:fill="CCCCCC"/>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​2020</w:t>
            </w:r>
            <w:r>
              <w:rPr>
                <w:rFonts w:ascii="Arial" w:cs="Arial" w:eastAsia="Arial" w:hAnsi="Arial"/>
                <w:sz w:val="28"/>
                <w:szCs w:val="28"/>
                <w:color w:val="auto"/>
                <w:vertAlign w:val="superscript"/>
              </w:rPr>
              <w:t>​ ​</w:t>
            </w:r>
          </w:p>
        </w:tc>
        <w:tc>
          <w:tcPr>
            <w:tcW w:w="900" w:type="dxa"/>
            <w:vAlign w:val="bottom"/>
            <w:gridSpan w:val="2"/>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​672,955</w:t>
            </w:r>
            <w:r>
              <w:rPr>
                <w:rFonts w:ascii="Arial" w:cs="Arial" w:eastAsia="Arial" w:hAnsi="Arial"/>
                <w:sz w:val="28"/>
                <w:szCs w:val="28"/>
                <w:color w:val="auto"/>
                <w:vertAlign w:val="superscript"/>
              </w:rPr>
              <w:t>​ ​</w:t>
            </w:r>
          </w:p>
        </w:tc>
        <w:tc>
          <w:tcPr>
            <w:tcW w:w="1040" w:type="dxa"/>
            <w:vAlign w:val="bottom"/>
            <w:gridSpan w:val="3"/>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​2,221,776</w:t>
            </w:r>
            <w:r>
              <w:rPr>
                <w:rFonts w:ascii="Arial" w:cs="Arial" w:eastAsia="Arial" w:hAnsi="Arial"/>
                <w:sz w:val="28"/>
                <w:szCs w:val="28"/>
                <w:color w:val="auto"/>
                <w:vertAlign w:val="superscript"/>
              </w:rPr>
              <w:t>​ ​</w:t>
            </w:r>
          </w:p>
        </w:tc>
        <w:tc>
          <w:tcPr>
            <w:tcW w:w="320" w:type="dxa"/>
            <w:vAlign w:val="bottom"/>
            <w:gridSpan w:val="2"/>
            <w:vMerge w:val="restart"/>
          </w:tcPr>
          <w:p>
            <w:pPr>
              <w:jc w:val="right"/>
              <w:spacing w:after="0" w:line="25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20" w:type="dxa"/>
            <w:vAlign w:val="bottom"/>
            <w:vMerge w:val="restart"/>
          </w:tcPr>
          <w:p>
            <w:pPr>
              <w:jc w:val="right"/>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6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820" w:type="dxa"/>
            <w:vAlign w:val="bottom"/>
            <w:vMerge w:val="restart"/>
          </w:tcPr>
          <w:p>
            <w:pPr>
              <w:jc w:val="right"/>
              <w:spacing w:after="0" w:line="257" w:lineRule="exact"/>
              <w:rPr>
                <w:sz w:val="20"/>
                <w:szCs w:val="20"/>
                <w:color w:val="auto"/>
              </w:rPr>
            </w:pPr>
            <w:r>
              <w:rPr>
                <w:rFonts w:ascii="Arial" w:cs="Arial" w:eastAsia="Arial" w:hAnsi="Arial"/>
                <w:sz w:val="14"/>
                <w:szCs w:val="14"/>
                <w:color w:val="auto"/>
              </w:rPr>
              <w:t xml:space="preserve">972,955 </w:t>
            </w:r>
            <w:r>
              <w:rPr>
                <w:rFonts w:ascii="Arial" w:cs="Arial" w:eastAsia="Arial" w:hAnsi="Arial"/>
                <w:sz w:val="28"/>
                <w:szCs w:val="28"/>
                <w:color w:val="auto"/>
                <w:vertAlign w:val="superscript"/>
              </w:rPr>
              <w:t>​ ​</w:t>
            </w:r>
          </w:p>
        </w:tc>
        <w:tc>
          <w:tcPr>
            <w:tcW w:w="1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24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15,354</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vMerge w:val="restart"/>
          </w:tcPr>
          <w:p>
            <w:pPr>
              <w:jc w:val="right"/>
              <w:spacing w:after="0" w:line="25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3,883,040</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Interim CEO, Executive Vice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President and Chief Operating</w:t>
            </w:r>
          </w:p>
        </w:tc>
        <w:tc>
          <w:tcPr>
            <w:tcW w:w="140" w:type="dxa"/>
            <w:vAlign w:val="bottom"/>
          </w:tcPr>
          <w:p>
            <w:pPr>
              <w:spacing w:after="0"/>
              <w:rPr>
                <w:sz w:val="15"/>
                <w:szCs w:val="15"/>
                <w:color w:val="auto"/>
              </w:rPr>
            </w:pPr>
          </w:p>
        </w:tc>
        <w:tc>
          <w:tcPr>
            <w:tcW w:w="60" w:type="dxa"/>
            <w:vAlign w:val="bottom"/>
            <w:shd w:val="clear" w:color="auto" w:fill="CCCCCC"/>
          </w:tcPr>
          <w:p>
            <w:pPr>
              <w:spacing w:after="0"/>
              <w:rPr>
                <w:sz w:val="15"/>
                <w:szCs w:val="15"/>
                <w:color w:val="auto"/>
              </w:rPr>
            </w:pPr>
          </w:p>
        </w:tc>
        <w:tc>
          <w:tcPr>
            <w:tcW w:w="600" w:type="dxa"/>
            <w:vAlign w:val="bottom"/>
            <w:gridSpan w:val="2"/>
            <w:shd w:val="clear" w:color="auto" w:fill="CCCCCC"/>
          </w:tcPr>
          <w:p>
            <w:pPr>
              <w:jc w:val="right"/>
              <w:spacing w:after="0" w:line="182" w:lineRule="exact"/>
              <w:rPr>
                <w:sz w:val="20"/>
                <w:szCs w:val="20"/>
                <w:color w:val="auto"/>
              </w:rPr>
            </w:pPr>
            <w:r>
              <w:rPr>
                <w:rFonts w:ascii="Arial" w:cs="Arial" w:eastAsia="Arial" w:hAnsi="Arial"/>
                <w:sz w:val="21"/>
                <w:szCs w:val="21"/>
                <w:color w:val="auto"/>
                <w:vertAlign w:val="superscript"/>
              </w:rPr>
              <w:t>​ ​</w:t>
            </w:r>
            <w:r>
              <w:rPr>
                <w:rFonts w:ascii="Arial" w:cs="Arial" w:eastAsia="Arial" w:hAnsi="Arial"/>
                <w:sz w:val="12"/>
                <w:szCs w:val="12"/>
                <w:color w:val="auto"/>
              </w:rPr>
              <w:t>​2019</w:t>
            </w:r>
            <w:r>
              <w:rPr>
                <w:rFonts w:ascii="Arial" w:cs="Arial" w:eastAsia="Arial" w:hAnsi="Arial"/>
                <w:sz w:val="21"/>
                <w:szCs w:val="21"/>
                <w:color w:val="auto"/>
                <w:vertAlign w:val="superscript"/>
              </w:rPr>
              <w:t>​ ​</w:t>
            </w:r>
          </w:p>
        </w:tc>
        <w:tc>
          <w:tcPr>
            <w:tcW w:w="900" w:type="dxa"/>
            <w:vAlign w:val="bottom"/>
            <w:gridSpan w:val="2"/>
            <w:shd w:val="clear" w:color="auto" w:fill="CCCCCC"/>
          </w:tcPr>
          <w:p>
            <w:pPr>
              <w:jc w:val="right"/>
              <w:spacing w:after="0" w:line="182" w:lineRule="exact"/>
              <w:rPr>
                <w:sz w:val="20"/>
                <w:szCs w:val="20"/>
                <w:color w:val="auto"/>
              </w:rPr>
            </w:pPr>
            <w:r>
              <w:rPr>
                <w:rFonts w:ascii="Arial" w:cs="Arial" w:eastAsia="Arial" w:hAnsi="Arial"/>
                <w:sz w:val="21"/>
                <w:szCs w:val="21"/>
                <w:color w:val="auto"/>
                <w:vertAlign w:val="superscript"/>
              </w:rPr>
              <w:t>​ ​</w:t>
            </w:r>
            <w:r>
              <w:rPr>
                <w:rFonts w:ascii="Arial" w:cs="Arial" w:eastAsia="Arial" w:hAnsi="Arial"/>
                <w:sz w:val="12"/>
                <w:szCs w:val="12"/>
                <w:color w:val="auto"/>
              </w:rPr>
              <w:t>​700,000</w:t>
            </w:r>
            <w:r>
              <w:rPr>
                <w:rFonts w:ascii="Arial" w:cs="Arial" w:eastAsia="Arial" w:hAnsi="Arial"/>
                <w:sz w:val="21"/>
                <w:szCs w:val="21"/>
                <w:color w:val="auto"/>
                <w:vertAlign w:val="superscript"/>
              </w:rPr>
              <w:t>​ ​</w:t>
            </w:r>
          </w:p>
        </w:tc>
        <w:tc>
          <w:tcPr>
            <w:tcW w:w="320" w:type="dxa"/>
            <w:vAlign w:val="bottom"/>
            <w:gridSpan w:val="2"/>
            <w:shd w:val="clear" w:color="auto" w:fill="CCCCCC"/>
          </w:tcPr>
          <w:p>
            <w:pPr>
              <w:jc w:val="right"/>
              <w:spacing w:after="0" w:line="182" w:lineRule="exact"/>
              <w:rPr>
                <w:sz w:val="20"/>
                <w:szCs w:val="20"/>
                <w:color w:val="auto"/>
              </w:rPr>
            </w:pP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720" w:type="dxa"/>
            <w:vAlign w:val="bottom"/>
            <w:shd w:val="clear" w:color="auto" w:fill="CCCCCC"/>
          </w:tcPr>
          <w:p>
            <w:pPr>
              <w:jc w:val="right"/>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w:t>
            </w:r>
          </w:p>
        </w:tc>
        <w:tc>
          <w:tcPr>
            <w:tcW w:w="320" w:type="dxa"/>
            <w:vAlign w:val="bottom"/>
            <w:gridSpan w:val="2"/>
            <w:shd w:val="clear" w:color="auto" w:fill="CCCCCC"/>
          </w:tcPr>
          <w:p>
            <w:pPr>
              <w:jc w:val="right"/>
              <w:spacing w:after="0" w:line="182" w:lineRule="exact"/>
              <w:rPr>
                <w:sz w:val="20"/>
                <w:szCs w:val="20"/>
                <w:color w:val="auto"/>
              </w:rPr>
            </w:pPr>
            <w:r>
              <w:rPr>
                <w:rFonts w:ascii="Arial" w:cs="Arial" w:eastAsia="Arial" w:hAnsi="Arial"/>
                <w:sz w:val="12"/>
                <w:szCs w:val="12"/>
                <w:color w:val="auto"/>
              </w:rPr>
              <w:t>​ ​</w:t>
            </w:r>
            <w:r>
              <w:rPr>
                <w:rFonts w:ascii="Arial" w:cs="Arial" w:eastAsia="Arial" w:hAnsi="Arial"/>
                <w:sz w:val="21"/>
                <w:szCs w:val="21"/>
                <w:color w:val="auto"/>
                <w:vertAlign w:val="subscript"/>
              </w:rPr>
              <w:t>​</w:t>
            </w:r>
          </w:p>
        </w:tc>
        <w:tc>
          <w:tcPr>
            <w:tcW w:w="720" w:type="dxa"/>
            <w:vAlign w:val="bottom"/>
            <w:shd w:val="clear" w:color="auto" w:fill="CCCCCC"/>
          </w:tcPr>
          <w:p>
            <w:pPr>
              <w:jc w:val="right"/>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w:t>
            </w:r>
          </w:p>
        </w:tc>
        <w:tc>
          <w:tcPr>
            <w:tcW w:w="20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CCCC"/>
          </w:tcPr>
          <w:p>
            <w:pPr>
              <w:jc w:val="right"/>
              <w:spacing w:after="0" w:line="182" w:lineRule="exact"/>
              <w:rPr>
                <w:sz w:val="20"/>
                <w:szCs w:val="20"/>
                <w:color w:val="auto"/>
              </w:rPr>
            </w:pPr>
            <w:r>
              <w:rPr>
                <w:rFonts w:ascii="Arial" w:cs="Arial" w:eastAsia="Arial" w:hAnsi="Arial"/>
                <w:sz w:val="12"/>
                <w:szCs w:val="12"/>
                <w:color w:val="auto"/>
              </w:rPr>
              <w:t xml:space="preserve">​2,506,588 </w:t>
            </w:r>
            <w:r>
              <w:rPr>
                <w:rFonts w:ascii="Arial" w:cs="Arial" w:eastAsia="Arial" w:hAnsi="Arial"/>
                <w:sz w:val="21"/>
                <w:szCs w:val="21"/>
                <w:color w:val="auto"/>
                <w:vertAlign w:val="superscript"/>
              </w:rPr>
              <w:t>​ ​</w:t>
            </w:r>
          </w:p>
        </w:tc>
        <w:tc>
          <w:tcPr>
            <w:tcW w:w="180" w:type="dxa"/>
            <w:vAlign w:val="bottom"/>
            <w:shd w:val="clear" w:color="auto" w:fill="CCCCCC"/>
          </w:tcPr>
          <w:p>
            <w:pPr>
              <w:ind w:lef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CCCC"/>
          </w:tcPr>
          <w:p>
            <w:pPr>
              <w:ind w:left="240"/>
              <w:spacing w:after="0"/>
              <w:rPr>
                <w:sz w:val="20"/>
                <w:szCs w:val="20"/>
                <w:color w:val="auto"/>
              </w:rPr>
            </w:pPr>
            <w:r>
              <w:rPr>
                <w:rFonts w:ascii="Arial" w:cs="Arial" w:eastAsia="Arial" w:hAnsi="Arial"/>
                <w:sz w:val="14"/>
                <w:szCs w:val="14"/>
                <w:color w:val="auto"/>
              </w:rPr>
              <w:t>​ 17,687</w:t>
            </w:r>
          </w:p>
        </w:tc>
        <w:tc>
          <w:tcPr>
            <w:tcW w:w="100" w:type="dxa"/>
            <w:vAlign w:val="bottom"/>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CCCC"/>
          </w:tcPr>
          <w:p>
            <w:pPr>
              <w:ind w:left="120"/>
              <w:spacing w:after="0" w:line="182" w:lineRule="exact"/>
              <w:rPr>
                <w:sz w:val="20"/>
                <w:szCs w:val="20"/>
                <w:color w:val="auto"/>
              </w:rPr>
            </w:pPr>
            <w:r>
              <w:rPr>
                <w:rFonts w:ascii="Arial" w:cs="Arial" w:eastAsia="Arial" w:hAnsi="Arial"/>
                <w:sz w:val="21"/>
                <w:szCs w:val="21"/>
                <w:color w:val="auto"/>
                <w:vertAlign w:val="superscript"/>
              </w:rPr>
              <w:t>​ ​</w:t>
            </w:r>
            <w:r>
              <w:rPr>
                <w:rFonts w:ascii="Arial" w:cs="Arial" w:eastAsia="Arial" w:hAnsi="Arial"/>
                <w:sz w:val="12"/>
                <w:szCs w:val="12"/>
                <w:color w:val="auto"/>
              </w:rPr>
              <w:t>​ 3,224,275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140"/>
              <w:spacing w:after="0"/>
              <w:rPr>
                <w:sz w:val="20"/>
                <w:szCs w:val="20"/>
                <w:color w:val="auto"/>
              </w:rPr>
            </w:pPr>
            <w:r>
              <w:rPr>
                <w:rFonts w:ascii="Arial" w:cs="Arial" w:eastAsia="Arial" w:hAnsi="Arial"/>
                <w:sz w:val="14"/>
                <w:szCs w:val="14"/>
                <w:i w:val="1"/>
                <w:iCs w:val="1"/>
                <w:color w:val="auto"/>
              </w:rPr>
              <w:t>Officer</w:t>
            </w:r>
          </w:p>
        </w:tc>
        <w:tc>
          <w:tcPr>
            <w:tcW w:w="140" w:type="dxa"/>
            <w:vAlign w:val="bottom"/>
          </w:tcPr>
          <w:p>
            <w:pPr>
              <w:spacing w:after="0"/>
              <w:rPr>
                <w:sz w:val="16"/>
                <w:szCs w:val="16"/>
                <w:color w:val="auto"/>
              </w:rPr>
            </w:pPr>
          </w:p>
        </w:tc>
        <w:tc>
          <w:tcPr>
            <w:tcW w:w="60" w:type="dxa"/>
            <w:vAlign w:val="bottom"/>
            <w:tcBorders>
              <w:bottom w:val="single" w:sz="8" w:color="CCCCCC"/>
            </w:tcBorders>
            <w:shd w:val="clear" w:color="auto" w:fill="CCCCCC"/>
          </w:tcPr>
          <w:p>
            <w:pPr>
              <w:spacing w:after="0"/>
              <w:rPr>
                <w:sz w:val="16"/>
                <w:szCs w:val="16"/>
                <w:color w:val="auto"/>
              </w:rPr>
            </w:pPr>
          </w:p>
        </w:tc>
        <w:tc>
          <w:tcPr>
            <w:tcW w:w="440" w:type="dxa"/>
            <w:vAlign w:val="bottom"/>
            <w:tcBorders>
              <w:bottom w:val="single" w:sz="8" w:color="CCCCCC"/>
            </w:tcBorders>
            <w:shd w:val="clear" w:color="auto" w:fill="CCCCCC"/>
          </w:tcPr>
          <w:p>
            <w:pPr>
              <w:spacing w:after="0"/>
              <w:rPr>
                <w:sz w:val="16"/>
                <w:szCs w:val="16"/>
                <w:color w:val="auto"/>
              </w:rPr>
            </w:pPr>
          </w:p>
        </w:tc>
        <w:tc>
          <w:tcPr>
            <w:tcW w:w="160" w:type="dxa"/>
            <w:vAlign w:val="bottom"/>
            <w:tcBorders>
              <w:bottom w:val="single" w:sz="8" w:color="CCCCCC"/>
            </w:tcBorders>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620" w:type="dxa"/>
            <w:vAlign w:val="bottom"/>
            <w:tcBorders>
              <w:bottom w:val="single" w:sz="8" w:color="CCCCCC"/>
            </w:tcBorders>
            <w:shd w:val="clear" w:color="auto" w:fill="CCCCCC"/>
          </w:tcPr>
          <w:p>
            <w:pPr>
              <w:spacing w:after="0"/>
              <w:rPr>
                <w:sz w:val="16"/>
                <w:szCs w:val="16"/>
                <w:color w:val="auto"/>
              </w:rPr>
            </w:pPr>
          </w:p>
        </w:tc>
        <w:tc>
          <w:tcPr>
            <w:tcW w:w="200" w:type="dxa"/>
            <w:vAlign w:val="bottom"/>
            <w:tcBorders>
              <w:bottom w:val="single" w:sz="8" w:color="CCCCCC"/>
            </w:tcBorders>
            <w:shd w:val="clear" w:color="auto" w:fill="CCCCCC"/>
          </w:tcPr>
          <w:p>
            <w:pPr>
              <w:spacing w:after="0"/>
              <w:rPr>
                <w:sz w:val="16"/>
                <w:szCs w:val="16"/>
                <w:color w:val="auto"/>
              </w:rPr>
            </w:pPr>
          </w:p>
        </w:tc>
        <w:tc>
          <w:tcPr>
            <w:tcW w:w="12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tcBorders>
            <w:shd w:val="clear" w:color="auto" w:fill="CCCCCC"/>
          </w:tcPr>
          <w:p>
            <w:pPr>
              <w:spacing w:after="0"/>
              <w:rPr>
                <w:sz w:val="16"/>
                <w:szCs w:val="16"/>
                <w:color w:val="auto"/>
              </w:rPr>
            </w:pPr>
          </w:p>
        </w:tc>
        <w:tc>
          <w:tcPr>
            <w:tcW w:w="200" w:type="dxa"/>
            <w:vAlign w:val="bottom"/>
            <w:tcBorders>
              <w:bottom w:val="single" w:sz="8" w:color="CCCCCC"/>
            </w:tcBorders>
            <w:shd w:val="clear" w:color="auto" w:fill="CCCCCC"/>
          </w:tcPr>
          <w:p>
            <w:pPr>
              <w:spacing w:after="0"/>
              <w:rPr>
                <w:sz w:val="16"/>
                <w:szCs w:val="16"/>
                <w:color w:val="auto"/>
              </w:rPr>
            </w:pPr>
          </w:p>
        </w:tc>
        <w:tc>
          <w:tcPr>
            <w:tcW w:w="12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tcBorders>
            <w:shd w:val="clear" w:color="auto" w:fill="CCCCCC"/>
          </w:tcPr>
          <w:p>
            <w:pPr>
              <w:spacing w:after="0"/>
              <w:rPr>
                <w:sz w:val="16"/>
                <w:szCs w:val="16"/>
                <w:color w:val="auto"/>
              </w:rPr>
            </w:pPr>
          </w:p>
        </w:tc>
        <w:tc>
          <w:tcPr>
            <w:tcW w:w="200" w:type="dxa"/>
            <w:vAlign w:val="bottom"/>
            <w:tcBorders>
              <w:bottom w:val="single" w:sz="8" w:color="CCCCCC"/>
            </w:tcBorders>
            <w:shd w:val="clear" w:color="auto" w:fill="CCCCCC"/>
          </w:tcPr>
          <w:p>
            <w:pPr>
              <w:spacing w:after="0"/>
              <w:rPr>
                <w:sz w:val="16"/>
                <w:szCs w:val="16"/>
                <w:color w:val="auto"/>
              </w:rPr>
            </w:pPr>
          </w:p>
        </w:tc>
        <w:tc>
          <w:tcPr>
            <w:tcW w:w="140" w:type="dxa"/>
            <w:vAlign w:val="bottom"/>
            <w:tcBorders>
              <w:bottom w:val="single" w:sz="8" w:color="CCCCCC"/>
            </w:tcBorders>
            <w:shd w:val="clear" w:color="auto" w:fill="CCCCCC"/>
          </w:tcPr>
          <w:p>
            <w:pPr>
              <w:spacing w:after="0"/>
              <w:rPr>
                <w:sz w:val="16"/>
                <w:szCs w:val="16"/>
                <w:color w:val="auto"/>
              </w:rPr>
            </w:pPr>
          </w:p>
        </w:tc>
        <w:tc>
          <w:tcPr>
            <w:tcW w:w="82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340" w:type="dxa"/>
            <w:vAlign w:val="bottom"/>
            <w:tcBorders>
              <w:bottom w:val="single" w:sz="8" w:color="CCCCCC"/>
            </w:tcBorders>
            <w:shd w:val="clear" w:color="auto" w:fill="CCCCCC"/>
          </w:tcPr>
          <w:p>
            <w:pPr>
              <w:spacing w:after="0"/>
              <w:rPr>
                <w:sz w:val="16"/>
                <w:szCs w:val="16"/>
                <w:color w:val="auto"/>
              </w:rPr>
            </w:pPr>
          </w:p>
        </w:tc>
        <w:tc>
          <w:tcPr>
            <w:tcW w:w="620" w:type="dxa"/>
            <w:vAlign w:val="bottom"/>
            <w:tcBorders>
              <w:bottom w:val="single" w:sz="8" w:color="CCCCCC"/>
            </w:tcBorders>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600" w:type="dxa"/>
            <w:vAlign w:val="bottom"/>
            <w:tcBorders>
              <w:bottom w:val="single" w:sz="8" w:color="CCCCCC"/>
            </w:tcBorders>
            <w:shd w:val="clear" w:color="auto" w:fill="CCCCC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800" w:hanging="362"/>
        <w:spacing w:after="0"/>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Mr. Saligram was appointed as our President and CEO effective October 12, 2020.</w:t>
      </w:r>
    </w:p>
    <w:p>
      <w:pPr>
        <w:spacing w:after="0" w:line="12"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49"/>
        </w:numPr>
        <w:rPr>
          <w:rFonts w:ascii="Arial" w:cs="Arial" w:eastAsia="Arial" w:hAnsi="Arial"/>
          <w:sz w:val="20"/>
          <w:szCs w:val="20"/>
          <w:color w:val="BA0C2F"/>
          <w:vertAlign w:val="superscript"/>
        </w:rPr>
      </w:pPr>
      <w:r>
        <w:rPr>
          <w:rFonts w:ascii="Arial" w:cs="Arial" w:eastAsia="Arial" w:hAnsi="Arial"/>
          <w:sz w:val="14"/>
          <w:szCs w:val="14"/>
          <w:color w:val="auto"/>
        </w:rPr>
        <w:t>Mr. Jennings was appointed as our Executive Vice President and Chief Financial Officer effective September 1, 2020.</w:t>
      </w:r>
    </w:p>
    <w:p>
      <w:pPr>
        <w:spacing w:after="0" w:line="13" w:lineRule="exact"/>
        <w:rPr>
          <w:rFonts w:ascii="Arial" w:cs="Arial" w:eastAsia="Arial" w:hAnsi="Arial"/>
          <w:sz w:val="20"/>
          <w:szCs w:val="20"/>
          <w:color w:val="BA0C2F"/>
          <w:vertAlign w:val="superscript"/>
        </w:rPr>
      </w:pPr>
    </w:p>
    <w:p>
      <w:pPr>
        <w:ind w:left="800" w:right="100" w:hanging="362"/>
        <w:spacing w:after="0" w:line="214"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Mr. Weatherholt was appointed as our Executive Vice President, General Counsel and Chief Compliance Officer effective July 23, 2020. Effective January 1, 2021, Mr. Weatherholt was appointed as the Interim Chief Human Resources Officer of the Company until Mr. Mongrain was appointed to the role on March 22, 2021.</w:t>
      </w:r>
    </w:p>
    <w:p>
      <w:pPr>
        <w:ind w:left="800" w:right="520" w:hanging="362"/>
        <w:spacing w:after="0" w:line="203"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Mr. Mongrain was appointed as our Senior Vice President and Chief Human Resources Officer effective March 22, 2021 and was promoted to Executive Vice President and Chief People Officer effective November 1, 2021.</w:t>
      </w:r>
    </w:p>
    <w:p>
      <w:pPr>
        <w:ind w:left="800" w:right="100" w:hanging="362"/>
        <w:spacing w:after="0" w:line="195"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Mr. Mills was appointed as our Vice President and Chief Accounting Officer effective April 15, 2021 and promoted to Senior Vice President and Chief Accounting Officer effective November 1, 2021.</w:t>
      </w:r>
    </w:p>
    <w:p>
      <w:pPr>
        <w:spacing w:after="0" w:line="1" w:lineRule="exact"/>
        <w:rPr>
          <w:rFonts w:ascii="Arial" w:cs="Arial" w:eastAsia="Arial" w:hAnsi="Arial"/>
          <w:sz w:val="22"/>
          <w:szCs w:val="22"/>
          <w:color w:val="BA0C2F"/>
          <w:vertAlign w:val="superscript"/>
        </w:rPr>
      </w:pPr>
    </w:p>
    <w:p>
      <w:pPr>
        <w:ind w:left="800" w:right="80" w:hanging="362"/>
        <w:spacing w:after="0" w:line="232"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Mr. Blanchard joined the Company in 2017 as our Executive Vice President and Chief Operating Officer. On June 7, 2020, Mr. Blanchard was appointed to the Office of the Chief Executive, together with Mr. Christian A. Garcia, upon the departure of prior CEO. Effective June 16, 2020, Mr. Blanchard was appointed as our Interim CEO until Mr. Saligram joined the Company on October 12, 2020 at which time Mr. Blanchard resumed his duties as our Executive Vice President and Chief Operating Officer. Mr. Blanchard also was appointed as our interim Principal Financial Officer upon Mr. Garcia’s resignation in August 2020 until Mr. Jennings joined the Company on September 1, 2020. Mr. Blanchard retired from the Company effective February 26, 2021.</w:t>
      </w:r>
    </w:p>
    <w:p>
      <w:pPr>
        <w:spacing w:after="0" w:line="3" w:lineRule="exact"/>
        <w:rPr>
          <w:rFonts w:ascii="Arial" w:cs="Arial" w:eastAsia="Arial" w:hAnsi="Arial"/>
          <w:sz w:val="22"/>
          <w:szCs w:val="22"/>
          <w:color w:val="BA0C2F"/>
          <w:vertAlign w:val="superscript"/>
        </w:rPr>
      </w:pPr>
    </w:p>
    <w:p>
      <w:pPr>
        <w:ind w:left="800" w:right="80" w:hanging="362"/>
        <w:spacing w:after="0" w:line="232"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For Mr. Jennings, the amount represents the portion of his cash sign-on bonus paid in 2021 of $250,000 plus a bonus for leadership in the 2021 debt refinancing transactions of $40,000. For Mr. Weatherholt, the amount represents a bonus of $30,000 for his expanded responsibilities as our Interim Chief Human Resources Officer for a period of time during 2021 prior to Mr. Mongrain joining the Company, plus a bonus for leadership in the 2021 debt refinancing transactions of $25,000. For Mr. Mills, the amount represents a bonus for leadership in the 2021 debt refinancing transactions of $2,500. For Mr. Blanchard, the amount represents monthly cash payments of $370,296 in consideration of his expanded responsibilities effective June 10, 2020, which were payable on the 15th day of each month from July 15, 2020 through February 15, 2021.</w:t>
      </w:r>
    </w:p>
    <w:p>
      <w:pPr>
        <w:spacing w:after="0" w:line="3" w:lineRule="exact"/>
        <w:rPr>
          <w:rFonts w:ascii="Arial" w:cs="Arial" w:eastAsia="Arial" w:hAnsi="Arial"/>
          <w:sz w:val="22"/>
          <w:szCs w:val="22"/>
          <w:color w:val="BA0C2F"/>
          <w:vertAlign w:val="superscript"/>
        </w:rPr>
      </w:pPr>
    </w:p>
    <w:p>
      <w:pPr>
        <w:ind w:left="800" w:right="140" w:hanging="362"/>
        <w:spacing w:after="0" w:line="236" w:lineRule="auto"/>
        <w:tabs>
          <w:tab w:leader="none" w:pos="800" w:val="left"/>
        </w:tabs>
        <w:numPr>
          <w:ilvl w:val="0"/>
          <w:numId w:val="49"/>
        </w:numPr>
        <w:rPr>
          <w:rFonts w:ascii="Arial" w:cs="Arial" w:eastAsia="Arial" w:hAnsi="Arial"/>
          <w:sz w:val="22"/>
          <w:szCs w:val="22"/>
          <w:color w:val="BA0C2F"/>
          <w:vertAlign w:val="superscript"/>
        </w:rPr>
      </w:pPr>
      <w:r>
        <w:rPr>
          <w:rFonts w:ascii="Arial" w:cs="Arial" w:eastAsia="Arial" w:hAnsi="Arial"/>
          <w:sz w:val="14"/>
          <w:szCs w:val="14"/>
          <w:color w:val="auto"/>
        </w:rPr>
        <w:t>For the 2021 fiscal year, the grant date fair value of RSU, PSU, and Phantom RSU awards was determined based on the closing price of our shares on the date of grant in accordance with FASB ASC Topic 718, except for the WAGE Program PSUs where the grant date fair value was determined through the use of the Company’s Monte Carlo simulation model. The assumptions used in the Monte Carlo simulation included a weighted average risk-free rate of 0.82%, volatility of 55% and a zero dividend yield. All PSUs reflected in the Summary Compensation Table are based upon target achievement. The highest level of performance for the WAGE Program PSUs is target (which is the value reflected in the main Summary Compensation Table) and therefore, the WAGE Program PSUs are not included in the table below. The table below shows the hypothetical grant date fair value of the non WAGE Program PSUs, assuming the highest level of performance (maximum)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230505</wp:posOffset>
            </wp:positionV>
            <wp:extent cx="6231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74"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5380" w:type="dxa"/>
            <w:vAlign w:val="bottom"/>
            <w:gridSpan w:val="2"/>
          </w:tcPr>
          <w:p>
            <w:pPr>
              <w:spacing w:after="0"/>
              <w:rPr>
                <w:sz w:val="20"/>
                <w:szCs w:val="20"/>
                <w:color w:val="auto"/>
              </w:rPr>
            </w:pPr>
            <w:r>
              <w:rPr>
                <w:rFonts w:ascii="Arial" w:cs="Arial" w:eastAsia="Arial" w:hAnsi="Arial"/>
                <w:sz w:val="14"/>
                <w:szCs w:val="14"/>
                <w:b w:val="1"/>
                <w:bCs w:val="1"/>
                <w:color w:val="666666"/>
              </w:rPr>
              <w:t>EXECUTIVE COMPENSATION TABLES</w:t>
            </w:r>
          </w:p>
        </w:tc>
        <w:tc>
          <w:tcPr>
            <w:tcW w:w="3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0"/>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40" w:type="dxa"/>
            <w:vAlign w:val="bottom"/>
            <w:gridSpan w:val="2"/>
          </w:tcPr>
          <w:p>
            <w:pPr>
              <w:ind w:left="298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24"/>
                <w:szCs w:val="24"/>
                <w:color w:val="auto"/>
              </w:rPr>
            </w:pPr>
          </w:p>
        </w:tc>
      </w:tr>
      <w:tr>
        <w:trPr>
          <w:trHeight w:val="198"/>
        </w:trPr>
        <w:tc>
          <w:tcPr>
            <w:tcW w:w="5380" w:type="dxa"/>
            <w:vAlign w:val="bottom"/>
            <w:gridSpan w:val="2"/>
          </w:tcPr>
          <w:p>
            <w:pPr>
              <w:ind w:left="36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Named Executive</w:t>
            </w:r>
          </w:p>
        </w:tc>
        <w:tc>
          <w:tcPr>
            <w:tcW w:w="3160" w:type="dxa"/>
            <w:vAlign w:val="bottom"/>
          </w:tcPr>
          <w:p>
            <w:pPr>
              <w:ind w:left="276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60" w:type="dxa"/>
            <w:vAlign w:val="bottom"/>
          </w:tcPr>
          <w:p>
            <w:pPr>
              <w:spacing w:after="0"/>
              <w:rPr>
                <w:sz w:val="22"/>
                <w:szCs w:val="22"/>
                <w:color w:val="auto"/>
              </w:rPr>
            </w:pPr>
          </w:p>
        </w:tc>
        <w:tc>
          <w:tcPr>
            <w:tcW w:w="5020" w:type="dxa"/>
            <w:vAlign w:val="bottom"/>
            <w:tcBorders>
              <w:top w:val="single" w:sz="8" w:color="auto"/>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Saligram</w:t>
            </w:r>
          </w:p>
        </w:tc>
        <w:tc>
          <w:tcPr>
            <w:tcW w:w="4060" w:type="dxa"/>
            <w:vAlign w:val="bottom"/>
            <w:tcBorders>
              <w:top w:val="single" w:sz="8" w:color="auto"/>
              <w:bottom w:val="single" w:sz="8" w:color="auto"/>
            </w:tcBorders>
            <w:gridSpan w:val="3"/>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​5,736,590 </w:t>
            </w:r>
            <w:r>
              <w:rPr>
                <w:rFonts w:ascii="Arial" w:cs="Arial" w:eastAsia="Arial" w:hAnsi="Arial"/>
                <w:sz w:val="30"/>
                <w:szCs w:val="30"/>
                <w:color w:val="auto"/>
                <w:vertAlign w:val="subscript"/>
              </w:rPr>
              <w:t>​​</w:t>
            </w:r>
          </w:p>
        </w:tc>
      </w:tr>
      <w:tr>
        <w:trPr>
          <w:trHeight w:val="263"/>
        </w:trPr>
        <w:tc>
          <w:tcPr>
            <w:tcW w:w="360" w:type="dxa"/>
            <w:vAlign w:val="bottom"/>
          </w:tcPr>
          <w:p>
            <w:pPr>
              <w:spacing w:after="0"/>
              <w:rPr>
                <w:sz w:val="22"/>
                <w:szCs w:val="22"/>
                <w:color w:val="auto"/>
              </w:rPr>
            </w:pPr>
          </w:p>
        </w:tc>
        <w:tc>
          <w:tcPr>
            <w:tcW w:w="502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Jennings</w:t>
            </w:r>
          </w:p>
        </w:tc>
        <w:tc>
          <w:tcPr>
            <w:tcW w:w="4060" w:type="dxa"/>
            <w:vAlign w:val="bottom"/>
            <w:tcBorders>
              <w:bottom w:val="single" w:sz="8" w:color="auto"/>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​2,215,560 </w:t>
            </w:r>
            <w:r>
              <w:rPr>
                <w:rFonts w:ascii="Arial" w:cs="Arial" w:eastAsia="Arial" w:hAnsi="Arial"/>
                <w:sz w:val="30"/>
                <w:szCs w:val="30"/>
                <w:color w:val="auto"/>
                <w:vertAlign w:val="subscript"/>
              </w:rPr>
              <w:t>​​</w:t>
            </w:r>
          </w:p>
        </w:tc>
      </w:tr>
      <w:tr>
        <w:trPr>
          <w:trHeight w:val="264"/>
        </w:trPr>
        <w:tc>
          <w:tcPr>
            <w:tcW w:w="360" w:type="dxa"/>
            <w:vAlign w:val="bottom"/>
          </w:tcPr>
          <w:p>
            <w:pPr>
              <w:spacing w:after="0"/>
              <w:rPr>
                <w:sz w:val="22"/>
                <w:szCs w:val="22"/>
                <w:color w:val="auto"/>
              </w:rPr>
            </w:pPr>
          </w:p>
        </w:tc>
        <w:tc>
          <w:tcPr>
            <w:tcW w:w="502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Weatherholt</w:t>
            </w:r>
          </w:p>
        </w:tc>
        <w:tc>
          <w:tcPr>
            <w:tcW w:w="4060" w:type="dxa"/>
            <w:vAlign w:val="bottom"/>
            <w:tcBorders>
              <w:bottom w:val="single" w:sz="8" w:color="auto"/>
            </w:tcBorders>
            <w:gridSpan w:val="3"/>
            <w:shd w:val="clear" w:color="auto" w:fill="CCCCCC"/>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​1,361,712 </w:t>
            </w:r>
            <w:r>
              <w:rPr>
                <w:rFonts w:ascii="Arial" w:cs="Arial" w:eastAsia="Arial" w:hAnsi="Arial"/>
                <w:sz w:val="30"/>
                <w:szCs w:val="30"/>
                <w:color w:val="auto"/>
                <w:vertAlign w:val="subscript"/>
              </w:rPr>
              <w:t>​​</w:t>
            </w:r>
          </w:p>
        </w:tc>
      </w:tr>
      <w:tr>
        <w:trPr>
          <w:trHeight w:val="263"/>
        </w:trPr>
        <w:tc>
          <w:tcPr>
            <w:tcW w:w="360" w:type="dxa"/>
            <w:vAlign w:val="bottom"/>
          </w:tcPr>
          <w:p>
            <w:pPr>
              <w:spacing w:after="0"/>
              <w:rPr>
                <w:sz w:val="22"/>
                <w:szCs w:val="22"/>
                <w:color w:val="auto"/>
              </w:rPr>
            </w:pPr>
          </w:p>
        </w:tc>
        <w:tc>
          <w:tcPr>
            <w:tcW w:w="502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Mongrain</w:t>
            </w:r>
          </w:p>
        </w:tc>
        <w:tc>
          <w:tcPr>
            <w:tcW w:w="316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 ​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60" w:type="dxa"/>
            <w:vAlign w:val="bottom"/>
          </w:tcPr>
          <w:p>
            <w:pPr>
              <w:spacing w:after="0"/>
              <w:rPr>
                <w:sz w:val="22"/>
                <w:szCs w:val="22"/>
                <w:color w:val="auto"/>
              </w:rPr>
            </w:pPr>
          </w:p>
        </w:tc>
        <w:tc>
          <w:tcPr>
            <w:tcW w:w="502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Mills</w:t>
            </w:r>
          </w:p>
        </w:tc>
        <w:tc>
          <w:tcPr>
            <w:tcW w:w="3160" w:type="dxa"/>
            <w:vAlign w:val="bottom"/>
            <w:tcBorders>
              <w:bottom w:val="single" w:sz="8" w:color="auto"/>
            </w:tcBorders>
            <w:shd w:val="clear" w:color="auto" w:fill="CCCCCC"/>
          </w:tcPr>
          <w:p>
            <w:pPr>
              <w:ind w:left="2800"/>
              <w:spacing w:after="0"/>
              <w:rPr>
                <w:sz w:val="20"/>
                <w:szCs w:val="20"/>
                <w:color w:val="auto"/>
              </w:rPr>
            </w:pPr>
            <w:r>
              <w:rPr>
                <w:rFonts w:ascii="Arial" w:cs="Arial" w:eastAsia="Arial" w:hAnsi="Arial"/>
                <w:sz w:val="18"/>
                <w:szCs w:val="18"/>
                <w:color w:val="auto"/>
              </w:rPr>
              <w:t>​ ​ ​</w:t>
            </w:r>
          </w:p>
        </w:tc>
        <w:tc>
          <w:tcPr>
            <w:tcW w:w="7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324,528</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360" w:type="dxa"/>
            <w:vAlign w:val="bottom"/>
          </w:tcPr>
          <w:p>
            <w:pPr>
              <w:spacing w:after="0"/>
              <w:rPr>
                <w:sz w:val="23"/>
                <w:szCs w:val="23"/>
                <w:color w:val="auto"/>
              </w:rPr>
            </w:pPr>
          </w:p>
        </w:tc>
        <w:tc>
          <w:tcPr>
            <w:tcW w:w="502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Blanchard</w:t>
            </w:r>
          </w:p>
        </w:tc>
        <w:tc>
          <w:tcPr>
            <w:tcW w:w="316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 ​ ​</w:t>
            </w:r>
          </w:p>
        </w:tc>
        <w:tc>
          <w:tcPr>
            <w:tcW w:w="900" w:type="dxa"/>
            <w:vAlign w:val="bottom"/>
            <w:tcBorders>
              <w:bottom w:val="single" w:sz="8" w:color="auto"/>
            </w:tcBorders>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r>
    </w:tbl>
    <w:p>
      <w:pPr>
        <w:spacing w:after="0" w:line="45" w:lineRule="exact"/>
        <w:rPr>
          <w:sz w:val="20"/>
          <w:szCs w:val="20"/>
          <w:color w:val="auto"/>
        </w:rPr>
      </w:pPr>
    </w:p>
    <w:p>
      <w:pPr>
        <w:ind w:left="800" w:hanging="362"/>
        <w:spacing w:after="0" w:line="229" w:lineRule="auto"/>
        <w:tabs>
          <w:tab w:leader="none" w:pos="800" w:val="left"/>
        </w:tabs>
        <w:numPr>
          <w:ilvl w:val="0"/>
          <w:numId w:val="50"/>
        </w:numPr>
        <w:rPr>
          <w:rFonts w:ascii="Arial" w:cs="Arial" w:eastAsia="Arial" w:hAnsi="Arial"/>
          <w:sz w:val="22"/>
          <w:szCs w:val="22"/>
          <w:color w:val="BA0C2F"/>
          <w:vertAlign w:val="superscript"/>
        </w:rPr>
      </w:pPr>
      <w:r>
        <w:rPr>
          <w:rFonts w:ascii="Arial" w:cs="Arial" w:eastAsia="Arial" w:hAnsi="Arial"/>
          <w:sz w:val="14"/>
          <w:szCs w:val="14"/>
          <w:color w:val="auto"/>
        </w:rPr>
        <w:t>During 2021, each of our current NEOs received cash awards under our STI Plan and each of Messrs. Saligram, Jennings, and Weatherholt received a cash payment according to their respective awards agreements under our LTCIP. Payments to each of the eligible NEOs under the STI Plan and LTCIP (as applicable) were paid in the first quarter of 2022 for the time-based portion of their LTCIP award in 2021, except for Mr. Blanchard who received his LTCIP payment in 2021. The amounts listed in Non-Equity (Cash) Incentive consist of the following:</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2021 STI</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 LTCIP</w:t>
            </w:r>
          </w:p>
        </w:tc>
        <w:tc>
          <w:tcPr>
            <w:tcW w:w="120" w:type="dxa"/>
            <w:vAlign w:val="bottom"/>
          </w:tcPr>
          <w:p>
            <w:pPr>
              <w:spacing w:after="0"/>
              <w:rPr>
                <w:sz w:val="14"/>
                <w:szCs w:val="14"/>
                <w:color w:val="auto"/>
              </w:rPr>
            </w:pPr>
          </w:p>
        </w:tc>
      </w:tr>
      <w:tr>
        <w:trPr>
          <w:trHeight w:val="17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308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 ​</w:t>
            </w: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9"/>
        </w:trPr>
        <w:tc>
          <w:tcPr>
            <w:tcW w:w="41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​Saligram</w:t>
            </w:r>
          </w:p>
        </w:tc>
        <w:tc>
          <w:tcPr>
            <w:tcW w:w="4960" w:type="dxa"/>
            <w:vAlign w:val="bottom"/>
            <w:tcBorders>
              <w:bottom w:val="single" w:sz="8" w:color="auto"/>
            </w:tcBorders>
            <w:gridSpan w:val="5"/>
            <w:shd w:val="clear" w:color="auto" w:fill="CCCCCC"/>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2,093,750​​ ​ </w:t>
            </w:r>
            <w:r>
              <w:rPr>
                <w:rFonts w:ascii="Arial" w:cs="Arial" w:eastAsia="Arial" w:hAnsi="Arial"/>
                <w:sz w:val="18"/>
                <w:szCs w:val="18"/>
                <w:b w:val="1"/>
                <w:bCs w:val="1"/>
                <w:color w:val="auto"/>
              </w:rPr>
              <w:t>​</w:t>
            </w:r>
            <w:r>
              <w:rPr>
                <w:rFonts w:ascii="Arial" w:cs="Arial" w:eastAsia="Arial" w:hAnsi="Arial"/>
                <w:sz w:val="18"/>
                <w:szCs w:val="18"/>
                <w:color w:val="auto"/>
              </w:rPr>
              <w:t>350,625 ​​</w:t>
            </w:r>
          </w:p>
        </w:tc>
      </w:tr>
      <w:tr>
        <w:trPr>
          <w:trHeight w:val="21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​Jennings</w:t>
            </w:r>
          </w:p>
        </w:tc>
        <w:tc>
          <w:tcPr>
            <w:tcW w:w="308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 xml:space="preserve">975,000​​ ​ </w:t>
            </w:r>
            <w:r>
              <w:rPr>
                <w:rFonts w:ascii="Arial" w:cs="Arial" w:eastAsia="Arial" w:hAnsi="Arial"/>
                <w:sz w:val="18"/>
                <w:szCs w:val="18"/>
                <w:b w:val="1"/>
                <w:bCs w:val="1"/>
                <w:color w:val="auto"/>
              </w:rPr>
              <w:t>​</w:t>
            </w:r>
            <w:r>
              <w:rPr>
                <w:rFonts w:ascii="Arial" w:cs="Arial" w:eastAsia="Arial" w:hAnsi="Arial"/>
                <w:sz w:val="18"/>
                <w:szCs w:val="18"/>
                <w:color w:val="auto"/>
              </w:rPr>
              <w:t>162,500 ​​</w:t>
            </w:r>
          </w:p>
        </w:tc>
      </w:tr>
      <w:tr>
        <w:trPr>
          <w:trHeight w:val="209"/>
        </w:trPr>
        <w:tc>
          <w:tcPr>
            <w:tcW w:w="41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​Weatherholt</w:t>
            </w:r>
          </w:p>
        </w:tc>
        <w:tc>
          <w:tcPr>
            <w:tcW w:w="3080" w:type="dxa"/>
            <w:vAlign w:val="bottom"/>
            <w:tcBorders>
              <w:bottom w:val="single" w:sz="8" w:color="auto"/>
            </w:tcBorders>
            <w:shd w:val="clear" w:color="auto" w:fill="CCCCCC"/>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8"/>
                <w:szCs w:val="18"/>
                <w:color w:val="auto"/>
              </w:rPr>
              <w:t xml:space="preserve">745,875​​ ​ </w:t>
            </w: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99,875</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​Mongrain</w:t>
            </w:r>
          </w:p>
        </w:tc>
        <w:tc>
          <w:tcPr>
            <w:tcW w:w="308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354,453​​ ​ </w:t>
            </w:r>
            <w:r>
              <w:rPr>
                <w:rFonts w:ascii="Arial" w:cs="Arial" w:eastAsia="Arial" w:hAnsi="Arial"/>
                <w:sz w:val="18"/>
                <w:szCs w:val="18"/>
                <w:b w:val="1"/>
                <w:bCs w:val="1"/>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1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​Mills</w:t>
            </w:r>
          </w:p>
        </w:tc>
        <w:tc>
          <w:tcPr>
            <w:tcW w:w="3080" w:type="dxa"/>
            <w:vAlign w:val="bottom"/>
            <w:tcBorders>
              <w:bottom w:val="single" w:sz="8" w:color="auto"/>
            </w:tcBorders>
            <w:shd w:val="clear" w:color="auto" w:fill="CCCCCC"/>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8"/>
                <w:szCs w:val="18"/>
                <w:color w:val="auto"/>
              </w:rPr>
              <w:t xml:space="preserve">297,863​​ ​ </w:t>
            </w:r>
            <w:r>
              <w:rPr>
                <w:rFonts w:ascii="Arial" w:cs="Arial" w:eastAsia="Arial" w:hAnsi="Arial"/>
                <w:sz w:val="18"/>
                <w:szCs w:val="18"/>
                <w:b w:val="1"/>
                <w:bCs w:val="1"/>
                <w:color w:val="auto"/>
              </w:rPr>
              <w:t>​</w:t>
            </w:r>
          </w:p>
        </w:tc>
        <w:tc>
          <w:tcPr>
            <w:tcW w:w="76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​Blanchard</w:t>
            </w:r>
          </w:p>
        </w:tc>
        <w:tc>
          <w:tcPr>
            <w:tcW w:w="308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300,000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9" w:lineRule="exact"/>
        <w:rPr>
          <w:sz w:val="20"/>
          <w:szCs w:val="20"/>
          <w:color w:val="auto"/>
        </w:rPr>
      </w:pPr>
    </w:p>
    <w:p>
      <w:pPr>
        <w:ind w:left="800" w:hanging="362"/>
        <w:spacing w:after="0"/>
        <w:tabs>
          <w:tab w:leader="none" w:pos="800" w:val="left"/>
        </w:tabs>
        <w:numPr>
          <w:ilvl w:val="0"/>
          <w:numId w:val="51"/>
        </w:numPr>
        <w:rPr>
          <w:rFonts w:ascii="Arial" w:cs="Arial" w:eastAsia="Arial" w:hAnsi="Arial"/>
          <w:sz w:val="22"/>
          <w:szCs w:val="22"/>
          <w:color w:val="BA0C2F"/>
          <w:vertAlign w:val="superscript"/>
        </w:rPr>
      </w:pPr>
      <w:r>
        <w:rPr>
          <w:rFonts w:ascii="Arial" w:cs="Arial" w:eastAsia="Arial" w:hAnsi="Arial"/>
          <w:sz w:val="14"/>
          <w:szCs w:val="14"/>
          <w:color w:val="auto"/>
        </w:rPr>
        <w:t>All Other Compensation for 2021 consists of the following:</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Relocation and</w:t>
            </w:r>
          </w:p>
        </w:tc>
        <w:tc>
          <w:tcPr>
            <w:tcW w:w="2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Tax Gross-Up</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Life Insurance</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Geographic</w:t>
            </w:r>
          </w:p>
        </w:tc>
        <w:tc>
          <w:tcPr>
            <w:tcW w:w="2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&amp; Other Taxes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line="180" w:lineRule="exact"/>
              <w:rPr>
                <w:sz w:val="20"/>
                <w:szCs w:val="20"/>
                <w:color w:val="auto"/>
              </w:rPr>
            </w:pPr>
            <w:r>
              <w:rPr>
                <w:rFonts w:ascii="Arial" w:cs="Arial" w:eastAsia="Arial" w:hAnsi="Arial"/>
                <w:sz w:val="14"/>
                <w:szCs w:val="14"/>
                <w:b w:val="1"/>
                <w:bCs w:val="1"/>
                <w:color w:val="auto"/>
                <w:w w:val="97"/>
              </w:rPr>
              <w:t>401(k) Match</w:t>
            </w:r>
            <w:r>
              <w:rPr>
                <w:rFonts w:ascii="Arial" w:cs="Arial" w:eastAsia="Arial" w:hAnsi="Arial"/>
                <w:sz w:val="17"/>
                <w:szCs w:val="17"/>
                <w:b w:val="1"/>
                <w:bCs w:val="1"/>
                <w:color w:val="auto"/>
                <w:w w:val="97"/>
                <w:vertAlign w:val="superscript"/>
              </w:rPr>
              <w:t>(1)</w:t>
            </w:r>
          </w:p>
        </w:tc>
        <w:tc>
          <w:tcPr>
            <w:tcW w:w="2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Premium</w:t>
            </w:r>
          </w:p>
        </w:tc>
        <w:tc>
          <w:tcPr>
            <w:tcW w:w="220" w:type="dxa"/>
            <w:vAlign w:val="bottom"/>
          </w:tcPr>
          <w:p>
            <w:pPr>
              <w:spacing w:after="0"/>
              <w:rPr>
                <w:sz w:val="15"/>
                <w:szCs w:val="15"/>
                <w:color w:val="auto"/>
              </w:rPr>
            </w:pPr>
          </w:p>
        </w:tc>
        <w:tc>
          <w:tcPr>
            <w:tcW w:w="106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8"/>
              </w:rPr>
              <w:t>Differential</w:t>
            </w:r>
            <w:r>
              <w:rPr>
                <w:rFonts w:ascii="Arial" w:cs="Arial" w:eastAsia="Arial" w:hAnsi="Arial"/>
                <w:sz w:val="17"/>
                <w:szCs w:val="17"/>
                <w:b w:val="1"/>
                <w:bCs w:val="1"/>
                <w:color w:val="auto"/>
                <w:w w:val="98"/>
                <w:vertAlign w:val="superscript"/>
              </w:rPr>
              <w:t>(2)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center"/>
              <w:ind w:right="195"/>
              <w:spacing w:after="0" w:line="180" w:lineRule="exact"/>
              <w:rPr>
                <w:sz w:val="20"/>
                <w:szCs w:val="20"/>
                <w:color w:val="auto"/>
              </w:rPr>
            </w:pPr>
            <w:r>
              <w:rPr>
                <w:rFonts w:ascii="Arial" w:cs="Arial" w:eastAsia="Arial" w:hAnsi="Arial"/>
                <w:sz w:val="14"/>
                <w:szCs w:val="14"/>
                <w:b w:val="1"/>
                <w:bCs w:val="1"/>
                <w:color w:val="auto"/>
                <w:w w:val="96"/>
              </w:rPr>
              <w:t>Paid</w:t>
            </w:r>
            <w:r>
              <w:rPr>
                <w:rFonts w:ascii="Arial" w:cs="Arial" w:eastAsia="Arial" w:hAnsi="Arial"/>
                <w:sz w:val="17"/>
                <w:szCs w:val="17"/>
                <w:b w:val="1"/>
                <w:bCs w:val="1"/>
                <w:color w:val="auto"/>
                <w:w w:val="96"/>
                <w:vertAlign w:val="superscript"/>
              </w:rPr>
              <w:t>(3)</w:t>
            </w:r>
          </w:p>
        </w:tc>
        <w:tc>
          <w:tcPr>
            <w:tcW w:w="240" w:type="dxa"/>
            <w:vAlign w:val="bottom"/>
          </w:tcPr>
          <w:p>
            <w:pPr>
              <w:spacing w:after="0"/>
              <w:rPr>
                <w:sz w:val="15"/>
                <w:szCs w:val="15"/>
                <w:color w:val="auto"/>
              </w:rPr>
            </w:pPr>
          </w:p>
        </w:tc>
        <w:tc>
          <w:tcPr>
            <w:tcW w:w="860" w:type="dxa"/>
            <w:vAlign w:val="bottom"/>
            <w:gridSpan w:val="2"/>
          </w:tcPr>
          <w:p>
            <w:pPr>
              <w:jc w:val="right"/>
              <w:spacing w:after="0" w:line="180" w:lineRule="exact"/>
              <w:rPr>
                <w:sz w:val="20"/>
                <w:szCs w:val="20"/>
                <w:color w:val="auto"/>
              </w:rPr>
            </w:pPr>
            <w:r>
              <w:rPr>
                <w:rFonts w:ascii="Arial" w:cs="Arial" w:eastAsia="Arial" w:hAnsi="Arial"/>
                <w:sz w:val="14"/>
                <w:szCs w:val="14"/>
                <w:b w:val="1"/>
                <w:bCs w:val="1"/>
                <w:color w:val="auto"/>
                <w:w w:val="97"/>
              </w:rPr>
              <w:t>Severance</w:t>
            </w:r>
            <w:r>
              <w:rPr>
                <w:rFonts w:ascii="Arial" w:cs="Arial" w:eastAsia="Arial" w:hAnsi="Arial"/>
                <w:sz w:val="17"/>
                <w:szCs w:val="17"/>
                <w:b w:val="1"/>
                <w:bCs w:val="1"/>
                <w:color w:val="auto"/>
                <w:w w:val="97"/>
                <w:vertAlign w:val="superscript"/>
              </w:rPr>
              <w:t>(4)</w:t>
            </w:r>
          </w:p>
        </w:tc>
        <w:tc>
          <w:tcPr>
            <w:tcW w:w="84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r>
      <w:tr>
        <w:trPr>
          <w:trHeight w:val="171"/>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170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​Saligram</w:t>
            </w:r>
          </w:p>
        </w:tc>
        <w:tc>
          <w:tcPr>
            <w:tcW w:w="580" w:type="dxa"/>
            <w:vAlign w:val="bottom"/>
            <w:tcBorders>
              <w:bottom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9,667</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shd w:val="clear" w:color="auto" w:fill="CCCCCC"/>
          </w:tcPr>
          <w:p>
            <w:pPr>
              <w:jc w:val="right"/>
              <w:ind w:right="156"/>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2,768</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CCCC"/>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CCCC"/>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12,435​​</w:t>
            </w:r>
          </w:p>
        </w:tc>
      </w:tr>
      <w:tr>
        <w:trPr>
          <w:trHeight w:val="209"/>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​Jennings</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9,667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11,676​​</w:t>
            </w:r>
          </w:p>
        </w:tc>
      </w:tr>
      <w:tr>
        <w:trPr>
          <w:trHeight w:val="210"/>
        </w:trPr>
        <w:tc>
          <w:tcPr>
            <w:tcW w:w="170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​Weatherholt</w:t>
            </w:r>
          </w:p>
        </w:tc>
        <w:tc>
          <w:tcPr>
            <w:tcW w:w="580" w:type="dxa"/>
            <w:vAlign w:val="bottom"/>
            <w:tcBorders>
              <w:bottom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9,667</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shd w:val="clear" w:color="auto" w:fill="CCCCCC"/>
          </w:tcPr>
          <w:p>
            <w:pPr>
              <w:jc w:val="right"/>
              <w:ind w:right="156"/>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1,105</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CCCC"/>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CCCC"/>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10,772​​</w:t>
            </w:r>
          </w:p>
        </w:tc>
      </w:tr>
      <w:tr>
        <w:trPr>
          <w:trHeight w:val="210"/>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​Mongrain</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9,667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12,132​​</w:t>
            </w:r>
          </w:p>
        </w:tc>
      </w:tr>
      <w:tr>
        <w:trPr>
          <w:trHeight w:val="210"/>
        </w:trPr>
        <w:tc>
          <w:tcPr>
            <w:tcW w:w="170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​Mills</w:t>
            </w:r>
          </w:p>
        </w:tc>
        <w:tc>
          <w:tcPr>
            <w:tcW w:w="580" w:type="dxa"/>
            <w:vAlign w:val="bottom"/>
            <w:tcBorders>
              <w:bottom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9,667</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CCCC"/>
          </w:tcPr>
          <w:p>
            <w:pPr>
              <w:jc w:val="right"/>
              <w:ind w:right="156"/>
              <w:spacing w:after="0"/>
              <w:rPr>
                <w:sz w:val="20"/>
                <w:szCs w:val="20"/>
                <w:color w:val="auto"/>
              </w:rPr>
            </w:pPr>
            <w:r>
              <w:rPr>
                <w:rFonts w:ascii="Arial" w:cs="Arial" w:eastAsia="Arial" w:hAnsi="Arial"/>
                <w:sz w:val="18"/>
                <w:szCs w:val="18"/>
                <w:color w:val="auto"/>
              </w:rPr>
              <w:t>798</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gridSpan w:val="2"/>
            <w:shd w:val="clear" w:color="auto" w:fill="CCCCCC"/>
          </w:tcPr>
          <w:p>
            <w:pPr>
              <w:jc w:val="right"/>
              <w:ind w:right="15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81,958</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shd w:val="clear" w:color="auto" w:fill="CCCCCC"/>
          </w:tcPr>
          <w:p>
            <w:pPr>
              <w:jc w:val="right"/>
              <w:ind w:right="11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27,052</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119,475​​</w:t>
            </w:r>
          </w:p>
        </w:tc>
      </w:tr>
      <w:tr>
        <w:trPr>
          <w:trHeight w:val="216"/>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​Blanchard</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835,666</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836,524​​</w:t>
            </w:r>
          </w:p>
        </w:tc>
      </w:tr>
    </w:tbl>
    <w:p>
      <w:pPr>
        <w:spacing w:after="0" w:line="9" w:lineRule="exact"/>
        <w:rPr>
          <w:sz w:val="20"/>
          <w:szCs w:val="20"/>
          <w:color w:val="auto"/>
        </w:rPr>
      </w:pPr>
    </w:p>
    <w:p>
      <w:pPr>
        <w:ind w:left="1160" w:hanging="362"/>
        <w:spacing w:after="0"/>
        <w:tabs>
          <w:tab w:leader="none" w:pos="1160" w:val="left"/>
        </w:tabs>
        <w:numPr>
          <w:ilvl w:val="0"/>
          <w:numId w:val="52"/>
        </w:numPr>
        <w:rPr>
          <w:rFonts w:ascii="Arial" w:cs="Arial" w:eastAsia="Arial" w:hAnsi="Arial"/>
          <w:sz w:val="22"/>
          <w:szCs w:val="22"/>
          <w:color w:val="BA0C2F"/>
          <w:vertAlign w:val="superscript"/>
        </w:rPr>
      </w:pPr>
      <w:r>
        <w:rPr>
          <w:rFonts w:ascii="Arial" w:cs="Arial" w:eastAsia="Arial" w:hAnsi="Arial"/>
          <w:sz w:val="14"/>
          <w:szCs w:val="14"/>
          <w:color w:val="auto"/>
        </w:rPr>
        <w:t>Amounts shown represent the Company contributions to the U.S. 401(k) plan for each of the NEOs.</w:t>
      </w:r>
    </w:p>
    <w:p>
      <w:pPr>
        <w:spacing w:after="0" w:line="26" w:lineRule="exact"/>
        <w:rPr>
          <w:rFonts w:ascii="Arial" w:cs="Arial" w:eastAsia="Arial" w:hAnsi="Arial"/>
          <w:sz w:val="22"/>
          <w:szCs w:val="22"/>
          <w:color w:val="BA0C2F"/>
          <w:vertAlign w:val="superscript"/>
        </w:rPr>
      </w:pPr>
    </w:p>
    <w:p>
      <w:pPr>
        <w:ind w:left="1160" w:right="700" w:hanging="362"/>
        <w:spacing w:after="0" w:line="195" w:lineRule="auto"/>
        <w:tabs>
          <w:tab w:leader="none" w:pos="1160" w:val="left"/>
        </w:tabs>
        <w:numPr>
          <w:ilvl w:val="0"/>
          <w:numId w:val="52"/>
        </w:numPr>
        <w:rPr>
          <w:rFonts w:ascii="Arial" w:cs="Arial" w:eastAsia="Arial" w:hAnsi="Arial"/>
          <w:sz w:val="22"/>
          <w:szCs w:val="22"/>
          <w:color w:val="BA0C2F"/>
          <w:vertAlign w:val="superscript"/>
        </w:rPr>
      </w:pPr>
      <w:r>
        <w:rPr>
          <w:rFonts w:ascii="Arial" w:cs="Arial" w:eastAsia="Arial" w:hAnsi="Arial"/>
          <w:sz w:val="14"/>
          <w:szCs w:val="14"/>
          <w:color w:val="auto"/>
        </w:rPr>
        <w:t>Amount shown represents the relocation expenses reimbursed or paid by the Company in accordance with the Company’s Domestic Relocation Business Practice (U.S.) in connection with Mr. Mills’ relocation to Houston.</w:t>
      </w:r>
    </w:p>
    <w:p>
      <w:pPr>
        <w:spacing w:after="0" w:line="1" w:lineRule="exact"/>
        <w:rPr>
          <w:rFonts w:ascii="Arial" w:cs="Arial" w:eastAsia="Arial" w:hAnsi="Arial"/>
          <w:sz w:val="22"/>
          <w:szCs w:val="22"/>
          <w:color w:val="BA0C2F"/>
          <w:vertAlign w:val="superscript"/>
        </w:rPr>
      </w:pPr>
    </w:p>
    <w:p>
      <w:pPr>
        <w:ind w:left="1160" w:right="80" w:hanging="362"/>
        <w:spacing w:after="0" w:line="203" w:lineRule="auto"/>
        <w:tabs>
          <w:tab w:leader="none" w:pos="1160" w:val="left"/>
        </w:tabs>
        <w:numPr>
          <w:ilvl w:val="0"/>
          <w:numId w:val="52"/>
        </w:numPr>
        <w:rPr>
          <w:rFonts w:ascii="Arial" w:cs="Arial" w:eastAsia="Arial" w:hAnsi="Arial"/>
          <w:sz w:val="22"/>
          <w:szCs w:val="22"/>
          <w:color w:val="BA0C2F"/>
          <w:vertAlign w:val="superscript"/>
        </w:rPr>
      </w:pPr>
      <w:r>
        <w:rPr>
          <w:rFonts w:ascii="Arial" w:cs="Arial" w:eastAsia="Arial" w:hAnsi="Arial"/>
          <w:sz w:val="14"/>
          <w:szCs w:val="14"/>
          <w:color w:val="auto"/>
        </w:rPr>
        <w:t>Amount shown represents the payment by the Company of taxes related to certain relocation expenses reimbursed or paid by the Company in accordance with the Company’s Domestic Relocation Business Practice (U.S.) in connection with Mr. Mills’ relocation to Houston.</w:t>
      </w:r>
    </w:p>
    <w:p>
      <w:pPr>
        <w:ind w:left="1160" w:right="320" w:hanging="362"/>
        <w:spacing w:after="0" w:line="196" w:lineRule="auto"/>
        <w:tabs>
          <w:tab w:leader="none" w:pos="1160" w:val="left"/>
        </w:tabs>
        <w:numPr>
          <w:ilvl w:val="0"/>
          <w:numId w:val="52"/>
        </w:numPr>
        <w:rPr>
          <w:rFonts w:ascii="Arial" w:cs="Arial" w:eastAsia="Arial" w:hAnsi="Arial"/>
          <w:sz w:val="22"/>
          <w:szCs w:val="22"/>
          <w:color w:val="BA0C2F"/>
          <w:vertAlign w:val="superscript"/>
        </w:rPr>
      </w:pPr>
      <w:r>
        <w:rPr>
          <w:rFonts w:ascii="Arial" w:cs="Arial" w:eastAsia="Arial" w:hAnsi="Arial"/>
          <w:sz w:val="14"/>
          <w:szCs w:val="14"/>
          <w:color w:val="auto"/>
        </w:rPr>
        <w:t>Severance represents an agreed amount paid in settlement to Mr. Blanchard in satisfaction of any amounts owed to him in connection with retirement and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2157095</wp:posOffset>
            </wp:positionV>
            <wp:extent cx="6231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20" w:hanging="282"/>
        <w:spacing w:after="0"/>
        <w:tabs>
          <w:tab w:leader="none" w:pos="720" w:val="left"/>
        </w:tabs>
        <w:numPr>
          <w:ilvl w:val="0"/>
          <w:numId w:val="5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666666"/>
        </w:rPr>
        <w:t>EXECUTIVE COMPENSATION TABLES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GRANTS OF PLAN-BASED AWARDS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plan-based awards granted in 2021 to the current NEOs.</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w w:val="99"/>
              </w:rPr>
              <w:t>All 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5"/>
            <w:vMerge w:val="restart"/>
          </w:tcPr>
          <w:p>
            <w:pPr>
              <w:ind w:left="320"/>
              <w:spacing w:after="0"/>
              <w:rPr>
                <w:sz w:val="20"/>
                <w:szCs w:val="20"/>
                <w:color w:val="auto"/>
              </w:rPr>
            </w:pPr>
            <w:r>
              <w:rPr>
                <w:rFonts w:ascii="Arial" w:cs="Arial" w:eastAsia="Arial" w:hAnsi="Arial"/>
                <w:sz w:val="14"/>
                <w:szCs w:val="14"/>
                <w:color w:val="auto"/>
              </w:rPr>
              <w:t>Estimated Future Payouts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620" w:type="dxa"/>
            <w:vAlign w:val="bottom"/>
            <w:gridSpan w:val="3"/>
          </w:tcPr>
          <w:p>
            <w:pPr>
              <w:jc w:val="right"/>
              <w:ind w:right="75"/>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Awards:</w:t>
            </w:r>
          </w:p>
        </w:tc>
        <w:tc>
          <w:tcPr>
            <w:tcW w:w="820" w:type="dxa"/>
            <w:vAlign w:val="bottom"/>
            <w:gridSpan w:val="4"/>
            <w:vMerge w:val="restart"/>
          </w:tcPr>
          <w:p>
            <w:pPr>
              <w:jc w:val="right"/>
              <w:ind w:right="75"/>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360" w:type="dxa"/>
            <w:vAlign w:val="bottom"/>
            <w:gridSpan w:val="5"/>
            <w:vMerge w:val="restart"/>
          </w:tcPr>
          <w:p>
            <w:pPr>
              <w:ind w:left="340"/>
              <w:spacing w:after="0"/>
              <w:rPr>
                <w:sz w:val="20"/>
                <w:szCs w:val="20"/>
                <w:color w:val="auto"/>
              </w:rPr>
            </w:pPr>
            <w:r>
              <w:rPr>
                <w:rFonts w:ascii="Arial" w:cs="Arial" w:eastAsia="Arial" w:hAnsi="Arial"/>
                <w:sz w:val="14"/>
                <w:szCs w:val="14"/>
                <w:color w:val="auto"/>
              </w:rPr>
              <w:t>Under Non-Equity (Cash)</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8"/>
            <w:vMerge w:val="restart"/>
          </w:tcPr>
          <w:p>
            <w:pPr>
              <w:ind w:left="60"/>
              <w:spacing w:after="0"/>
              <w:rPr>
                <w:sz w:val="20"/>
                <w:szCs w:val="20"/>
                <w:color w:val="auto"/>
              </w:rPr>
            </w:pPr>
            <w:r>
              <w:rPr>
                <w:rFonts w:ascii="Arial" w:cs="Arial" w:eastAsia="Arial" w:hAnsi="Arial"/>
                <w:sz w:val="14"/>
                <w:szCs w:val="14"/>
                <w:color w:val="auto"/>
              </w:rPr>
              <w:t>Estimated Future Payouts Under</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4"/>
            <w:vMerge w:val="restart"/>
          </w:tcPr>
          <w:p>
            <w:pPr>
              <w:jc w:val="right"/>
              <w:ind w:right="68"/>
              <w:spacing w:after="0"/>
              <w:rPr>
                <w:sz w:val="20"/>
                <w:szCs w:val="20"/>
                <w:color w:val="auto"/>
              </w:rPr>
            </w:pPr>
            <w:r>
              <w:rPr>
                <w:rFonts w:ascii="Arial" w:cs="Arial" w:eastAsia="Arial" w:hAnsi="Arial"/>
                <w:sz w:val="14"/>
                <w:szCs w:val="14"/>
                <w:color w:val="auto"/>
              </w:rPr>
              <w:t>Number of</w:t>
            </w:r>
          </w:p>
        </w:tc>
        <w:tc>
          <w:tcPr>
            <w:tcW w:w="200" w:type="dxa"/>
            <w:vAlign w:val="bottom"/>
          </w:tcPr>
          <w:p>
            <w:pPr>
              <w:spacing w:after="0"/>
              <w:rPr>
                <w:sz w:val="8"/>
                <w:szCs w:val="8"/>
                <w:color w:val="auto"/>
              </w:rPr>
            </w:pPr>
          </w:p>
        </w:tc>
        <w:tc>
          <w:tcPr>
            <w:tcW w:w="620" w:type="dxa"/>
            <w:vAlign w:val="bottom"/>
            <w:gridSpan w:val="3"/>
            <w:vMerge w:val="restart"/>
          </w:tcPr>
          <w:p>
            <w:pPr>
              <w:jc w:val="right"/>
              <w:ind w:right="75"/>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68"/>
        </w:trPr>
        <w:tc>
          <w:tcPr>
            <w:tcW w:w="1900" w:type="dxa"/>
            <w:vAlign w:val="bottom"/>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5"/>
                <w:szCs w:val="5"/>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 ​</w:t>
            </w:r>
          </w:p>
        </w:tc>
        <w:tc>
          <w:tcPr>
            <w:tcW w:w="540" w:type="dxa"/>
            <w:vAlign w:val="bottom"/>
          </w:tcPr>
          <w:p>
            <w:pPr>
              <w:spacing w:after="0"/>
              <w:rPr>
                <w:sz w:val="5"/>
                <w:szCs w:val="5"/>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 ​</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360" w:type="dxa"/>
            <w:vAlign w:val="bottom"/>
            <w:gridSpan w:val="5"/>
            <w:vMerge w:val="restart"/>
          </w:tcPr>
          <w:p>
            <w:pPr>
              <w:ind w:left="400"/>
              <w:spacing w:after="0" w:line="165" w:lineRule="exact"/>
              <w:rPr>
                <w:sz w:val="20"/>
                <w:szCs w:val="20"/>
                <w:color w:val="auto"/>
              </w:rPr>
            </w:pPr>
            <w:r>
              <w:rPr>
                <w:rFonts w:ascii="Arial" w:cs="Arial" w:eastAsia="Arial" w:hAnsi="Arial"/>
                <w:sz w:val="14"/>
                <w:szCs w:val="14"/>
                <w:color w:val="auto"/>
              </w:rPr>
              <w:t>Incentive Plan Awards</w:t>
            </w:r>
            <w:r>
              <w:rPr>
                <w:rFonts w:ascii="Arial" w:cs="Arial" w:eastAsia="Arial" w:hAnsi="Arial"/>
                <w:sz w:val="17"/>
                <w:szCs w:val="17"/>
                <w:color w:val="auto"/>
                <w:vertAlign w:val="superscript"/>
              </w:rPr>
              <w:t>(1)</w:t>
            </w:r>
          </w:p>
        </w:tc>
        <w:tc>
          <w:tcPr>
            <w:tcW w:w="10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5"/>
                <w:szCs w:val="5"/>
                <w:color w:val="auto"/>
              </w:rPr>
            </w:pPr>
          </w:p>
        </w:tc>
        <w:tc>
          <w:tcPr>
            <w:tcW w:w="2120" w:type="dxa"/>
            <w:vAlign w:val="bottom"/>
            <w:gridSpan w:val="7"/>
            <w:vMerge w:val="restart"/>
          </w:tcPr>
          <w:p>
            <w:pPr>
              <w:jc w:val="right"/>
              <w:ind w:right="48"/>
              <w:spacing w:after="0" w:line="165" w:lineRule="exact"/>
              <w:rPr>
                <w:sz w:val="20"/>
                <w:szCs w:val="20"/>
                <w:color w:val="auto"/>
              </w:rPr>
            </w:pPr>
            <w:r>
              <w:rPr>
                <w:rFonts w:ascii="Arial" w:cs="Arial" w:eastAsia="Arial" w:hAnsi="Arial"/>
                <w:sz w:val="14"/>
                <w:szCs w:val="14"/>
                <w:color w:val="auto"/>
              </w:rPr>
              <w:t>Equity Incentive Plan Awards</w:t>
            </w:r>
            <w:r>
              <w:rPr>
                <w:rFonts w:ascii="Arial" w:cs="Arial" w:eastAsia="Arial" w:hAnsi="Arial"/>
                <w:sz w:val="17"/>
                <w:szCs w:val="17"/>
                <w:color w:val="auto"/>
                <w:vertAlign w:val="superscript"/>
              </w:rPr>
              <w:t>(2)</w:t>
            </w:r>
          </w:p>
        </w:tc>
        <w:tc>
          <w:tcPr>
            <w:tcW w:w="1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40" w:type="dxa"/>
            <w:vAlign w:val="bottom"/>
            <w:tcBorders>
              <w:bottom w:val="single" w:sz="8" w:color="auto"/>
            </w:tcBorders>
            <w:vMerge w:val="continue"/>
          </w:tcPr>
          <w:p>
            <w:pPr>
              <w:spacing w:after="0"/>
              <w:rPr>
                <w:sz w:val="10"/>
                <w:szCs w:val="10"/>
                <w:color w:val="auto"/>
              </w:rPr>
            </w:pPr>
          </w:p>
        </w:tc>
        <w:tc>
          <w:tcPr>
            <w:tcW w:w="2360" w:type="dxa"/>
            <w:vAlign w:val="bottom"/>
            <w:tcBorders>
              <w:bottom w:val="single" w:sz="8" w:color="auto"/>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7"/>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Shares of</w:t>
            </w:r>
          </w:p>
        </w:tc>
        <w:tc>
          <w:tcPr>
            <w:tcW w:w="200" w:type="dxa"/>
            <w:vAlign w:val="bottom"/>
          </w:tcPr>
          <w:p>
            <w:pPr>
              <w:spacing w:after="0"/>
              <w:rPr>
                <w:sz w:val="10"/>
                <w:szCs w:val="10"/>
                <w:color w:val="auto"/>
              </w:rPr>
            </w:pPr>
          </w:p>
        </w:tc>
        <w:tc>
          <w:tcPr>
            <w:tcW w:w="620" w:type="dxa"/>
            <w:vAlign w:val="bottom"/>
            <w:gridSpan w:val="3"/>
            <w:vMerge w:val="restart"/>
          </w:tcPr>
          <w:p>
            <w:pPr>
              <w:jc w:val="right"/>
              <w:ind w:right="75"/>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25"/>
        </w:trPr>
        <w:tc>
          <w:tcPr>
            <w:tcW w:w="1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Grant</w:t>
            </w:r>
          </w:p>
        </w:tc>
        <w:tc>
          <w:tcPr>
            <w:tcW w:w="200" w:type="dxa"/>
            <w:vAlign w:val="bottom"/>
          </w:tcPr>
          <w:p>
            <w:pPr>
              <w:spacing w:after="0"/>
              <w:rPr>
                <w:sz w:val="14"/>
                <w:szCs w:val="14"/>
                <w:color w:val="auto"/>
              </w:rPr>
            </w:pPr>
          </w:p>
        </w:tc>
        <w:tc>
          <w:tcPr>
            <w:tcW w:w="980" w:type="dxa"/>
            <w:vAlign w:val="bottom"/>
            <w:gridSpan w:val="3"/>
          </w:tcPr>
          <w:p>
            <w:pPr>
              <w:jc w:val="right"/>
              <w:ind w:right="268"/>
              <w:spacing w:after="0"/>
              <w:rPr>
                <w:sz w:val="20"/>
                <w:szCs w:val="20"/>
                <w:color w:val="auto"/>
              </w:rPr>
            </w:pPr>
            <w:r>
              <w:rPr>
                <w:rFonts w:ascii="Arial" w:cs="Arial" w:eastAsia="Arial" w:hAnsi="Arial"/>
                <w:sz w:val="14"/>
                <w:szCs w:val="14"/>
                <w:color w:val="auto"/>
                <w:w w:val="99"/>
              </w:rPr>
              <w:t>Threshold</w:t>
            </w:r>
          </w:p>
        </w:tc>
        <w:tc>
          <w:tcPr>
            <w:tcW w:w="560" w:type="dxa"/>
            <w:vAlign w:val="bottom"/>
          </w:tcPr>
          <w:p>
            <w:pPr>
              <w:jc w:val="right"/>
              <w:spacing w:after="0"/>
              <w:rPr>
                <w:sz w:val="20"/>
                <w:szCs w:val="20"/>
                <w:color w:val="auto"/>
              </w:rPr>
            </w:pPr>
            <w:r>
              <w:rPr>
                <w:rFonts w:ascii="Arial" w:cs="Arial" w:eastAsia="Arial" w:hAnsi="Arial"/>
                <w:sz w:val="14"/>
                <w:szCs w:val="14"/>
                <w:color w:val="auto"/>
              </w:rPr>
              <w:t>Target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Maximum</w:t>
            </w:r>
          </w:p>
        </w:tc>
        <w:tc>
          <w:tcPr>
            <w:tcW w:w="100" w:type="dxa"/>
            <w:vAlign w:val="bottom"/>
          </w:tcPr>
          <w:p>
            <w:pPr>
              <w:spacing w:after="0"/>
              <w:rPr>
                <w:sz w:val="14"/>
                <w:szCs w:val="14"/>
                <w:color w:val="auto"/>
              </w:rPr>
            </w:pPr>
          </w:p>
        </w:tc>
        <w:tc>
          <w:tcPr>
            <w:tcW w:w="880" w:type="dxa"/>
            <w:vAlign w:val="bottom"/>
            <w:gridSpan w:val="4"/>
          </w:tcPr>
          <w:p>
            <w:pPr>
              <w:jc w:val="right"/>
              <w:ind w:right="88"/>
              <w:spacing w:after="0"/>
              <w:rPr>
                <w:sz w:val="20"/>
                <w:szCs w:val="20"/>
                <w:color w:val="auto"/>
              </w:rPr>
            </w:pPr>
            <w:r>
              <w:rPr>
                <w:rFonts w:ascii="Arial" w:cs="Arial" w:eastAsia="Arial" w:hAnsi="Arial"/>
                <w:sz w:val="14"/>
                <w:szCs w:val="14"/>
                <w:color w:val="auto"/>
              </w:rPr>
              <w:t>Threshold</w:t>
            </w:r>
          </w:p>
        </w:tc>
        <w:tc>
          <w:tcPr>
            <w:tcW w:w="180" w:type="dxa"/>
            <w:vAlign w:val="bottom"/>
          </w:tcPr>
          <w:p>
            <w:pPr>
              <w:spacing w:after="0"/>
              <w:rPr>
                <w:sz w:val="14"/>
                <w:szCs w:val="14"/>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Target</w:t>
            </w:r>
          </w:p>
        </w:tc>
        <w:tc>
          <w:tcPr>
            <w:tcW w:w="1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Maximum</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620" w:type="dxa"/>
            <w:vAlign w:val="bottom"/>
            <w:gridSpan w:val="3"/>
          </w:tcPr>
          <w:p>
            <w:pPr>
              <w:jc w:val="right"/>
              <w:ind w:right="75"/>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4"/>
                <w:szCs w:val="14"/>
                <w:color w:val="auto"/>
              </w:rPr>
              <w:t>Name</w:t>
            </w: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 ​</w:t>
            </w:r>
          </w:p>
        </w:tc>
        <w:tc>
          <w:tcPr>
            <w:tcW w:w="540" w:type="dxa"/>
            <w:vAlign w:val="bottom"/>
          </w:tcPr>
          <w:p>
            <w:pPr>
              <w:jc w:val="right"/>
              <w:spacing w:after="0" w:line="185" w:lineRule="exact"/>
              <w:rPr>
                <w:sz w:val="20"/>
                <w:szCs w:val="20"/>
                <w:color w:val="auto"/>
              </w:rPr>
            </w:pPr>
            <w:r>
              <w:rPr>
                <w:rFonts w:ascii="Arial" w:cs="Arial" w:eastAsia="Arial" w:hAnsi="Arial"/>
                <w:sz w:val="14"/>
                <w:szCs w:val="14"/>
                <w:color w:val="auto"/>
              </w:rPr>
              <w:t>Date</w:t>
            </w:r>
            <w:r>
              <w:rPr>
                <w:rFonts w:ascii="Arial" w:cs="Arial" w:eastAsia="Arial" w:hAnsi="Arial"/>
                <w:sz w:val="17"/>
                <w:szCs w:val="17"/>
                <w:color w:val="auto"/>
                <w:vertAlign w:val="superscript"/>
              </w:rPr>
              <w:t>(4)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4"/>
          </w:tcPr>
          <w:p>
            <w:pPr>
              <w:ind w:left="360"/>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Girishchandra K. Saligram</w:t>
            </w:r>
          </w:p>
        </w:tc>
        <w:tc>
          <w:tcPr>
            <w:tcW w:w="28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Jan. 4</w:t>
            </w:r>
          </w:p>
        </w:tc>
        <w:tc>
          <w:tcPr>
            <w:tcW w:w="2840" w:type="dxa"/>
            <w:vAlign w:val="bottom"/>
            <w:tcBorders>
              <w:top w:val="single" w:sz="8" w:color="auto"/>
              <w:bottom w:val="single" w:sz="8" w:color="CCCCCC"/>
            </w:tcBorders>
            <w:gridSpan w:val="9"/>
            <w:shd w:val="clear" w:color="auto" w:fill="CCCCCC"/>
          </w:tcPr>
          <w:p>
            <w:pPr>
              <w:jc w:val="right"/>
              <w:spacing w:after="0" w:line="187" w:lineRule="exact"/>
              <w:rPr>
                <w:sz w:val="20"/>
                <w:szCs w:val="20"/>
                <w:color w:val="auto"/>
              </w:rPr>
            </w:pPr>
            <w:r>
              <w:rPr>
                <w:rFonts w:ascii="Arial" w:cs="Arial" w:eastAsia="Arial" w:hAnsi="Arial"/>
                <w:sz w:val="21"/>
                <w:szCs w:val="21"/>
                <w:color w:val="auto"/>
                <w:vertAlign w:val="superscript"/>
              </w:rPr>
              <w:t>​ ​ ​</w:t>
            </w:r>
            <w:r>
              <w:rPr>
                <w:rFonts w:ascii="Arial" w:cs="Arial" w:eastAsia="Arial" w:hAnsi="Arial"/>
                <w:sz w:val="12"/>
                <w:szCs w:val="12"/>
                <w:color w:val="auto"/>
              </w:rPr>
              <w:t xml:space="preserve">​523,438 </w:t>
            </w:r>
            <w:r>
              <w:rPr>
                <w:rFonts w:ascii="Arial" w:cs="Arial" w:eastAsia="Arial" w:hAnsi="Arial"/>
                <w:sz w:val="21"/>
                <w:szCs w:val="21"/>
                <w:color w:val="auto"/>
                <w:vertAlign w:val="superscript"/>
              </w:rPr>
              <w:t>​​ ​​</w:t>
            </w:r>
            <w:r>
              <w:rPr>
                <w:rFonts w:ascii="Arial" w:cs="Arial" w:eastAsia="Arial" w:hAnsi="Arial"/>
                <w:sz w:val="12"/>
                <w:szCs w:val="12"/>
                <w:color w:val="auto"/>
              </w:rPr>
              <w:t>​1,046,875</w:t>
            </w:r>
            <w:r>
              <w:rPr>
                <w:rFonts w:ascii="Arial" w:cs="Arial" w:eastAsia="Arial" w:hAnsi="Arial"/>
                <w:sz w:val="21"/>
                <w:szCs w:val="21"/>
                <w:color w:val="auto"/>
                <w:vertAlign w:val="superscript"/>
              </w:rPr>
              <w:t>​​ ​​</w:t>
            </w:r>
            <w:r>
              <w:rPr>
                <w:rFonts w:ascii="Arial" w:cs="Arial" w:eastAsia="Arial" w:hAnsi="Arial"/>
                <w:sz w:val="12"/>
                <w:szCs w:val="12"/>
                <w:color w:val="auto"/>
              </w:rPr>
              <w:t>​2,093,750</w:t>
            </w:r>
            <w:r>
              <w:rPr>
                <w:rFonts w:ascii="Arial" w:cs="Arial" w:eastAsia="Arial" w:hAnsi="Arial"/>
                <w:sz w:val="21"/>
                <w:szCs w:val="21"/>
                <w:color w:val="auto"/>
                <w:vertAlign w:val="superscript"/>
              </w:rPr>
              <w:t>​​ ​</w:t>
            </w:r>
          </w:p>
        </w:tc>
        <w:tc>
          <w:tcPr>
            <w:tcW w:w="100" w:type="dxa"/>
            <w:vAlign w:val="bottom"/>
            <w:tcBorders>
              <w:top w:val="single" w:sz="8" w:color="auto"/>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CCCCCC"/>
            </w:tcBorders>
            <w:shd w:val="clear" w:color="auto" w:fill="CCCCCC"/>
          </w:tcPr>
          <w:p>
            <w:pPr>
              <w:spacing w:after="0"/>
              <w:rPr>
                <w:sz w:val="16"/>
                <w:szCs w:val="16"/>
                <w:color w:val="auto"/>
              </w:rPr>
            </w:pPr>
          </w:p>
        </w:tc>
        <w:tc>
          <w:tcPr>
            <w:tcW w:w="1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top w:val="single" w:sz="8" w:color="auto"/>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CCCCCC"/>
            </w:tcBorders>
            <w:shd w:val="clear" w:color="auto" w:fill="CCCCCC"/>
          </w:tcPr>
          <w:p>
            <w:pPr>
              <w:spacing w:after="0"/>
              <w:rPr>
                <w:sz w:val="16"/>
                <w:szCs w:val="16"/>
                <w:color w:val="auto"/>
              </w:rPr>
            </w:pPr>
          </w:p>
        </w:tc>
        <w:tc>
          <w:tcPr>
            <w:tcW w:w="260" w:type="dxa"/>
            <w:vAlign w:val="bottom"/>
            <w:tcBorders>
              <w:top w:val="single" w:sz="8" w:color="auto"/>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top w:val="single" w:sz="8" w:color="auto"/>
              <w:bottom w:val="single" w:sz="8" w:color="CCCCCC"/>
            </w:tcBorders>
            <w:shd w:val="clear" w:color="auto" w:fill="CCCCCC"/>
          </w:tcPr>
          <w:p>
            <w:pPr>
              <w:spacing w:after="0"/>
              <w:rPr>
                <w:sz w:val="16"/>
                <w:szCs w:val="16"/>
                <w:color w:val="auto"/>
              </w:rPr>
            </w:pPr>
          </w:p>
        </w:tc>
        <w:tc>
          <w:tcPr>
            <w:tcW w:w="60" w:type="dxa"/>
            <w:vAlign w:val="bottom"/>
            <w:tcBorders>
              <w:top w:val="single" w:sz="8" w:color="auto"/>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CCCCCC"/>
            </w:tcBorders>
            <w:shd w:val="clear" w:color="auto" w:fill="CCCCCC"/>
          </w:tcPr>
          <w:p>
            <w:pPr>
              <w:spacing w:after="0"/>
              <w:rPr>
                <w:sz w:val="16"/>
                <w:szCs w:val="16"/>
                <w:color w:val="auto"/>
              </w:rPr>
            </w:pPr>
          </w:p>
        </w:tc>
        <w:tc>
          <w:tcPr>
            <w:tcW w:w="1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top w:val="single" w:sz="8" w:color="auto"/>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bottom w:val="single" w:sz="8" w:color="CCCCCC"/>
            </w:tcBorders>
            <w:shd w:val="clear" w:color="auto" w:fill="CCCCCC"/>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(3)</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​249,852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​499,703</w:t>
            </w:r>
            <w:r>
              <w:rPr>
                <w:rFonts w:ascii="Arial" w:cs="Arial" w:eastAsia="Arial" w:hAnsi="Arial"/>
                <w:sz w:val="22"/>
                <w:szCs w:val="22"/>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​999,406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780" w:type="dxa"/>
            <w:vAlign w:val="bottom"/>
            <w:gridSpan w:val="2"/>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​2,868,295</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(4)</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580" w:type="dxa"/>
            <w:vAlign w:val="bottom"/>
            <w:tcBorders>
              <w:bottom w:val="single" w:sz="8" w:color="CCCCCC"/>
            </w:tcBorders>
            <w:gridSpan w:val="2"/>
            <w:shd w:val="clear" w:color="auto" w:fill="CCCCCC"/>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​249,852</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CCCC"/>
            </w:tcBorders>
            <w:gridSpan w:val="2"/>
            <w:shd w:val="clear" w:color="auto" w:fill="CCCCCC"/>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​1,434,150</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(5)</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60" w:type="dxa"/>
            <w:vAlign w:val="bottom"/>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61,084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350,622</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5"/>
              </w:rPr>
              <w:t>Nov. 1</w:t>
            </w:r>
            <w:r>
              <w:rPr>
                <w:rFonts w:ascii="Arial" w:cs="Arial" w:eastAsia="Arial" w:hAnsi="Arial"/>
                <w:sz w:val="17"/>
                <w:szCs w:val="17"/>
                <w:color w:val="auto"/>
                <w:w w:val="95"/>
                <w:vertAlign w:val="superscript"/>
              </w:rPr>
              <w:t>(6)</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gridSpan w:val="2"/>
            <w:shd w:val="clear" w:color="auto" w:fill="CCCCCC"/>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​118,765</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2"/>
            <w:shd w:val="clear" w:color="auto" w:fill="CCCCCC"/>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​237,529</w:t>
            </w:r>
            <w:r>
              <w:rPr>
                <w:rFonts w:ascii="Arial" w:cs="Arial" w:eastAsia="Arial" w:hAnsi="Arial"/>
                <w:sz w:val="22"/>
                <w:szCs w:val="22"/>
                <w:color w:val="auto"/>
                <w:vertAlign w:val="superscript"/>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​237,529</w:t>
            </w: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CCCCCC"/>
            </w:tcBorders>
            <w:gridSpan w:val="2"/>
            <w:shd w:val="clear" w:color="auto" w:fill="CCCCCC"/>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​4,643,692</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00" w:type="dxa"/>
            <w:vAlign w:val="bottom"/>
            <w:vMerge w:val="restart"/>
          </w:tcPr>
          <w:p>
            <w:pPr>
              <w:spacing w:after="0"/>
              <w:rPr>
                <w:sz w:val="20"/>
                <w:szCs w:val="20"/>
                <w:color w:val="auto"/>
              </w:rPr>
            </w:pPr>
            <w:r>
              <w:rPr>
                <w:rFonts w:ascii="Arial" w:cs="Arial" w:eastAsia="Arial" w:hAnsi="Arial"/>
                <w:sz w:val="14"/>
                <w:szCs w:val="14"/>
                <w:color w:val="auto"/>
              </w:rPr>
              <w:t>H. Keith Jennings</w:t>
            </w:r>
          </w:p>
        </w:tc>
        <w:tc>
          <w:tcPr>
            <w:tcW w:w="280" w:type="dxa"/>
            <w:vAlign w:val="bottom"/>
          </w:tcPr>
          <w:p>
            <w:pPr>
              <w:ind w:left="240"/>
              <w:spacing w:after="0" w:line="139" w:lineRule="exact"/>
              <w:rPr>
                <w:sz w:val="20"/>
                <w:szCs w:val="20"/>
                <w:color w:val="auto"/>
              </w:rPr>
            </w:pPr>
            <w:r>
              <w:rPr>
                <w:rFonts w:ascii="Arial" w:cs="Arial" w:eastAsia="Arial" w:hAnsi="Arial"/>
                <w:sz w:val="14"/>
                <w:szCs w:val="14"/>
                <w:color w:val="auto"/>
              </w:rPr>
              <w:t>​</w:t>
            </w:r>
          </w:p>
        </w:tc>
        <w:tc>
          <w:tcPr>
            <w:tcW w:w="160" w:type="dxa"/>
            <w:vAlign w:val="bottom"/>
          </w:tcPr>
          <w:p>
            <w:pPr>
              <w:jc w:val="center"/>
              <w:spacing w:after="0" w:line="139"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Jan. 4</w:t>
            </w:r>
          </w:p>
        </w:tc>
        <w:tc>
          <w:tcPr>
            <w:tcW w:w="800" w:type="dxa"/>
            <w:vAlign w:val="bottom"/>
            <w:gridSpan w:val="3"/>
          </w:tcPr>
          <w:p>
            <w:pPr>
              <w:ind w:left="60"/>
              <w:spacing w:after="0" w:line="139" w:lineRule="exact"/>
              <w:rPr>
                <w:sz w:val="20"/>
                <w:szCs w:val="20"/>
                <w:color w:val="auto"/>
              </w:rPr>
            </w:pPr>
            <w:r>
              <w:rPr>
                <w:rFonts w:ascii="Arial" w:cs="Arial" w:eastAsia="Arial" w:hAnsi="Arial"/>
                <w:sz w:val="14"/>
                <w:szCs w:val="14"/>
                <w:color w:val="auto"/>
              </w:rPr>
              <w:t>​ ​ ​</w:t>
            </w:r>
          </w:p>
        </w:tc>
        <w:tc>
          <w:tcPr>
            <w:tcW w:w="3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24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1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180" w:type="dxa"/>
            <w:vAlign w:val="bottom"/>
          </w:tcPr>
          <w:p>
            <w:pPr>
              <w:ind w:left="60"/>
              <w:spacing w:after="0" w:line="1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14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 ​</w:t>
            </w:r>
          </w:p>
        </w:tc>
        <w:tc>
          <w:tcPr>
            <w:tcW w:w="60" w:type="dxa"/>
            <w:vAlign w:val="bottom"/>
          </w:tcPr>
          <w:p>
            <w:pPr>
              <w:spacing w:after="0"/>
              <w:rPr>
                <w:sz w:val="12"/>
                <w:szCs w:val="12"/>
                <w:color w:val="auto"/>
              </w:rPr>
            </w:pPr>
          </w:p>
        </w:tc>
        <w:tc>
          <w:tcPr>
            <w:tcW w:w="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200" w:type="dxa"/>
            <w:vAlign w:val="bottom"/>
          </w:tcPr>
          <w:p>
            <w:pPr>
              <w:ind w:left="60"/>
              <w:spacing w:after="0" w:line="139"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​250,000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(3)</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gridSpan w:val="2"/>
            <w:shd w:val="clear" w:color="auto" w:fill="CCCCCC"/>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96,497</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CCCC"/>
            </w:tcBorders>
            <w:gridSpan w:val="2"/>
            <w:shd w:val="clear" w:color="auto" w:fill="CCCCCC"/>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​192,993</w:t>
            </w:r>
            <w:r>
              <w:rPr>
                <w:rFonts w:ascii="Arial" w:cs="Arial" w:eastAsia="Arial" w:hAnsi="Arial"/>
                <w:sz w:val="22"/>
                <w:szCs w:val="22"/>
                <w:color w:val="auto"/>
                <w:vertAlign w:val="superscript"/>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​385,986</w:t>
            </w: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CCCCCC"/>
            </w:tcBorders>
            <w:gridSpan w:val="2"/>
            <w:shd w:val="clear" w:color="auto" w:fill="CCCCCC"/>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​1,107,780</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(4)</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58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​115,796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664,669</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(5)</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56,620</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324,999</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5"/>
              </w:rPr>
              <w:t>Nov. 1</w:t>
            </w:r>
            <w:r>
              <w:rPr>
                <w:rFonts w:ascii="Arial" w:cs="Arial" w:eastAsia="Arial" w:hAnsi="Arial"/>
                <w:sz w:val="17"/>
                <w:szCs w:val="17"/>
                <w:color w:val="auto"/>
                <w:w w:val="95"/>
                <w:vertAlign w:val="superscript"/>
              </w:rPr>
              <w:t>(6)</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47,506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580" w:type="dxa"/>
            <w:vAlign w:val="bottom"/>
          </w:tcPr>
          <w:p>
            <w:pPr>
              <w:jc w:val="right"/>
              <w:spacing w:after="0" w:line="193" w:lineRule="exact"/>
              <w:rPr>
                <w:sz w:val="20"/>
                <w:szCs w:val="20"/>
                <w:color w:val="auto"/>
              </w:rPr>
            </w:pPr>
            <w:r>
              <w:rPr>
                <w:rFonts w:ascii="Arial" w:cs="Arial" w:eastAsia="Arial" w:hAnsi="Arial"/>
                <w:sz w:val="12"/>
                <w:szCs w:val="12"/>
                <w:color w:val="auto"/>
              </w:rPr>
              <w:t>95,011</w:t>
            </w:r>
            <w:r>
              <w:rPr>
                <w:rFonts w:ascii="Arial" w:cs="Arial" w:eastAsia="Arial" w:hAnsi="Arial"/>
                <w:sz w:val="22"/>
                <w:szCs w:val="22"/>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95,011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780" w:type="dxa"/>
            <w:vAlign w:val="bottom"/>
            <w:gridSpan w:val="2"/>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​1,857,465</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39"/>
        </w:trPr>
        <w:tc>
          <w:tcPr>
            <w:tcW w:w="1900" w:type="dxa"/>
            <w:vAlign w:val="bottom"/>
            <w:vMerge w:val="restart"/>
          </w:tcPr>
          <w:p>
            <w:pPr>
              <w:spacing w:after="0"/>
              <w:rPr>
                <w:sz w:val="20"/>
                <w:szCs w:val="20"/>
                <w:color w:val="auto"/>
              </w:rPr>
            </w:pPr>
            <w:r>
              <w:rPr>
                <w:rFonts w:ascii="Arial" w:cs="Arial" w:eastAsia="Arial" w:hAnsi="Arial"/>
                <w:sz w:val="14"/>
                <w:szCs w:val="14"/>
                <w:color w:val="auto"/>
              </w:rPr>
              <w:t>Scott C. Weatherholt</w:t>
            </w:r>
          </w:p>
        </w:tc>
        <w:tc>
          <w:tcPr>
            <w:tcW w:w="280" w:type="dxa"/>
            <w:vAlign w:val="bottom"/>
            <w:vMerge w:val="continue"/>
          </w:tcPr>
          <w:p>
            <w:pPr>
              <w:spacing w:after="0"/>
              <w:rPr>
                <w:sz w:val="12"/>
                <w:szCs w:val="12"/>
                <w:color w:val="auto"/>
              </w:rPr>
            </w:pPr>
          </w:p>
        </w:tc>
        <w:tc>
          <w:tcPr>
            <w:tcW w:w="160" w:type="dxa"/>
            <w:vAlign w:val="bottom"/>
            <w:shd w:val="clear" w:color="auto" w:fill="CCCCCC"/>
          </w:tcPr>
          <w:p>
            <w:pPr>
              <w:jc w:val="center"/>
              <w:spacing w:after="0" w:line="139" w:lineRule="exact"/>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Jan. 4</w:t>
            </w:r>
          </w:p>
        </w:tc>
        <w:tc>
          <w:tcPr>
            <w:tcW w:w="800" w:type="dxa"/>
            <w:vAlign w:val="bottom"/>
            <w:gridSpan w:val="3"/>
            <w:shd w:val="clear" w:color="auto" w:fill="CCCCCC"/>
          </w:tcPr>
          <w:p>
            <w:pPr>
              <w:ind w:left="60"/>
              <w:spacing w:after="0" w:line="139" w:lineRule="exact"/>
              <w:rPr>
                <w:sz w:val="20"/>
                <w:szCs w:val="20"/>
                <w:color w:val="auto"/>
              </w:rPr>
            </w:pPr>
            <w:r>
              <w:rPr>
                <w:rFonts w:ascii="Arial" w:cs="Arial" w:eastAsia="Arial" w:hAnsi="Arial"/>
                <w:sz w:val="14"/>
                <w:szCs w:val="14"/>
                <w:color w:val="auto"/>
              </w:rPr>
              <w:t>​ ​ ​</w:t>
            </w:r>
          </w:p>
        </w:tc>
        <w:tc>
          <w:tcPr>
            <w:tcW w:w="3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382,500</w:t>
            </w:r>
          </w:p>
        </w:tc>
        <w:tc>
          <w:tcPr>
            <w:tcW w:w="2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5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765,000</w:t>
            </w:r>
          </w:p>
        </w:tc>
        <w:tc>
          <w:tcPr>
            <w:tcW w:w="24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00" w:type="dxa"/>
            <w:vAlign w:val="bottom"/>
            <w:shd w:val="clear" w:color="auto" w:fill="CCCCCC"/>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CCCC"/>
          </w:tcPr>
          <w:p>
            <w:pPr>
              <w:spacing w:after="0"/>
              <w:rPr>
                <w:sz w:val="12"/>
                <w:szCs w:val="12"/>
                <w:color w:val="auto"/>
              </w:rPr>
            </w:pPr>
          </w:p>
        </w:tc>
        <w:tc>
          <w:tcPr>
            <w:tcW w:w="1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8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0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4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CCCC"/>
          </w:tcPr>
          <w:p>
            <w:pPr>
              <w:spacing w:after="0"/>
              <w:rPr>
                <w:sz w:val="12"/>
                <w:szCs w:val="12"/>
                <w:color w:val="auto"/>
              </w:rPr>
            </w:pPr>
          </w:p>
        </w:tc>
        <w:tc>
          <w:tcPr>
            <w:tcW w:w="26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 ​</w:t>
            </w:r>
          </w:p>
        </w:tc>
        <w:tc>
          <w:tcPr>
            <w:tcW w:w="60" w:type="dxa"/>
            <w:vAlign w:val="bottom"/>
            <w:shd w:val="clear" w:color="auto" w:fill="CCCCCC"/>
          </w:tcPr>
          <w:p>
            <w:pPr>
              <w:spacing w:after="0"/>
              <w:rPr>
                <w:sz w:val="12"/>
                <w:szCs w:val="12"/>
                <w:color w:val="auto"/>
              </w:rPr>
            </w:pPr>
          </w:p>
        </w:tc>
        <w:tc>
          <w:tcPr>
            <w:tcW w:w="60" w:type="dxa"/>
            <w:vAlign w:val="bottom"/>
            <w:shd w:val="clear" w:color="auto" w:fill="CCCCCC"/>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CCCC"/>
          </w:tcPr>
          <w:p>
            <w:pPr>
              <w:spacing w:after="0"/>
              <w:rPr>
                <w:sz w:val="12"/>
                <w:szCs w:val="12"/>
                <w:color w:val="auto"/>
              </w:rPr>
            </w:pPr>
          </w:p>
        </w:tc>
        <w:tc>
          <w:tcPr>
            <w:tcW w:w="1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20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color w:val="auto"/>
              </w:rPr>
              <w:t>​ ​</w:t>
            </w:r>
          </w:p>
        </w:tc>
        <w:tc>
          <w:tcPr>
            <w:tcW w:w="580" w:type="dxa"/>
            <w:vAlign w:val="bottom"/>
            <w:shd w:val="clear" w:color="auto" w:fill="CCCCCC"/>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540" w:type="dxa"/>
            <w:vAlign w:val="bottom"/>
            <w:vMerge w:val="continue"/>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40" w:type="dxa"/>
            <w:vAlign w:val="bottom"/>
            <w:shd w:val="clear" w:color="auto" w:fill="CCCCCC"/>
          </w:tcPr>
          <w:p>
            <w:pPr>
              <w:spacing w:after="0"/>
              <w:rPr>
                <w:sz w:val="16"/>
                <w:szCs w:val="16"/>
                <w:color w:val="auto"/>
              </w:rPr>
            </w:pPr>
          </w:p>
        </w:tc>
        <w:tc>
          <w:tcPr>
            <w:tcW w:w="560" w:type="dxa"/>
            <w:vAlign w:val="bottom"/>
            <w:shd w:val="clear" w:color="auto" w:fill="CCCCCC"/>
          </w:tcPr>
          <w:p>
            <w:pPr>
              <w:ind w:left="20"/>
              <w:spacing w:after="0"/>
              <w:rPr>
                <w:sz w:val="20"/>
                <w:szCs w:val="20"/>
                <w:color w:val="auto"/>
              </w:rPr>
            </w:pPr>
            <w:r>
              <w:rPr>
                <w:rFonts w:ascii="Arial" w:cs="Arial" w:eastAsia="Arial" w:hAnsi="Arial"/>
                <w:sz w:val="14"/>
                <w:szCs w:val="14"/>
                <w:color w:val="auto"/>
              </w:rPr>
              <w:t>​191,250</w:t>
            </w:r>
          </w:p>
        </w:tc>
        <w:tc>
          <w:tcPr>
            <w:tcW w:w="3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continue"/>
            <w:shd w:val="clear" w:color="auto" w:fill="CCCCCC"/>
          </w:tcPr>
          <w:p>
            <w:pPr>
              <w:spacing w:after="0"/>
              <w:rPr>
                <w:sz w:val="16"/>
                <w:szCs w:val="16"/>
                <w:color w:val="auto"/>
              </w:rPr>
            </w:pPr>
          </w:p>
        </w:tc>
        <w:tc>
          <w:tcPr>
            <w:tcW w:w="2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580" w:type="dxa"/>
            <w:vAlign w:val="bottom"/>
            <w:shd w:val="clear" w:color="auto" w:fill="CCCCCC"/>
          </w:tcPr>
          <w:p>
            <w:pPr>
              <w:spacing w:after="0"/>
              <w:rPr>
                <w:sz w:val="16"/>
                <w:szCs w:val="16"/>
                <w:color w:val="auto"/>
              </w:rPr>
            </w:pPr>
          </w:p>
        </w:tc>
        <w:tc>
          <w:tcPr>
            <w:tcW w:w="120" w:type="dxa"/>
            <w:vAlign w:val="bottom"/>
            <w:shd w:val="clear" w:color="auto" w:fill="CCCCCC"/>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52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5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(3)</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59,308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​118,616</w:t>
            </w:r>
            <w:r>
              <w:rPr>
                <w:rFonts w:ascii="Arial" w:cs="Arial" w:eastAsia="Arial" w:hAnsi="Arial"/>
                <w:sz w:val="22"/>
                <w:szCs w:val="22"/>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​237,232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680,856</w:t>
            </w: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(4)</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71,170</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408,516</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9"/>
              </w:rPr>
              <w:t>Jan. 4</w:t>
            </w:r>
            <w:r>
              <w:rPr>
                <w:rFonts w:ascii="Arial" w:cs="Arial" w:eastAsia="Arial" w:hAnsi="Arial"/>
                <w:sz w:val="17"/>
                <w:szCs w:val="17"/>
                <w:color w:val="auto"/>
                <w:w w:val="99"/>
                <w:vertAlign w:val="superscript"/>
              </w:rPr>
              <w:t>(5)</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60" w:type="dxa"/>
            <w:vAlign w:val="bottom"/>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34,800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199,752</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bottom w:val="single" w:sz="8" w:color="CCCCCC"/>
            </w:tcBorders>
            <w:gridSpan w:val="2"/>
            <w:shd w:val="clear" w:color="auto" w:fill="CCCCCC"/>
          </w:tcPr>
          <w:p>
            <w:pPr>
              <w:jc w:val="right"/>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Feb. 25</w:t>
            </w:r>
            <w:r>
              <w:rPr>
                <w:rFonts w:ascii="Arial" w:cs="Arial" w:eastAsia="Arial" w:hAnsi="Arial"/>
                <w:sz w:val="14"/>
                <w:szCs w:val="14"/>
                <w:color w:val="auto"/>
                <w:vertAlign w:val="superscript"/>
              </w:rPr>
              <w:t>(7)</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3,392</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39,178</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94" w:lineRule="exact"/>
              <w:rPr>
                <w:sz w:val="20"/>
                <w:szCs w:val="20"/>
                <w:color w:val="auto"/>
              </w:rPr>
            </w:pPr>
            <w:r>
              <w:rPr>
                <w:rFonts w:ascii="Arial" w:cs="Arial" w:eastAsia="Arial" w:hAnsi="Arial"/>
                <w:sz w:val="14"/>
                <w:szCs w:val="14"/>
                <w:color w:val="auto"/>
                <w:w w:val="95"/>
              </w:rPr>
              <w:t>Nov. 1</w:t>
            </w:r>
            <w:r>
              <w:rPr>
                <w:rFonts w:ascii="Arial" w:cs="Arial" w:eastAsia="Arial" w:hAnsi="Arial"/>
                <w:sz w:val="17"/>
                <w:szCs w:val="17"/>
                <w:color w:val="auto"/>
                <w:w w:val="95"/>
                <w:vertAlign w:val="superscript"/>
              </w:rPr>
              <w:t>(6)</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30,285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580" w:type="dxa"/>
            <w:vAlign w:val="bottom"/>
          </w:tcPr>
          <w:p>
            <w:pPr>
              <w:jc w:val="right"/>
              <w:spacing w:after="0" w:line="193" w:lineRule="exact"/>
              <w:rPr>
                <w:sz w:val="20"/>
                <w:szCs w:val="20"/>
                <w:color w:val="auto"/>
              </w:rPr>
            </w:pPr>
            <w:r>
              <w:rPr>
                <w:rFonts w:ascii="Arial" w:cs="Arial" w:eastAsia="Arial" w:hAnsi="Arial"/>
                <w:sz w:val="12"/>
                <w:szCs w:val="12"/>
                <w:color w:val="auto"/>
              </w:rPr>
              <w:t>60,570</w:t>
            </w:r>
            <w:r>
              <w:rPr>
                <w:rFonts w:ascii="Arial" w:cs="Arial" w:eastAsia="Arial" w:hAnsi="Arial"/>
                <w:sz w:val="22"/>
                <w:szCs w:val="22"/>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60,570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780" w:type="dxa"/>
            <w:vAlign w:val="bottom"/>
            <w:gridSpan w:val="2"/>
          </w:tcPr>
          <w:p>
            <w:pPr>
              <w:ind w:left="60"/>
              <w:spacing w:after="0" w:line="193"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​1,184,144</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39"/>
        </w:trPr>
        <w:tc>
          <w:tcPr>
            <w:tcW w:w="1900" w:type="dxa"/>
            <w:vAlign w:val="bottom"/>
            <w:vMerge w:val="restart"/>
          </w:tcPr>
          <w:p>
            <w:pPr>
              <w:spacing w:after="0"/>
              <w:rPr>
                <w:sz w:val="20"/>
                <w:szCs w:val="20"/>
                <w:color w:val="auto"/>
              </w:rPr>
            </w:pPr>
            <w:r>
              <w:rPr>
                <w:rFonts w:ascii="Arial" w:cs="Arial" w:eastAsia="Arial" w:hAnsi="Arial"/>
                <w:sz w:val="14"/>
                <w:szCs w:val="14"/>
                <w:color w:val="auto"/>
              </w:rPr>
              <w:t>Joseph H. Mongrain</w:t>
            </w:r>
          </w:p>
        </w:tc>
        <w:tc>
          <w:tcPr>
            <w:tcW w:w="280" w:type="dxa"/>
            <w:vAlign w:val="bottom"/>
            <w:vMerge w:val="continue"/>
          </w:tcPr>
          <w:p>
            <w:pPr>
              <w:spacing w:after="0"/>
              <w:rPr>
                <w:sz w:val="12"/>
                <w:szCs w:val="12"/>
                <w:color w:val="auto"/>
              </w:rPr>
            </w:pPr>
          </w:p>
        </w:tc>
        <w:tc>
          <w:tcPr>
            <w:tcW w:w="160" w:type="dxa"/>
            <w:vAlign w:val="bottom"/>
            <w:shd w:val="clear" w:color="auto" w:fill="CCCCCC"/>
          </w:tcPr>
          <w:p>
            <w:pPr>
              <w:jc w:val="center"/>
              <w:spacing w:after="0" w:line="139" w:lineRule="exact"/>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Mar. 22</w:t>
            </w:r>
          </w:p>
        </w:tc>
        <w:tc>
          <w:tcPr>
            <w:tcW w:w="800" w:type="dxa"/>
            <w:vAlign w:val="bottom"/>
            <w:gridSpan w:val="3"/>
            <w:shd w:val="clear" w:color="auto" w:fill="CCCCCC"/>
          </w:tcPr>
          <w:p>
            <w:pPr>
              <w:ind w:left="60"/>
              <w:spacing w:after="0" w:line="139" w:lineRule="exact"/>
              <w:rPr>
                <w:sz w:val="20"/>
                <w:szCs w:val="20"/>
                <w:color w:val="auto"/>
              </w:rPr>
            </w:pPr>
            <w:r>
              <w:rPr>
                <w:rFonts w:ascii="Arial" w:cs="Arial" w:eastAsia="Arial" w:hAnsi="Arial"/>
                <w:sz w:val="14"/>
                <w:szCs w:val="14"/>
                <w:color w:val="auto"/>
              </w:rPr>
              <w:t>​ ​ ​</w:t>
            </w:r>
          </w:p>
        </w:tc>
        <w:tc>
          <w:tcPr>
            <w:tcW w:w="3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5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189,042</w:t>
            </w:r>
          </w:p>
        </w:tc>
        <w:tc>
          <w:tcPr>
            <w:tcW w:w="2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5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378,084</w:t>
            </w:r>
          </w:p>
        </w:tc>
        <w:tc>
          <w:tcPr>
            <w:tcW w:w="24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00" w:type="dxa"/>
            <w:vAlign w:val="bottom"/>
            <w:shd w:val="clear" w:color="auto" w:fill="CCCCCC"/>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CCCC"/>
          </w:tcPr>
          <w:p>
            <w:pPr>
              <w:spacing w:after="0"/>
              <w:rPr>
                <w:sz w:val="12"/>
                <w:szCs w:val="12"/>
                <w:color w:val="auto"/>
              </w:rPr>
            </w:pPr>
          </w:p>
        </w:tc>
        <w:tc>
          <w:tcPr>
            <w:tcW w:w="1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8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0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14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CCCC"/>
          </w:tcPr>
          <w:p>
            <w:pPr>
              <w:spacing w:after="0"/>
              <w:rPr>
                <w:sz w:val="12"/>
                <w:szCs w:val="12"/>
                <w:color w:val="auto"/>
              </w:rPr>
            </w:pPr>
          </w:p>
        </w:tc>
        <w:tc>
          <w:tcPr>
            <w:tcW w:w="260" w:type="dxa"/>
            <w:vAlign w:val="bottom"/>
            <w:gridSpan w:val="2"/>
            <w:shd w:val="clear" w:color="auto" w:fill="CCCCCC"/>
          </w:tcPr>
          <w:p>
            <w:pPr>
              <w:jc w:val="right"/>
              <w:spacing w:after="0" w:line="139" w:lineRule="exact"/>
              <w:rPr>
                <w:sz w:val="20"/>
                <w:szCs w:val="20"/>
                <w:color w:val="auto"/>
              </w:rPr>
            </w:pPr>
            <w:r>
              <w:rPr>
                <w:rFonts w:ascii="Arial" w:cs="Arial" w:eastAsia="Arial" w:hAnsi="Arial"/>
                <w:sz w:val="14"/>
                <w:szCs w:val="14"/>
                <w:color w:val="auto"/>
              </w:rPr>
              <w:t>​ ​​ ​</w:t>
            </w:r>
          </w:p>
        </w:tc>
        <w:tc>
          <w:tcPr>
            <w:tcW w:w="60" w:type="dxa"/>
            <w:vAlign w:val="bottom"/>
            <w:shd w:val="clear" w:color="auto" w:fill="CCCCCC"/>
          </w:tcPr>
          <w:p>
            <w:pPr>
              <w:spacing w:after="0"/>
              <w:rPr>
                <w:sz w:val="12"/>
                <w:szCs w:val="12"/>
                <w:color w:val="auto"/>
              </w:rPr>
            </w:pPr>
          </w:p>
        </w:tc>
        <w:tc>
          <w:tcPr>
            <w:tcW w:w="60" w:type="dxa"/>
            <w:vAlign w:val="bottom"/>
            <w:shd w:val="clear" w:color="auto" w:fill="CCCCCC"/>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CCCC"/>
          </w:tcPr>
          <w:p>
            <w:pPr>
              <w:spacing w:after="0"/>
              <w:rPr>
                <w:sz w:val="12"/>
                <w:szCs w:val="12"/>
                <w:color w:val="auto"/>
              </w:rPr>
            </w:pPr>
          </w:p>
        </w:tc>
        <w:tc>
          <w:tcPr>
            <w:tcW w:w="180" w:type="dxa"/>
            <w:vAlign w:val="bottom"/>
            <w:shd w:val="clear" w:color="auto" w:fill="CCCCCC"/>
          </w:tcPr>
          <w:p>
            <w:pPr>
              <w:jc w:val="right"/>
              <w:spacing w:after="0" w:line="139" w:lineRule="exact"/>
              <w:rPr>
                <w:sz w:val="20"/>
                <w:szCs w:val="20"/>
                <w:color w:val="auto"/>
              </w:rPr>
            </w:pPr>
            <w:r>
              <w:rPr>
                <w:rFonts w:ascii="Arial" w:cs="Arial" w:eastAsia="Arial" w:hAnsi="Arial"/>
                <w:sz w:val="14"/>
                <w:szCs w:val="14"/>
                <w:color w:val="auto"/>
              </w:rPr>
              <w:t>​ ​​</w:t>
            </w:r>
          </w:p>
        </w:tc>
        <w:tc>
          <w:tcPr>
            <w:tcW w:w="200" w:type="dxa"/>
            <w:vAlign w:val="bottom"/>
            <w:shd w:val="clear" w:color="auto" w:fill="CCCCCC"/>
          </w:tcPr>
          <w:p>
            <w:pPr>
              <w:ind w:left="60"/>
              <w:spacing w:after="0" w:line="139" w:lineRule="exact"/>
              <w:rPr>
                <w:sz w:val="20"/>
                <w:szCs w:val="20"/>
                <w:color w:val="auto"/>
              </w:rPr>
            </w:pPr>
            <w:r>
              <w:rPr>
                <w:rFonts w:ascii="Arial" w:cs="Arial" w:eastAsia="Arial" w:hAnsi="Arial"/>
                <w:sz w:val="14"/>
                <w:szCs w:val="14"/>
                <w:color w:val="auto"/>
              </w:rPr>
              <w:t>​ ​</w:t>
            </w:r>
          </w:p>
        </w:tc>
        <w:tc>
          <w:tcPr>
            <w:tcW w:w="580" w:type="dxa"/>
            <w:vAlign w:val="bottom"/>
            <w:shd w:val="clear" w:color="auto" w:fill="CCCCCC"/>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540" w:type="dxa"/>
            <w:vAlign w:val="bottom"/>
            <w:vMerge w:val="continue"/>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40" w:type="dxa"/>
            <w:vAlign w:val="bottom"/>
            <w:shd w:val="clear" w:color="auto" w:fill="CCCCCC"/>
          </w:tcPr>
          <w:p>
            <w:pPr>
              <w:spacing w:after="0"/>
              <w:rPr>
                <w:sz w:val="16"/>
                <w:szCs w:val="16"/>
                <w:color w:val="auto"/>
              </w:rPr>
            </w:pPr>
          </w:p>
        </w:tc>
        <w:tc>
          <w:tcPr>
            <w:tcW w:w="560" w:type="dxa"/>
            <w:vAlign w:val="bottom"/>
            <w:shd w:val="clear" w:color="auto" w:fill="CCCCCC"/>
          </w:tcPr>
          <w:p>
            <w:pPr>
              <w:ind w:left="20"/>
              <w:spacing w:after="0"/>
              <w:rPr>
                <w:sz w:val="20"/>
                <w:szCs w:val="20"/>
                <w:color w:val="auto"/>
              </w:rPr>
            </w:pPr>
            <w:r>
              <w:rPr>
                <w:rFonts w:ascii="Arial" w:cs="Arial" w:eastAsia="Arial" w:hAnsi="Arial"/>
                <w:sz w:val="14"/>
                <w:szCs w:val="14"/>
                <w:color w:val="auto"/>
              </w:rPr>
              <w:t>​ 94,521</w:t>
            </w:r>
          </w:p>
        </w:tc>
        <w:tc>
          <w:tcPr>
            <w:tcW w:w="3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continue"/>
            <w:shd w:val="clear" w:color="auto" w:fill="CCCCCC"/>
          </w:tcPr>
          <w:p>
            <w:pPr>
              <w:spacing w:after="0"/>
              <w:rPr>
                <w:sz w:val="16"/>
                <w:szCs w:val="16"/>
                <w:color w:val="auto"/>
              </w:rPr>
            </w:pPr>
          </w:p>
        </w:tc>
        <w:tc>
          <w:tcPr>
            <w:tcW w:w="2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580" w:type="dxa"/>
            <w:vAlign w:val="bottom"/>
            <w:shd w:val="clear" w:color="auto" w:fill="CCCCCC"/>
          </w:tcPr>
          <w:p>
            <w:pPr>
              <w:spacing w:after="0"/>
              <w:rPr>
                <w:sz w:val="16"/>
                <w:szCs w:val="16"/>
                <w:color w:val="auto"/>
              </w:rPr>
            </w:pPr>
          </w:p>
        </w:tc>
        <w:tc>
          <w:tcPr>
            <w:tcW w:w="120" w:type="dxa"/>
            <w:vAlign w:val="bottom"/>
            <w:shd w:val="clear" w:color="auto" w:fill="CCCCCC"/>
          </w:tcPr>
          <w:p>
            <w:pPr>
              <w:spacing w:after="0"/>
              <w:rPr>
                <w:sz w:val="16"/>
                <w:szCs w:val="16"/>
                <w:color w:val="auto"/>
              </w:rPr>
            </w:pPr>
          </w:p>
        </w:tc>
        <w:tc>
          <w:tcPr>
            <w:tcW w:w="14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16"/>
                <w:szCs w:val="16"/>
                <w:color w:val="auto"/>
              </w:rPr>
            </w:pPr>
          </w:p>
        </w:tc>
        <w:tc>
          <w:tcPr>
            <w:tcW w:w="16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520" w:type="dxa"/>
            <w:vAlign w:val="bottom"/>
            <w:shd w:val="clear" w:color="auto" w:fill="CCCCCC"/>
          </w:tcPr>
          <w:p>
            <w:pPr>
              <w:spacing w:after="0"/>
              <w:rPr>
                <w:sz w:val="16"/>
                <w:szCs w:val="16"/>
                <w:color w:val="auto"/>
              </w:rPr>
            </w:pPr>
          </w:p>
        </w:tc>
        <w:tc>
          <w:tcPr>
            <w:tcW w:w="18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580" w:type="dxa"/>
            <w:vAlign w:val="bottom"/>
            <w:shd w:val="clear" w:color="auto" w:fill="CCCCCC"/>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Apr. 15</w:t>
            </w:r>
            <w:r>
              <w:rPr>
                <w:rFonts w:ascii="Arial" w:cs="Arial" w:eastAsia="Arial" w:hAnsi="Arial"/>
                <w:sz w:val="7"/>
                <w:szCs w:val="7"/>
                <w:color w:val="auto"/>
              </w:rPr>
              <w:t>(3)</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gridSpan w:val="2"/>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11,283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580" w:type="dxa"/>
            <w:vAlign w:val="bottom"/>
          </w:tcPr>
          <w:p>
            <w:pPr>
              <w:jc w:val="right"/>
              <w:spacing w:after="0" w:line="193" w:lineRule="exact"/>
              <w:rPr>
                <w:sz w:val="20"/>
                <w:szCs w:val="20"/>
                <w:color w:val="auto"/>
              </w:rPr>
            </w:pPr>
            <w:r>
              <w:rPr>
                <w:rFonts w:ascii="Arial" w:cs="Arial" w:eastAsia="Arial" w:hAnsi="Arial"/>
                <w:sz w:val="12"/>
                <w:szCs w:val="12"/>
                <w:color w:val="auto"/>
              </w:rPr>
              <w:t>22,565</w:t>
            </w:r>
            <w:r>
              <w:rPr>
                <w:rFonts w:ascii="Arial" w:cs="Arial" w:eastAsia="Arial" w:hAnsi="Arial"/>
                <w:sz w:val="22"/>
                <w:szCs w:val="22"/>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45,130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237,158</w:t>
            </w: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bottom w:val="single" w:sz="8" w:color="CCCCCC"/>
            </w:tcBorders>
            <w:gridSpan w:val="2"/>
            <w:shd w:val="clear" w:color="auto" w:fill="CCCCCC"/>
          </w:tcPr>
          <w:p>
            <w:pPr>
              <w:jc w:val="right"/>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Apr. 15</w:t>
            </w:r>
            <w:r>
              <w:rPr>
                <w:rFonts w:ascii="Arial" w:cs="Arial" w:eastAsia="Arial" w:hAnsi="Arial"/>
                <w:sz w:val="14"/>
                <w:szCs w:val="14"/>
                <w:color w:val="auto"/>
                <w:vertAlign w:val="superscript"/>
              </w:rPr>
              <w:t>(8)</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45,131</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474,327</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2"/>
          </w:tcPr>
          <w:p>
            <w:pPr>
              <w:jc w:val="right"/>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Apr. 15</w:t>
            </w:r>
            <w:r>
              <w:rPr>
                <w:rFonts w:ascii="Arial" w:cs="Arial" w:eastAsia="Arial" w:hAnsi="Arial"/>
                <w:sz w:val="7"/>
                <w:szCs w:val="7"/>
                <w:color w:val="auto"/>
              </w:rPr>
              <w:t>(9)</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60" w:type="dxa"/>
            <w:vAlign w:val="bottom"/>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33,101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347,892</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shd w:val="clear" w:color="auto" w:fill="CCCCCC"/>
          </w:tcPr>
          <w:p>
            <w:pPr>
              <w:jc w:val="right"/>
              <w:spacing w:after="0" w:line="194" w:lineRule="exact"/>
              <w:rPr>
                <w:sz w:val="20"/>
                <w:szCs w:val="20"/>
                <w:color w:val="auto"/>
              </w:rPr>
            </w:pPr>
            <w:r>
              <w:rPr>
                <w:rFonts w:ascii="Arial" w:cs="Arial" w:eastAsia="Arial" w:hAnsi="Arial"/>
                <w:sz w:val="14"/>
                <w:szCs w:val="14"/>
                <w:color w:val="auto"/>
                <w:w w:val="95"/>
              </w:rPr>
              <w:t>Nov. 1</w:t>
            </w:r>
            <w:r>
              <w:rPr>
                <w:rFonts w:ascii="Arial" w:cs="Arial" w:eastAsia="Arial" w:hAnsi="Arial"/>
                <w:sz w:val="17"/>
                <w:szCs w:val="17"/>
                <w:color w:val="auto"/>
                <w:w w:val="95"/>
                <w:vertAlign w:val="superscript"/>
              </w:rPr>
              <w:t>(6)</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gridSpan w:val="2"/>
            <w:shd w:val="clear" w:color="auto" w:fill="CCCCCC"/>
          </w:tcPr>
          <w:p>
            <w:pPr>
              <w:ind w:left="2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13,895</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line="193" w:lineRule="exact"/>
              <w:rPr>
                <w:sz w:val="20"/>
                <w:szCs w:val="20"/>
                <w:color w:val="auto"/>
              </w:rPr>
            </w:pPr>
            <w:r>
              <w:rPr>
                <w:rFonts w:ascii="Arial" w:cs="Arial" w:eastAsia="Arial" w:hAnsi="Arial"/>
                <w:sz w:val="12"/>
                <w:szCs w:val="12"/>
                <w:color w:val="auto"/>
              </w:rPr>
              <w:t>27,790</w:t>
            </w:r>
            <w:r>
              <w:rPr>
                <w:rFonts w:ascii="Arial" w:cs="Arial" w:eastAsia="Arial" w:hAnsi="Arial"/>
                <w:sz w:val="22"/>
                <w:szCs w:val="22"/>
                <w:color w:val="auto"/>
                <w:vertAlign w:val="superscript"/>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27,790</w:t>
            </w: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543,295</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00" w:type="dxa"/>
            <w:vAlign w:val="bottom"/>
            <w:vMerge w:val="restart"/>
          </w:tcPr>
          <w:p>
            <w:pPr>
              <w:spacing w:after="0"/>
              <w:rPr>
                <w:sz w:val="20"/>
                <w:szCs w:val="20"/>
                <w:color w:val="auto"/>
              </w:rPr>
            </w:pPr>
            <w:r>
              <w:rPr>
                <w:rFonts w:ascii="Arial" w:cs="Arial" w:eastAsia="Arial" w:hAnsi="Arial"/>
                <w:sz w:val="14"/>
                <w:szCs w:val="14"/>
                <w:color w:val="auto"/>
              </w:rPr>
              <w:t>Desmond J. Mills</w:t>
            </w:r>
          </w:p>
        </w:tc>
        <w:tc>
          <w:tcPr>
            <w:tcW w:w="280" w:type="dxa"/>
            <w:vAlign w:val="bottom"/>
          </w:tcPr>
          <w:p>
            <w:pPr>
              <w:ind w:left="240"/>
              <w:spacing w:after="0" w:line="139" w:lineRule="exact"/>
              <w:rPr>
                <w:sz w:val="20"/>
                <w:szCs w:val="20"/>
                <w:color w:val="auto"/>
              </w:rPr>
            </w:pPr>
            <w:r>
              <w:rPr>
                <w:rFonts w:ascii="Arial" w:cs="Arial" w:eastAsia="Arial" w:hAnsi="Arial"/>
                <w:sz w:val="14"/>
                <w:szCs w:val="14"/>
                <w:color w:val="auto"/>
              </w:rPr>
              <w:t>​</w:t>
            </w:r>
          </w:p>
        </w:tc>
        <w:tc>
          <w:tcPr>
            <w:tcW w:w="160" w:type="dxa"/>
            <w:vAlign w:val="bottom"/>
          </w:tcPr>
          <w:p>
            <w:pPr>
              <w:jc w:val="center"/>
              <w:spacing w:after="0" w:line="139"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Mar. 22</w:t>
            </w:r>
          </w:p>
        </w:tc>
        <w:tc>
          <w:tcPr>
            <w:tcW w:w="800" w:type="dxa"/>
            <w:vAlign w:val="bottom"/>
            <w:gridSpan w:val="3"/>
          </w:tcPr>
          <w:p>
            <w:pPr>
              <w:ind w:left="60"/>
              <w:spacing w:after="0" w:line="139" w:lineRule="exact"/>
              <w:rPr>
                <w:sz w:val="20"/>
                <w:szCs w:val="20"/>
                <w:color w:val="auto"/>
              </w:rPr>
            </w:pPr>
            <w:r>
              <w:rPr>
                <w:rFonts w:ascii="Arial" w:cs="Arial" w:eastAsia="Arial" w:hAnsi="Arial"/>
                <w:sz w:val="14"/>
                <w:szCs w:val="14"/>
                <w:color w:val="auto"/>
              </w:rPr>
              <w:t>​ ​ ​</w:t>
            </w:r>
          </w:p>
        </w:tc>
        <w:tc>
          <w:tcPr>
            <w:tcW w:w="3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152,750</w:t>
            </w:r>
          </w:p>
        </w:tc>
        <w:tc>
          <w:tcPr>
            <w:tcW w:w="2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305,500</w:t>
            </w:r>
          </w:p>
        </w:tc>
        <w:tc>
          <w:tcPr>
            <w:tcW w:w="24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1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180" w:type="dxa"/>
            <w:vAlign w:val="bottom"/>
          </w:tcPr>
          <w:p>
            <w:pPr>
              <w:ind w:left="60"/>
              <w:spacing w:after="0" w:line="13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14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 ​</w:t>
            </w:r>
          </w:p>
        </w:tc>
        <w:tc>
          <w:tcPr>
            <w:tcW w:w="60" w:type="dxa"/>
            <w:vAlign w:val="bottom"/>
          </w:tcPr>
          <w:p>
            <w:pPr>
              <w:spacing w:after="0"/>
              <w:rPr>
                <w:sz w:val="12"/>
                <w:szCs w:val="12"/>
                <w:color w:val="auto"/>
              </w:rPr>
            </w:pPr>
          </w:p>
        </w:tc>
        <w:tc>
          <w:tcPr>
            <w:tcW w:w="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80" w:type="dxa"/>
            <w:vAlign w:val="bottom"/>
          </w:tcPr>
          <w:p>
            <w:pPr>
              <w:jc w:val="right"/>
              <w:spacing w:after="0" w:line="139" w:lineRule="exact"/>
              <w:rPr>
                <w:sz w:val="20"/>
                <w:szCs w:val="20"/>
                <w:color w:val="auto"/>
              </w:rPr>
            </w:pPr>
            <w:r>
              <w:rPr>
                <w:rFonts w:ascii="Arial" w:cs="Arial" w:eastAsia="Arial" w:hAnsi="Arial"/>
                <w:sz w:val="14"/>
                <w:szCs w:val="14"/>
                <w:color w:val="auto"/>
              </w:rPr>
              <w:t>​ ​​</w:t>
            </w:r>
          </w:p>
        </w:tc>
        <w:tc>
          <w:tcPr>
            <w:tcW w:w="200" w:type="dxa"/>
            <w:vAlign w:val="bottom"/>
          </w:tcPr>
          <w:p>
            <w:pPr>
              <w:ind w:left="60"/>
              <w:spacing w:after="0" w:line="139"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 76,375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bottom w:val="single" w:sz="8" w:color="CCCCCC"/>
            </w:tcBorders>
            <w:gridSpan w:val="2"/>
            <w:shd w:val="clear" w:color="auto" w:fill="CCCCCC"/>
          </w:tcPr>
          <w:p>
            <w:pPr>
              <w:jc w:val="right"/>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Apr. 15</w:t>
            </w:r>
            <w:r>
              <w:rPr>
                <w:rFonts w:ascii="Arial" w:cs="Arial" w:eastAsia="Arial" w:hAnsi="Arial"/>
                <w:sz w:val="14"/>
                <w:szCs w:val="14"/>
                <w:color w:val="auto"/>
                <w:vertAlign w:val="superscript"/>
              </w:rPr>
              <w:t>(3)</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4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7,720</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line="193" w:lineRule="exact"/>
              <w:rPr>
                <w:sz w:val="20"/>
                <w:szCs w:val="20"/>
                <w:color w:val="auto"/>
              </w:rPr>
            </w:pPr>
            <w:r>
              <w:rPr>
                <w:rFonts w:ascii="Arial" w:cs="Arial" w:eastAsia="Arial" w:hAnsi="Arial"/>
                <w:sz w:val="12"/>
                <w:szCs w:val="12"/>
                <w:color w:val="auto"/>
              </w:rPr>
              <w:t>15,439</w:t>
            </w:r>
            <w:r>
              <w:rPr>
                <w:rFonts w:ascii="Arial" w:cs="Arial" w:eastAsia="Arial" w:hAnsi="Arial"/>
                <w:sz w:val="22"/>
                <w:szCs w:val="22"/>
                <w:color w:val="auto"/>
                <w:vertAlign w:val="superscript"/>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30,878</w:t>
            </w: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162,264</w:t>
            </w: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2"/>
          </w:tcPr>
          <w:p>
            <w:pPr>
              <w:jc w:val="right"/>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Apr. 15</w:t>
            </w:r>
            <w:r>
              <w:rPr>
                <w:rFonts w:ascii="Arial" w:cs="Arial" w:eastAsia="Arial" w:hAnsi="Arial"/>
                <w:sz w:val="14"/>
                <w:szCs w:val="14"/>
                <w:color w:val="auto"/>
                <w:vertAlign w:val="superscript"/>
              </w:rPr>
              <w:t>(8)</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 w:type="dxa"/>
            <w:vAlign w:val="bottom"/>
          </w:tcPr>
          <w:p>
            <w:pPr>
              <w:spacing w:after="0"/>
              <w:rPr>
                <w:sz w:val="16"/>
                <w:szCs w:val="16"/>
                <w:color w:val="auto"/>
              </w:rPr>
            </w:pPr>
          </w:p>
        </w:tc>
        <w:tc>
          <w:tcPr>
            <w:tcW w:w="60" w:type="dxa"/>
            <w:vAlign w:val="bottom"/>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30,879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324,538</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3"/>
        </w:trPr>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bottom w:val="single" w:sz="8" w:color="CCCCCC"/>
            </w:tcBorders>
            <w:gridSpan w:val="2"/>
            <w:shd w:val="clear" w:color="auto" w:fill="CCCCCC"/>
          </w:tcPr>
          <w:p>
            <w:pPr>
              <w:jc w:val="right"/>
              <w:spacing w:after="0" w:line="19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bscript"/>
              </w:rPr>
              <w:t>Apr. 15</w:t>
            </w:r>
            <w:r>
              <w:rPr>
                <w:rFonts w:ascii="Arial" w:cs="Arial" w:eastAsia="Arial" w:hAnsi="Arial"/>
                <w:sz w:val="7"/>
                <w:szCs w:val="7"/>
                <w:color w:val="auto"/>
              </w:rPr>
              <w:t>(9)</w:t>
            </w:r>
          </w:p>
        </w:tc>
        <w:tc>
          <w:tcPr>
            <w:tcW w:w="240" w:type="dxa"/>
            <w:vAlign w:val="bottom"/>
            <w:tcBorders>
              <w:bottom w:val="single" w:sz="8" w:color="CCCCCC"/>
            </w:tcBorders>
            <w:gridSpan w:val="2"/>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7"/>
                <w:szCs w:val="17"/>
                <w:color w:val="auto"/>
              </w:rPr>
            </w:pPr>
          </w:p>
        </w:tc>
        <w:tc>
          <w:tcPr>
            <w:tcW w:w="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CCCCCC"/>
            </w:tcBorders>
            <w:shd w:val="clear" w:color="auto" w:fill="CCCCCC"/>
          </w:tcPr>
          <w:p>
            <w:pPr>
              <w:spacing w:after="0"/>
              <w:rPr>
                <w:sz w:val="17"/>
                <w:szCs w:val="17"/>
                <w:color w:val="auto"/>
              </w:rPr>
            </w:pPr>
          </w:p>
        </w:tc>
        <w:tc>
          <w:tcPr>
            <w:tcW w:w="2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CCCC"/>
            </w:tcBorders>
            <w:shd w:val="clear" w:color="auto" w:fill="CCCCCC"/>
          </w:tcPr>
          <w:p>
            <w:pPr>
              <w:spacing w:after="0"/>
              <w:rPr>
                <w:sz w:val="17"/>
                <w:szCs w:val="17"/>
                <w:color w:val="auto"/>
              </w:rPr>
            </w:pPr>
          </w:p>
        </w:tc>
        <w:tc>
          <w:tcPr>
            <w:tcW w:w="26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color w:val="auto"/>
              </w:rPr>
              <w:t>​ ​​ ​</w:t>
            </w:r>
          </w:p>
        </w:tc>
        <w:tc>
          <w:tcPr>
            <w:tcW w:w="60" w:type="dxa"/>
            <w:vAlign w:val="bottom"/>
            <w:tcBorders>
              <w:bottom w:val="single" w:sz="8" w:color="CCCCCC"/>
            </w:tcBorders>
            <w:shd w:val="clear" w:color="auto" w:fill="CCCCCC"/>
          </w:tcPr>
          <w:p>
            <w:pPr>
              <w:spacing w:after="0"/>
              <w:rPr>
                <w:sz w:val="17"/>
                <w:szCs w:val="17"/>
                <w:color w:val="auto"/>
              </w:rPr>
            </w:pPr>
          </w:p>
        </w:tc>
        <w:tc>
          <w:tcPr>
            <w:tcW w:w="60" w:type="dxa"/>
            <w:vAlign w:val="bottom"/>
            <w:tcBorders>
              <w:bottom w:val="single" w:sz="8" w:color="CCCCCC"/>
            </w:tcBorders>
            <w:shd w:val="clear" w:color="auto" w:fill="CCCCCC"/>
          </w:tcPr>
          <w:p>
            <w:pPr>
              <w:ind w:left="2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22,648</w:t>
            </w:r>
          </w:p>
        </w:tc>
        <w:tc>
          <w:tcPr>
            <w:tcW w:w="1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CCCC"/>
            </w:tcBorders>
            <w:shd w:val="clear" w:color="auto" w:fill="CCCCCC"/>
          </w:tcPr>
          <w:p>
            <w:pPr>
              <w:ind w:left="60"/>
              <w:spacing w:after="0" w:line="193"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bscript"/>
              </w:rPr>
              <w:t>​</w:t>
            </w:r>
          </w:p>
        </w:tc>
        <w:tc>
          <w:tcPr>
            <w:tcW w:w="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238,030</w:t>
            </w: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Nov. 1</w:t>
            </w:r>
            <w:r>
              <w:rPr>
                <w:rFonts w:ascii="Arial" w:cs="Arial" w:eastAsia="Arial" w:hAnsi="Arial"/>
                <w:sz w:val="17"/>
                <w:szCs w:val="17"/>
                <w:color w:val="auto"/>
                <w:w w:val="95"/>
                <w:vertAlign w:val="superscript"/>
              </w:rPr>
              <w:t>(6)</w:t>
            </w: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17,102</w:t>
            </w:r>
            <w:r>
              <w:rPr>
                <w:rFonts w:ascii="Arial" w:cs="Arial" w:eastAsia="Arial" w:hAnsi="Arial"/>
                <w:sz w:val="28"/>
                <w:szCs w:val="28"/>
                <w:color w:val="auto"/>
                <w:vertAlign w:val="superscript"/>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17,102</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334,344</w:t>
            </w:r>
          </w:p>
        </w:tc>
        <w:tc>
          <w:tcPr>
            <w:tcW w:w="20" w:type="dxa"/>
            <w:vAlign w:val="bottom"/>
            <w:tcBorders>
              <w:bottom w:val="single" w:sz="8" w:color="auto"/>
            </w:tcBorders>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00" w:right="60" w:hanging="362"/>
        <w:spacing w:after="0" w:line="214"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Represents potential payments for the year ended December 31, 2021 under the terms of the STI Plan. See “Elements of Our Executive Compensation Program — Annual Cash Incentive Compensation” in the CD&amp;A section of this Proxy Statement for more information including specific payments for 2021.</w:t>
      </w:r>
    </w:p>
    <w:p>
      <w:pPr>
        <w:ind w:left="800" w:right="60" w:hanging="362"/>
        <w:spacing w:after="0" w:line="237"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The number of ordinary shares shown represents the aggregate threshold, target, and maximum payment levels with respect to the grant of PSUs under the 2019 EIP and subject to the attainment of specific performance criteria. The number of shares shown in the Threshold column reflects a payout of 50% of the number of PSUs granted. The number of shares shown in the Target column reflects a payout of 100% of the number of PSUs granted. For all PSUs other than those granted in November 2021, the number of shares shown in the Maximum column reflects the highest possible payout of 200% of the number of PSUs granted. For the WAGE Program PSUs granted in November 2021, the maximum payout under the award agreements is the Target amount, and the Maximum column reflects the same amount as at Target. The number of shares earned will be determined by linear interpolation if the performance results are between threshold and target, or target and maximum, up to the maximum number of shares shown in the Maximum column.</w:t>
      </w:r>
    </w:p>
    <w:p>
      <w:pPr>
        <w:ind w:left="800" w:right="320" w:hanging="362"/>
        <w:spacing w:after="0" w:line="220"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Represents PSUs granted under the 2019 EIP. The number of shares will be determined based on the achievement of the specified performance metrics of Adjusted EBITDA Percentage and Operating Cash Flow Conversion percentage over the two-year performance period beginning January 1, 2021 and ending December 31, 2022. The grant date fair value of each award is based on the closing share price of the Company’s ordinary shares on the date of grant multiplied by the Target number of shares granted, in accordance with FASB ASC Topic 718.</w:t>
      </w:r>
    </w:p>
    <w:p>
      <w:pPr>
        <w:ind w:left="800" w:right="260" w:hanging="362"/>
        <w:spacing w:after="0" w:line="208"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Represents RSUs granted under the 2019 EIP. These shares vest in two equal installments on each of January 4, 2022 and January 4, 2023. The grant date fair value of each award is based on the closing share price of the Company’s ordinary shares on the date of grant in accordance with FASB ASC Topic 718.</w:t>
      </w:r>
    </w:p>
    <w:p>
      <w:pPr>
        <w:spacing w:after="0" w:line="1" w:lineRule="exact"/>
        <w:rPr>
          <w:rFonts w:ascii="Arial" w:cs="Arial" w:eastAsia="Arial" w:hAnsi="Arial"/>
          <w:sz w:val="22"/>
          <w:szCs w:val="22"/>
          <w:color w:val="BA0C2F"/>
          <w:vertAlign w:val="superscript"/>
        </w:rPr>
      </w:pPr>
    </w:p>
    <w:p>
      <w:pPr>
        <w:ind w:left="800" w:right="240" w:hanging="362"/>
        <w:spacing w:after="0" w:line="220"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Represents Phantom RSUs granted under the 2019 EIP. The value shown reflects the grant date fair value of the shares in accordance with FASB ASC Topic 718. These shares vest in two equal installments on January 4, 2022 and 2023 and can be settled all in shares, all in cash, or in any combination of shares and cash at the Committee’s sole discretion. If settled in cash, the cumulative maximum cash payout under the award agreements is capped at a predetermined amount.</w:t>
      </w:r>
    </w:p>
    <w:p>
      <w:pPr>
        <w:ind w:left="800" w:right="260" w:hanging="362"/>
        <w:spacing w:after="0" w:line="232" w:lineRule="auto"/>
        <w:tabs>
          <w:tab w:leader="none" w:pos="800" w:val="left"/>
        </w:tabs>
        <w:numPr>
          <w:ilvl w:val="0"/>
          <w:numId w:val="54"/>
        </w:numPr>
        <w:rPr>
          <w:rFonts w:ascii="Arial" w:cs="Arial" w:eastAsia="Arial" w:hAnsi="Arial"/>
          <w:sz w:val="22"/>
          <w:szCs w:val="22"/>
          <w:color w:val="BA0C2F"/>
          <w:vertAlign w:val="superscript"/>
        </w:rPr>
      </w:pPr>
      <w:r>
        <w:rPr>
          <w:rFonts w:ascii="Arial" w:cs="Arial" w:eastAsia="Arial" w:hAnsi="Arial"/>
          <w:sz w:val="14"/>
          <w:szCs w:val="14"/>
          <w:color w:val="auto"/>
        </w:rPr>
        <w:t>Represents PSUs granted under the terms of the WAGE Program under the 2019 EIP. The share amount shown in Threshold column reflects the minimum number of shares that could be earned (other than none) by achieving a market-based share price performance goal. The share amount shown in Target and Maximum columns reflects the target number of shares granted as there is no opportunity to earn more than target if the performance goal is achieved. The value shown reflects the grant date fair value of the target number of shares in accordance with FASB ASC Topic 718. Any units earned by achieving the required share price performance targets will cliff vest at the end of the performance period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136525</wp:posOffset>
            </wp:positionV>
            <wp:extent cx="6231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26"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EXECUTIVE COMPENSATION TABLES</w:t>
      </w:r>
    </w:p>
    <w:p>
      <w:pPr>
        <w:spacing w:after="0" w:line="163" w:lineRule="exact"/>
        <w:rPr>
          <w:sz w:val="20"/>
          <w:szCs w:val="20"/>
          <w:color w:val="auto"/>
        </w:rPr>
      </w:pPr>
    </w:p>
    <w:p>
      <w:pPr>
        <w:ind w:left="800" w:hanging="362"/>
        <w:spacing w:after="0" w:line="229" w:lineRule="auto"/>
        <w:tabs>
          <w:tab w:leader="none" w:pos="800" w:val="left"/>
        </w:tabs>
        <w:numPr>
          <w:ilvl w:val="0"/>
          <w:numId w:val="55"/>
        </w:numPr>
        <w:rPr>
          <w:rFonts w:ascii="Arial" w:cs="Arial" w:eastAsia="Arial" w:hAnsi="Arial"/>
          <w:sz w:val="22"/>
          <w:szCs w:val="22"/>
          <w:color w:val="BA0C2F"/>
          <w:vertAlign w:val="superscript"/>
        </w:rPr>
      </w:pPr>
      <w:r>
        <w:rPr>
          <w:rFonts w:ascii="Arial" w:cs="Arial" w:eastAsia="Arial" w:hAnsi="Arial"/>
          <w:sz w:val="14"/>
          <w:szCs w:val="14"/>
          <w:color w:val="auto"/>
        </w:rPr>
        <w:t>Represents RSUs granted under the 2019 EIP to Mr. Weatherholt for his expanded responsibilities as our Interim Chief Human Resources Officer for a period of time during 2021 prior to Mr. Mongrain joining the Company. These shares vest in two equal installments on each of February 25, 2022 and February 25, 2023. The grant date fair value of each award is based on the closing share price of the Company’s ordinary shares on the date of grant in accordance with FASB ASC Topic 718.</w:t>
      </w:r>
    </w:p>
    <w:p>
      <w:pPr>
        <w:ind w:left="800" w:right="100" w:hanging="362"/>
        <w:spacing w:after="0" w:line="214" w:lineRule="auto"/>
        <w:tabs>
          <w:tab w:leader="none" w:pos="800" w:val="left"/>
        </w:tabs>
        <w:numPr>
          <w:ilvl w:val="0"/>
          <w:numId w:val="55"/>
        </w:numPr>
        <w:rPr>
          <w:rFonts w:ascii="Arial" w:cs="Arial" w:eastAsia="Arial" w:hAnsi="Arial"/>
          <w:sz w:val="22"/>
          <w:szCs w:val="22"/>
          <w:color w:val="BA0C2F"/>
          <w:vertAlign w:val="superscript"/>
        </w:rPr>
      </w:pPr>
      <w:r>
        <w:rPr>
          <w:rFonts w:ascii="Arial" w:cs="Arial" w:eastAsia="Arial" w:hAnsi="Arial"/>
          <w:sz w:val="14"/>
          <w:szCs w:val="14"/>
          <w:color w:val="auto"/>
        </w:rPr>
        <w:t>Represents RSUs granted under the 2019 EIP. These shares vest in two equal installments on each of April 15, 2022 and April 15, 2023. The grant date fair value of each award is based on the closing share price of the Company’s ordinary shares on the date of grant in accordance with FASB ASC Topic 718.</w:t>
      </w:r>
    </w:p>
    <w:p>
      <w:pPr>
        <w:ind w:left="800" w:right="60" w:hanging="362"/>
        <w:spacing w:after="0" w:line="224" w:lineRule="auto"/>
        <w:tabs>
          <w:tab w:leader="none" w:pos="800" w:val="left"/>
        </w:tabs>
        <w:numPr>
          <w:ilvl w:val="0"/>
          <w:numId w:val="55"/>
        </w:numPr>
        <w:rPr>
          <w:rFonts w:ascii="Arial" w:cs="Arial" w:eastAsia="Arial" w:hAnsi="Arial"/>
          <w:sz w:val="22"/>
          <w:szCs w:val="22"/>
          <w:color w:val="BA0C2F"/>
          <w:vertAlign w:val="superscript"/>
        </w:rPr>
      </w:pPr>
      <w:r>
        <w:rPr>
          <w:rFonts w:ascii="Arial" w:cs="Arial" w:eastAsia="Arial" w:hAnsi="Arial"/>
          <w:sz w:val="14"/>
          <w:szCs w:val="14"/>
          <w:color w:val="auto"/>
        </w:rPr>
        <w:t>Represents Phantom RSUs granted under the 2019 EIP. The value shown reflects grant date fair value of the shares in accordance with FASB ASC Topic 718. These shares vest in two equal tranches on April 15, 2022 and April 15, 2023 and can be settled all in shares, all in cash, or in any combination of shares and cash at the Committee’s sole discretion. If settled in cash, the maximum cumulative cash payout under the award agreements is capped at a predetermined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6393180</wp:posOffset>
            </wp:positionV>
            <wp:extent cx="6231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0" w:hanging="282"/>
        <w:spacing w:after="0"/>
        <w:tabs>
          <w:tab w:leader="none" w:pos="720" w:val="left"/>
        </w:tabs>
        <w:numPr>
          <w:ilvl w:val="0"/>
          <w:numId w:val="5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38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666666"/>
        </w:rPr>
        <w:t>EXECUTIVE COMPENSATION TABLES</w:t>
      </w:r>
    </w:p>
    <w:p>
      <w:pPr>
        <w:spacing w:after="0" w:line="115" w:lineRule="exact"/>
        <w:rPr>
          <w:sz w:val="20"/>
          <w:szCs w:val="20"/>
          <w:color w:val="auto"/>
        </w:rPr>
      </w:pPr>
    </w:p>
    <w:p>
      <w:pPr>
        <w:ind w:left="440" w:right="2320"/>
        <w:spacing w:after="0" w:line="261" w:lineRule="auto"/>
        <w:rPr>
          <w:sz w:val="20"/>
          <w:szCs w:val="20"/>
          <w:color w:val="auto"/>
        </w:rPr>
      </w:pPr>
      <w:r>
        <w:rPr>
          <w:rFonts w:ascii="Arial" w:cs="Arial" w:eastAsia="Arial" w:hAnsi="Arial"/>
          <w:sz w:val="43"/>
          <w:szCs w:val="43"/>
          <w:b w:val="1"/>
          <w:bCs w:val="1"/>
          <w:color w:val="7F7F7F"/>
        </w:rPr>
        <w:t>OUTSTANDING EQUITY AWARDS AT DECEMBER 31, 2021</w:t>
      </w:r>
    </w:p>
    <w:p>
      <w:pPr>
        <w:spacing w:after="0" w:line="2" w:lineRule="exact"/>
        <w:rPr>
          <w:sz w:val="20"/>
          <w:szCs w:val="20"/>
          <w:color w:val="auto"/>
        </w:rPr>
      </w:pPr>
    </w:p>
    <w:p>
      <w:pPr>
        <w:ind w:left="440" w:right="80"/>
        <w:spacing w:after="0" w:line="287" w:lineRule="auto"/>
        <w:rPr>
          <w:sz w:val="20"/>
          <w:szCs w:val="20"/>
          <w:color w:val="auto"/>
        </w:rPr>
      </w:pPr>
      <w:r>
        <w:rPr>
          <w:rFonts w:ascii="Arial" w:cs="Arial" w:eastAsia="Arial" w:hAnsi="Arial"/>
          <w:sz w:val="18"/>
          <w:szCs w:val="18"/>
          <w:color w:val="auto"/>
        </w:rPr>
        <w:t>The following table provides information about the number of outstanding equity awards held by our NEOs at December 31, 2021.</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32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ind w:lef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7F7F7F"/>
            </w:tcBorders>
          </w:tcPr>
          <w:p>
            <w:pPr>
              <w:spacing w:after="0"/>
              <w:rPr>
                <w:sz w:val="16"/>
                <w:szCs w:val="16"/>
                <w:color w:val="auto"/>
              </w:rPr>
            </w:pPr>
          </w:p>
        </w:tc>
        <w:tc>
          <w:tcPr>
            <w:tcW w:w="10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40" w:type="dxa"/>
            <w:vAlign w:val="bottom"/>
            <w:tcBorders>
              <w:bottom w:val="single" w:sz="8" w:color="7F7F7F"/>
            </w:tcBorders>
          </w:tcPr>
          <w:p>
            <w:pPr>
              <w:spacing w:after="0"/>
              <w:rPr>
                <w:sz w:val="16"/>
                <w:szCs w:val="16"/>
                <w:color w:val="auto"/>
              </w:rPr>
            </w:pPr>
          </w:p>
        </w:tc>
        <w:tc>
          <w:tcPr>
            <w:tcW w:w="24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1000" w:type="dxa"/>
            <w:vAlign w:val="bottom"/>
            <w:tcBorders>
              <w:bottom w:val="single" w:sz="8" w:color="7F7F7F"/>
            </w:tcBorders>
            <w:gridSpan w:val="4"/>
          </w:tcPr>
          <w:p>
            <w:pPr>
              <w:jc w:val="center"/>
              <w:spacing w:after="0"/>
              <w:rPr>
                <w:sz w:val="20"/>
                <w:szCs w:val="20"/>
                <w:color w:val="auto"/>
              </w:rPr>
            </w:pPr>
            <w:r>
              <w:rPr>
                <w:rFonts w:ascii="Arial" w:cs="Arial" w:eastAsia="Arial" w:hAnsi="Arial"/>
                <w:sz w:val="14"/>
                <w:szCs w:val="14"/>
                <w:color w:val="auto"/>
              </w:rPr>
              <w:t>Stock Awards</w:t>
            </w:r>
          </w:p>
        </w:tc>
        <w:tc>
          <w:tcPr>
            <w:tcW w:w="98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24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80" w:type="dxa"/>
            <w:vAlign w:val="bottom"/>
            <w:tcBorders>
              <w:bottom w:val="single" w:sz="8" w:color="7F7F7F"/>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Equity Incentive 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Equity Incentive Plan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Awards: 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Awards: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Payout 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right"/>
              <w:ind w:right="51"/>
              <w:spacing w:after="0"/>
              <w:rPr>
                <w:sz w:val="20"/>
                <w:szCs w:val="20"/>
                <w:color w:val="auto"/>
              </w:rPr>
            </w:pPr>
            <w:r>
              <w:rPr>
                <w:rFonts w:ascii="Arial" w:cs="Arial" w:eastAsia="Arial" w:hAnsi="Arial"/>
                <w:sz w:val="14"/>
                <w:szCs w:val="14"/>
                <w:color w:val="auto"/>
              </w:rPr>
              <w:t>Market Value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Unearned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Unearned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Number of Shares 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right"/>
              <w:ind w:right="51"/>
              <w:spacing w:after="0"/>
              <w:rPr>
                <w:sz w:val="20"/>
                <w:szCs w:val="20"/>
                <w:color w:val="auto"/>
              </w:rPr>
            </w:pPr>
            <w:r>
              <w:rPr>
                <w:rFonts w:ascii="Arial" w:cs="Arial" w:eastAsia="Arial" w:hAnsi="Arial"/>
                <w:sz w:val="14"/>
                <w:szCs w:val="14"/>
                <w:color w:val="auto"/>
              </w:rPr>
              <w:t>Shares or Units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Units or Other Rights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Units or Other Rights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Units That Have Not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right"/>
              <w:ind w:right="51"/>
              <w:spacing w:after="0"/>
              <w:rPr>
                <w:sz w:val="20"/>
                <w:szCs w:val="20"/>
                <w:color w:val="auto"/>
              </w:rPr>
            </w:pPr>
            <w:r>
              <w:rPr>
                <w:rFonts w:ascii="Arial" w:cs="Arial" w:eastAsia="Arial" w:hAnsi="Arial"/>
                <w:sz w:val="14"/>
                <w:szCs w:val="14"/>
                <w:color w:val="auto"/>
              </w:rPr>
              <w:t>That Have Not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20" w:type="dxa"/>
            <w:vAlign w:val="bottom"/>
          </w:tcPr>
          <w:p>
            <w:pPr>
              <w:spacing w:after="0" w:line="153" w:lineRule="exact"/>
              <w:rPr>
                <w:sz w:val="20"/>
                <w:szCs w:val="20"/>
                <w:color w:val="auto"/>
              </w:rPr>
            </w:pPr>
            <w:r>
              <w:rPr>
                <w:rFonts w:ascii="Arial" w:cs="Arial" w:eastAsia="Arial" w:hAnsi="Arial"/>
                <w:sz w:val="14"/>
                <w:szCs w:val="14"/>
                <w:color w:val="auto"/>
              </w:rPr>
              <w:t>Name</w:t>
            </w:r>
          </w:p>
        </w:tc>
        <w:tc>
          <w:tcPr>
            <w:tcW w:w="460" w:type="dxa"/>
            <w:vAlign w:val="bottom"/>
          </w:tcPr>
          <w:p>
            <w:pPr>
              <w:spacing w:after="0"/>
              <w:rPr>
                <w:sz w:val="14"/>
                <w:szCs w:val="14"/>
                <w:color w:val="auto"/>
              </w:rPr>
            </w:pPr>
          </w:p>
        </w:tc>
        <w:tc>
          <w:tcPr>
            <w:tcW w:w="26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3" w:lineRule="exact"/>
              <w:rPr>
                <w:sz w:val="20"/>
                <w:szCs w:val="20"/>
                <w:color w:val="auto"/>
              </w:rPr>
            </w:pPr>
            <w:r>
              <w:rPr>
                <w:rFonts w:ascii="Arial" w:cs="Arial" w:eastAsia="Arial" w:hAnsi="Arial"/>
                <w:sz w:val="14"/>
                <w:szCs w:val="14"/>
                <w:color w:val="auto"/>
              </w:rPr>
              <w:t>Vested (#)</w:t>
            </w:r>
          </w:p>
        </w:tc>
        <w:tc>
          <w:tcPr>
            <w:tcW w:w="100" w:type="dxa"/>
            <w:vAlign w:val="bottom"/>
          </w:tcPr>
          <w:p>
            <w:pPr>
              <w:spacing w:after="0"/>
              <w:rPr>
                <w:sz w:val="14"/>
                <w:szCs w:val="14"/>
                <w:color w:val="auto"/>
              </w:rPr>
            </w:pPr>
          </w:p>
        </w:tc>
        <w:tc>
          <w:tcPr>
            <w:tcW w:w="240" w:type="dxa"/>
            <w:vAlign w:val="bottom"/>
          </w:tcPr>
          <w:p>
            <w:pPr>
              <w:ind w:left="16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1"/>
              <w:spacing w:after="0" w:line="153" w:lineRule="exact"/>
              <w:rPr>
                <w:sz w:val="20"/>
                <w:szCs w:val="20"/>
                <w:color w:val="auto"/>
              </w:rPr>
            </w:pPr>
            <w:r>
              <w:rPr>
                <w:rFonts w:ascii="Arial" w:cs="Arial" w:eastAsia="Arial" w:hAnsi="Arial"/>
                <w:sz w:val="14"/>
                <w:szCs w:val="14"/>
                <w:color w:val="auto"/>
              </w:rPr>
              <w:t>Vested ($)</w:t>
            </w:r>
          </w:p>
        </w:tc>
        <w:tc>
          <w:tcPr>
            <w:tcW w:w="120" w:type="dxa"/>
            <w:vAlign w:val="bottom"/>
          </w:tcPr>
          <w:p>
            <w:pPr>
              <w:spacing w:after="0"/>
              <w:rPr>
                <w:sz w:val="14"/>
                <w:szCs w:val="14"/>
                <w:color w:val="auto"/>
              </w:rPr>
            </w:pPr>
          </w:p>
        </w:tc>
        <w:tc>
          <w:tcPr>
            <w:tcW w:w="260" w:type="dxa"/>
            <w:vAlign w:val="bottom"/>
          </w:tcPr>
          <w:p>
            <w:pPr>
              <w:ind w:left="40"/>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ind w:left="40"/>
              <w:spacing w:after="0" w:line="153"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color w:val="auto"/>
              </w:rPr>
              <w:t>Vested (#)</w:t>
            </w:r>
            <w:r>
              <w:rPr>
                <w:rFonts w:ascii="Arial" w:cs="Arial" w:eastAsia="Arial" w:hAnsi="Arial"/>
                <w:sz w:val="17"/>
                <w:szCs w:val="17"/>
                <w:color w:val="auto"/>
                <w:vertAlign w:val="superscript"/>
              </w:rPr>
              <w:t>(1)</w:t>
            </w:r>
          </w:p>
        </w:tc>
        <w:tc>
          <w:tcPr>
            <w:tcW w:w="140" w:type="dxa"/>
            <w:vAlign w:val="bottom"/>
          </w:tcPr>
          <w:p>
            <w:pPr>
              <w:spacing w:after="0"/>
              <w:rPr>
                <w:sz w:val="14"/>
                <w:szCs w:val="14"/>
                <w:color w:val="auto"/>
              </w:rPr>
            </w:pPr>
          </w:p>
        </w:tc>
        <w:tc>
          <w:tcPr>
            <w:tcW w:w="240" w:type="dxa"/>
            <w:vAlign w:val="bottom"/>
          </w:tcPr>
          <w:p>
            <w:pPr>
              <w:ind w:left="40"/>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ind w:left="40"/>
              <w:spacing w:after="0" w:line="15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Vested ($)</w:t>
            </w:r>
            <w:r>
              <w:rPr>
                <w:rFonts w:ascii="Arial" w:cs="Arial" w:eastAsia="Arial" w:hAnsi="Arial"/>
                <w:sz w:val="17"/>
                <w:szCs w:val="17"/>
                <w:color w:val="auto"/>
                <w:vertAlign w:val="superscript"/>
              </w:rPr>
              <w:t>(1)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Girishchandra K. Saligram</w:t>
            </w:r>
          </w:p>
        </w:tc>
        <w:tc>
          <w:tcPr>
            <w:tcW w:w="4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CCCCCC"/>
            </w:tcBorders>
            <w:shd w:val="clear" w:color="auto" w:fill="CCCCCC"/>
          </w:tcPr>
          <w:p>
            <w:pPr>
              <w:ind w:left="1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CCCCCC"/>
            </w:tcBorders>
            <w:gridSpan w:val="2"/>
            <w:shd w:val="clear" w:color="auto" w:fill="CCCCCC"/>
          </w:tcPr>
          <w:p>
            <w:pPr>
              <w:ind w:left="28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​112,994</w:t>
            </w:r>
            <w:r>
              <w:rPr>
                <w:rFonts w:ascii="Arial" w:cs="Arial" w:eastAsia="Arial" w:hAnsi="Arial"/>
                <w:sz w:val="22"/>
                <w:szCs w:val="22"/>
                <w:color w:val="auto"/>
                <w:vertAlign w:val="superscript"/>
              </w:rPr>
              <w:t>(2)</w:t>
            </w:r>
          </w:p>
        </w:tc>
        <w:tc>
          <w:tcPr>
            <w:tcW w:w="100" w:type="dxa"/>
            <w:vAlign w:val="bottom"/>
            <w:tcBorders>
              <w:top w:val="single" w:sz="8" w:color="auto"/>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CCCC"/>
            </w:tcBorders>
            <w:gridSpan w:val="2"/>
            <w:shd w:val="clear" w:color="auto" w:fill="CCCCCC"/>
          </w:tcPr>
          <w:p>
            <w:pPr>
              <w:ind w:left="4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​3,132,194</w:t>
            </w:r>
          </w:p>
        </w:tc>
        <w:tc>
          <w:tcPr>
            <w:tcW w:w="20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CCCCCC"/>
            </w:tcBorders>
            <w:shd w:val="clear" w:color="auto" w:fill="CCCCCC"/>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CCCCCC"/>
            </w:tcBorders>
            <w:shd w:val="clear" w:color="auto" w:fill="CCCCCC"/>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CCCCCC"/>
            </w:tcBorders>
            <w:shd w:val="clear" w:color="auto" w:fill="CCCCCC"/>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CCCC"/>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CCCCCC"/>
            </w:tcBorders>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1380" w:type="dxa"/>
            <w:vAlign w:val="bottom"/>
            <w:gridSpan w:val="2"/>
          </w:tcPr>
          <w:p>
            <w:pPr>
              <w:ind w:left="280"/>
              <w:spacing w:after="0" w:line="184"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249,852</w:t>
            </w:r>
            <w:r>
              <w:rPr>
                <w:rFonts w:ascii="Arial" w:cs="Arial" w:eastAsia="Arial" w:hAnsi="Arial"/>
                <w:sz w:val="21"/>
                <w:szCs w:val="21"/>
                <w:color w:val="auto"/>
                <w:vertAlign w:val="superscript"/>
              </w:rPr>
              <w:t>(3)</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6,925,897</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CCCCC"/>
            </w:tcBorders>
            <w:gridSpan w:val="2"/>
            <w:shd w:val="clear" w:color="auto" w:fill="CCCCCC"/>
          </w:tcPr>
          <w:p>
            <w:pPr>
              <w:ind w:left="340"/>
              <w:spacing w:after="0" w:line="184"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999,406</w:t>
            </w:r>
            <w:r>
              <w:rPr>
                <w:rFonts w:ascii="Arial" w:cs="Arial" w:eastAsia="Arial" w:hAnsi="Arial"/>
                <w:sz w:val="21"/>
                <w:szCs w:val="21"/>
                <w:color w:val="auto"/>
                <w:vertAlign w:val="superscript"/>
              </w:rPr>
              <w:t>(4)</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CCCC"/>
            </w:tcBorders>
            <w:gridSpan w:val="2"/>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27,703,534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4" w:lineRule="exact"/>
              <w:rPr>
                <w:sz w:val="20"/>
                <w:szCs w:val="20"/>
                <w:color w:val="auto"/>
              </w:rPr>
            </w:pPr>
            <w:r>
              <w:rPr>
                <w:rFonts w:ascii="Arial" w:cs="Arial" w:eastAsia="Arial" w:hAnsi="Arial"/>
                <w:sz w:val="17"/>
                <w:szCs w:val="17"/>
                <w:color w:val="auto"/>
              </w:rPr>
              <w:t>61,084</w:t>
            </w:r>
            <w:r>
              <w:rPr>
                <w:rFonts w:ascii="Arial" w:cs="Arial" w:eastAsia="Arial" w:hAnsi="Arial"/>
                <w:sz w:val="21"/>
                <w:szCs w:val="21"/>
                <w:color w:val="auto"/>
                <w:vertAlign w:val="superscript"/>
              </w:rPr>
              <w:t>(5)</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1,693,248</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CCCCC"/>
            </w:tcBorders>
            <w:gridSpan w:val="2"/>
            <w:shd w:val="clear" w:color="auto" w:fill="CCCCCC"/>
          </w:tcPr>
          <w:p>
            <w:pPr>
              <w:ind w:left="340"/>
              <w:spacing w:after="0" w:line="184"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118,765</w:t>
            </w:r>
            <w:r>
              <w:rPr>
                <w:rFonts w:ascii="Arial" w:cs="Arial" w:eastAsia="Arial" w:hAnsi="Arial"/>
                <w:sz w:val="21"/>
                <w:szCs w:val="21"/>
                <w:color w:val="auto"/>
                <w:vertAlign w:val="superscript"/>
              </w:rPr>
              <w:t>(6)</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52"/>
              <w:spacing w:after="0" w:line="183" w:lineRule="exact"/>
              <w:rPr>
                <w:sz w:val="20"/>
                <w:szCs w:val="20"/>
                <w:color w:val="auto"/>
              </w:rPr>
            </w:pPr>
            <w:r>
              <w:rPr>
                <w:rFonts w:ascii="Arial" w:cs="Arial" w:eastAsia="Arial" w:hAnsi="Arial"/>
                <w:sz w:val="18"/>
                <w:szCs w:val="18"/>
                <w:color w:val="auto"/>
              </w:rPr>
              <w:t>3,292,166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H. Keith Jennings</w:t>
            </w: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80"/>
              <w:spacing w:after="0" w:line="224"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115,796</w:t>
            </w:r>
            <w:r>
              <w:rPr>
                <w:rFonts w:ascii="Arial" w:cs="Arial" w:eastAsia="Arial" w:hAnsi="Arial"/>
                <w:sz w:val="23"/>
                <w:szCs w:val="23"/>
                <w:color w:val="auto"/>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3,209,865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CCCCC"/>
            </w:tcBorders>
            <w:gridSpan w:val="2"/>
            <w:shd w:val="clear" w:color="auto" w:fill="CCCCCC"/>
          </w:tcPr>
          <w:p>
            <w:pPr>
              <w:ind w:left="340"/>
              <w:spacing w:after="0" w:line="184"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385,986</w:t>
            </w:r>
            <w:r>
              <w:rPr>
                <w:rFonts w:ascii="Arial" w:cs="Arial" w:eastAsia="Arial" w:hAnsi="Arial"/>
                <w:sz w:val="21"/>
                <w:szCs w:val="21"/>
                <w:color w:val="auto"/>
                <w:vertAlign w:val="superscript"/>
              </w:rPr>
              <w:t>(4)</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CCCC"/>
            </w:tcBorders>
            <w:gridSpan w:val="2"/>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10,699,532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4" w:lineRule="exact"/>
              <w:rPr>
                <w:sz w:val="20"/>
                <w:szCs w:val="20"/>
                <w:color w:val="auto"/>
              </w:rPr>
            </w:pPr>
            <w:r>
              <w:rPr>
                <w:rFonts w:ascii="Arial" w:cs="Arial" w:eastAsia="Arial" w:hAnsi="Arial"/>
                <w:sz w:val="17"/>
                <w:szCs w:val="17"/>
                <w:color w:val="auto"/>
              </w:rPr>
              <w:t>56,620</w:t>
            </w:r>
            <w:r>
              <w:rPr>
                <w:rFonts w:ascii="Arial" w:cs="Arial" w:eastAsia="Arial" w:hAnsi="Arial"/>
                <w:sz w:val="21"/>
                <w:szCs w:val="21"/>
                <w:color w:val="auto"/>
                <w:vertAlign w:val="superscript"/>
              </w:rPr>
              <w:t>(5)</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1,569,506</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53"/>
              <w:spacing w:after="0" w:line="184" w:lineRule="exact"/>
              <w:rPr>
                <w:sz w:val="20"/>
                <w:szCs w:val="20"/>
                <w:color w:val="auto"/>
              </w:rPr>
            </w:pPr>
            <w:r>
              <w:rPr>
                <w:rFonts w:ascii="Arial" w:cs="Arial" w:eastAsia="Arial" w:hAnsi="Arial"/>
                <w:sz w:val="17"/>
                <w:szCs w:val="17"/>
                <w:color w:val="auto"/>
              </w:rPr>
              <w:t>47,506</w:t>
            </w:r>
            <w:r>
              <w:rPr>
                <w:rFonts w:ascii="Arial" w:cs="Arial" w:eastAsia="Arial" w:hAnsi="Arial"/>
                <w:sz w:val="21"/>
                <w:szCs w:val="21"/>
                <w:color w:val="auto"/>
                <w:vertAlign w:val="superscript"/>
              </w:rPr>
              <w:t>(6)</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52"/>
              <w:spacing w:after="0" w:line="183" w:lineRule="exact"/>
              <w:rPr>
                <w:sz w:val="20"/>
                <w:szCs w:val="20"/>
                <w:color w:val="auto"/>
              </w:rPr>
            </w:pPr>
            <w:r>
              <w:rPr>
                <w:rFonts w:ascii="Arial" w:cs="Arial" w:eastAsia="Arial" w:hAnsi="Arial"/>
                <w:sz w:val="18"/>
                <w:szCs w:val="18"/>
                <w:color w:val="auto"/>
              </w:rPr>
              <w:t>1,316,866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Scott C. Weatherholt</w:t>
            </w:r>
          </w:p>
        </w:tc>
        <w:tc>
          <w:tcPr>
            <w:tcW w:w="460" w:type="dxa"/>
            <w:vAlign w:val="bottom"/>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224" w:lineRule="exact"/>
              <w:rPr>
                <w:sz w:val="20"/>
                <w:szCs w:val="20"/>
                <w:color w:val="auto"/>
              </w:rPr>
            </w:pPr>
            <w:r>
              <w:rPr>
                <w:rFonts w:ascii="Arial" w:cs="Arial" w:eastAsia="Arial" w:hAnsi="Arial"/>
                <w:sz w:val="18"/>
                <w:szCs w:val="18"/>
                <w:color w:val="auto"/>
                <w:w w:val="97"/>
              </w:rPr>
              <w:t>71,170</w:t>
            </w:r>
            <w:r>
              <w:rPr>
                <w:rFonts w:ascii="Arial" w:cs="Arial" w:eastAsia="Arial" w:hAnsi="Arial"/>
                <w:sz w:val="23"/>
                <w:szCs w:val="23"/>
                <w:color w:val="auto"/>
                <w:w w:val="97"/>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1,972,832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spacing w:after="0"/>
              <w:rPr>
                <w:sz w:val="17"/>
                <w:szCs w:val="17"/>
                <w:color w:val="auto"/>
              </w:rPr>
            </w:pP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CCCCC"/>
            </w:tcBorders>
            <w:gridSpan w:val="2"/>
            <w:shd w:val="clear" w:color="auto" w:fill="CCCCCC"/>
          </w:tcPr>
          <w:p>
            <w:pPr>
              <w:ind w:left="340"/>
              <w:spacing w:after="0" w:line="184"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237,232</w:t>
            </w:r>
            <w:r>
              <w:rPr>
                <w:rFonts w:ascii="Arial" w:cs="Arial" w:eastAsia="Arial" w:hAnsi="Arial"/>
                <w:sz w:val="21"/>
                <w:szCs w:val="21"/>
                <w:color w:val="auto"/>
                <w:vertAlign w:val="superscript"/>
              </w:rPr>
              <w:t>(4)</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52"/>
              <w:spacing w:after="0" w:line="183" w:lineRule="exact"/>
              <w:rPr>
                <w:sz w:val="20"/>
                <w:szCs w:val="20"/>
                <w:color w:val="auto"/>
              </w:rPr>
            </w:pPr>
            <w:r>
              <w:rPr>
                <w:rFonts w:ascii="Arial" w:cs="Arial" w:eastAsia="Arial" w:hAnsi="Arial"/>
                <w:sz w:val="18"/>
                <w:szCs w:val="18"/>
                <w:color w:val="auto"/>
              </w:rPr>
              <w:t>6,576,071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4" w:lineRule="exact"/>
              <w:rPr>
                <w:sz w:val="20"/>
                <w:szCs w:val="20"/>
                <w:color w:val="auto"/>
              </w:rPr>
            </w:pPr>
            <w:r>
              <w:rPr>
                <w:rFonts w:ascii="Arial" w:cs="Arial" w:eastAsia="Arial" w:hAnsi="Arial"/>
                <w:sz w:val="17"/>
                <w:szCs w:val="17"/>
                <w:color w:val="auto"/>
              </w:rPr>
              <w:t>34,800</w:t>
            </w:r>
            <w:r>
              <w:rPr>
                <w:rFonts w:ascii="Arial" w:cs="Arial" w:eastAsia="Arial" w:hAnsi="Arial"/>
                <w:sz w:val="21"/>
                <w:szCs w:val="21"/>
                <w:color w:val="auto"/>
                <w:vertAlign w:val="superscript"/>
              </w:rPr>
              <w:t>(5)</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8"/>
                <w:szCs w:val="18"/>
                <w:color w:val="auto"/>
              </w:rPr>
              <w:t>964,656</w:t>
            </w: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4" w:lineRule="exact"/>
              <w:rPr>
                <w:sz w:val="20"/>
                <w:szCs w:val="20"/>
                <w:color w:val="auto"/>
              </w:rPr>
            </w:pPr>
            <w:r>
              <w:rPr>
                <w:rFonts w:ascii="Arial" w:cs="Arial" w:eastAsia="Arial" w:hAnsi="Arial"/>
                <w:sz w:val="17"/>
                <w:szCs w:val="17"/>
                <w:color w:val="auto"/>
              </w:rPr>
              <w:t>3,392</w:t>
            </w:r>
            <w:r>
              <w:rPr>
                <w:rFonts w:ascii="Arial" w:cs="Arial" w:eastAsia="Arial" w:hAnsi="Arial"/>
                <w:sz w:val="21"/>
                <w:szCs w:val="21"/>
                <w:color w:val="auto"/>
                <w:vertAlign w:val="superscript"/>
              </w:rPr>
              <w:t>(7)</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94,026</w:t>
            </w: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ind w:left="120"/>
              <w:spacing w:after="0" w:line="162"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6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6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6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6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62"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62"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6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93"/>
              <w:spacing w:after="0" w:line="162" w:lineRule="exact"/>
              <w:rPr>
                <w:sz w:val="20"/>
                <w:szCs w:val="20"/>
                <w:color w:val="auto"/>
              </w:rPr>
            </w:pPr>
            <w:r>
              <w:rPr>
                <w:rFonts w:ascii="Arial" w:cs="Arial" w:eastAsia="Arial" w:hAnsi="Arial"/>
                <w:sz w:val="18"/>
                <w:szCs w:val="18"/>
                <w:color w:val="auto"/>
              </w:rPr>
              <w:t>30,285</w:t>
            </w:r>
          </w:p>
        </w:tc>
        <w:tc>
          <w:tcPr>
            <w:tcW w:w="120" w:type="dxa"/>
            <w:vAlign w:val="bottom"/>
          </w:tcPr>
          <w:p>
            <w:pPr>
              <w:ind w:left="20"/>
              <w:spacing w:after="0" w:line="162"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62"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62"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6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2"/>
              <w:spacing w:after="0" w:line="162" w:lineRule="exact"/>
              <w:rPr>
                <w:sz w:val="20"/>
                <w:szCs w:val="20"/>
                <w:color w:val="auto"/>
              </w:rPr>
            </w:pPr>
            <w:r>
              <w:rPr>
                <w:rFonts w:ascii="Arial" w:cs="Arial" w:eastAsia="Arial" w:hAnsi="Arial"/>
                <w:sz w:val="18"/>
                <w:szCs w:val="18"/>
                <w:color w:val="auto"/>
              </w:rPr>
              <w:t>839,500</w:t>
            </w:r>
          </w:p>
        </w:tc>
        <w:tc>
          <w:tcPr>
            <w:tcW w:w="40" w:type="dxa"/>
            <w:vAlign w:val="bottom"/>
          </w:tcPr>
          <w:p>
            <w:pPr>
              <w:jc w:val="right"/>
              <w:spacing w:after="0" w:line="16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320" w:type="dxa"/>
            <w:vAlign w:val="bottom"/>
            <w:vMerge w:val="restart"/>
          </w:tcPr>
          <w:p>
            <w:pPr>
              <w:spacing w:after="0"/>
              <w:rPr>
                <w:sz w:val="20"/>
                <w:szCs w:val="20"/>
                <w:color w:val="auto"/>
              </w:rPr>
            </w:pPr>
            <w:r>
              <w:rPr>
                <w:rFonts w:ascii="Arial" w:cs="Arial" w:eastAsia="Arial" w:hAnsi="Arial"/>
                <w:sz w:val="18"/>
                <w:szCs w:val="18"/>
                <w:color w:val="auto"/>
              </w:rPr>
              <w:t>Joseph H. Mongrain</w:t>
            </w:r>
          </w:p>
        </w:tc>
        <w:tc>
          <w:tcPr>
            <w:tcW w:w="46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32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6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224" w:lineRule="exact"/>
              <w:rPr>
                <w:sz w:val="20"/>
                <w:szCs w:val="20"/>
                <w:color w:val="auto"/>
              </w:rPr>
            </w:pPr>
            <w:r>
              <w:rPr>
                <w:rFonts w:ascii="Arial" w:cs="Arial" w:eastAsia="Arial" w:hAnsi="Arial"/>
                <w:sz w:val="18"/>
                <w:szCs w:val="18"/>
                <w:color w:val="auto"/>
                <w:w w:val="97"/>
              </w:rPr>
              <w:t>45,131</w:t>
            </w:r>
            <w:r>
              <w:rPr>
                <w:rFonts w:ascii="Arial" w:cs="Arial" w:eastAsia="Arial" w:hAnsi="Arial"/>
                <w:sz w:val="23"/>
                <w:szCs w:val="23"/>
                <w:color w:val="auto"/>
                <w:w w:val="97"/>
                <w:vertAlign w:val="superscript"/>
              </w:rPr>
              <w:t>(8)</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CCCC"/>
            </w:tcBorders>
            <w:gridSpan w:val="2"/>
            <w:shd w:val="clear" w:color="auto" w:fill="CCCCCC"/>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1,251,031</w:t>
            </w:r>
          </w:p>
        </w:tc>
        <w:tc>
          <w:tcPr>
            <w:tcW w:w="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3"/>
              <w:spacing w:after="0" w:line="184" w:lineRule="exact"/>
              <w:rPr>
                <w:sz w:val="20"/>
                <w:szCs w:val="20"/>
                <w:color w:val="auto"/>
              </w:rPr>
            </w:pPr>
            <w:r>
              <w:rPr>
                <w:rFonts w:ascii="Arial" w:cs="Arial" w:eastAsia="Arial" w:hAnsi="Arial"/>
                <w:sz w:val="17"/>
                <w:szCs w:val="17"/>
                <w:color w:val="auto"/>
              </w:rPr>
              <w:t>45,130</w:t>
            </w:r>
            <w:r>
              <w:rPr>
                <w:rFonts w:ascii="Arial" w:cs="Arial" w:eastAsia="Arial" w:hAnsi="Arial"/>
                <w:sz w:val="21"/>
                <w:szCs w:val="21"/>
                <w:color w:val="auto"/>
                <w:vertAlign w:val="superscript"/>
              </w:rPr>
              <w:t>(4)</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2"/>
              <w:spacing w:after="0" w:line="183" w:lineRule="exact"/>
              <w:rPr>
                <w:sz w:val="20"/>
                <w:szCs w:val="20"/>
                <w:color w:val="auto"/>
              </w:rPr>
            </w:pPr>
            <w:r>
              <w:rPr>
                <w:rFonts w:ascii="Arial" w:cs="Arial" w:eastAsia="Arial" w:hAnsi="Arial"/>
                <w:sz w:val="18"/>
                <w:szCs w:val="18"/>
                <w:color w:val="auto"/>
              </w:rPr>
              <w:t>1,251,004</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4" w:lineRule="exact"/>
              <w:rPr>
                <w:sz w:val="20"/>
                <w:szCs w:val="20"/>
                <w:color w:val="auto"/>
              </w:rPr>
            </w:pPr>
            <w:r>
              <w:rPr>
                <w:rFonts w:ascii="Arial" w:cs="Arial" w:eastAsia="Arial" w:hAnsi="Arial"/>
                <w:sz w:val="17"/>
                <w:szCs w:val="17"/>
                <w:color w:val="auto"/>
              </w:rPr>
              <w:t>33,101</w:t>
            </w:r>
            <w:r>
              <w:rPr>
                <w:rFonts w:ascii="Arial" w:cs="Arial" w:eastAsia="Arial" w:hAnsi="Arial"/>
                <w:sz w:val="21"/>
                <w:szCs w:val="21"/>
                <w:color w:val="auto"/>
                <w:vertAlign w:val="superscript"/>
              </w:rPr>
              <w:t>(9)</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917,560</w:t>
            </w: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3"/>
              <w:spacing w:after="0" w:line="184" w:lineRule="exact"/>
              <w:rPr>
                <w:sz w:val="20"/>
                <w:szCs w:val="20"/>
                <w:color w:val="auto"/>
              </w:rPr>
            </w:pPr>
            <w:r>
              <w:rPr>
                <w:rFonts w:ascii="Arial" w:cs="Arial" w:eastAsia="Arial" w:hAnsi="Arial"/>
                <w:sz w:val="17"/>
                <w:szCs w:val="17"/>
                <w:color w:val="auto"/>
              </w:rPr>
              <w:t>13,895</w:t>
            </w:r>
            <w:r>
              <w:rPr>
                <w:rFonts w:ascii="Arial" w:cs="Arial" w:eastAsia="Arial" w:hAnsi="Arial"/>
                <w:sz w:val="21"/>
                <w:szCs w:val="21"/>
                <w:color w:val="auto"/>
                <w:vertAlign w:val="superscript"/>
              </w:rPr>
              <w:t>(6)</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2"/>
              <w:spacing w:after="0" w:line="183" w:lineRule="exact"/>
              <w:rPr>
                <w:sz w:val="20"/>
                <w:szCs w:val="20"/>
                <w:color w:val="auto"/>
              </w:rPr>
            </w:pPr>
            <w:r>
              <w:rPr>
                <w:rFonts w:ascii="Arial" w:cs="Arial" w:eastAsia="Arial" w:hAnsi="Arial"/>
                <w:sz w:val="18"/>
                <w:szCs w:val="18"/>
                <w:color w:val="auto"/>
              </w:rPr>
              <w:t>385,169</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vMerge w:val="restart"/>
          </w:tcPr>
          <w:p>
            <w:pPr>
              <w:spacing w:after="0"/>
              <w:rPr>
                <w:sz w:val="20"/>
                <w:szCs w:val="20"/>
                <w:color w:val="auto"/>
              </w:rPr>
            </w:pPr>
            <w:r>
              <w:rPr>
                <w:rFonts w:ascii="Arial" w:cs="Arial" w:eastAsia="Arial" w:hAnsi="Arial"/>
                <w:sz w:val="18"/>
                <w:szCs w:val="18"/>
                <w:color w:val="auto"/>
              </w:rPr>
              <w:t>Desmond J. Mills</w:t>
            </w:r>
          </w:p>
        </w:tc>
        <w:tc>
          <w:tcPr>
            <w:tcW w:w="46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32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6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224" w:lineRule="exact"/>
              <w:rPr>
                <w:sz w:val="20"/>
                <w:szCs w:val="20"/>
                <w:color w:val="auto"/>
              </w:rPr>
            </w:pPr>
            <w:r>
              <w:rPr>
                <w:rFonts w:ascii="Arial" w:cs="Arial" w:eastAsia="Arial" w:hAnsi="Arial"/>
                <w:sz w:val="18"/>
                <w:szCs w:val="18"/>
                <w:color w:val="auto"/>
                <w:w w:val="97"/>
              </w:rPr>
              <w:t>30,879</w:t>
            </w:r>
            <w:r>
              <w:rPr>
                <w:rFonts w:ascii="Arial" w:cs="Arial" w:eastAsia="Arial" w:hAnsi="Arial"/>
                <w:sz w:val="23"/>
                <w:szCs w:val="23"/>
                <w:color w:val="auto"/>
                <w:w w:val="97"/>
                <w:vertAlign w:val="superscript"/>
              </w:rPr>
              <w:t>(8)</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855,966</w:t>
            </w:r>
          </w:p>
        </w:tc>
        <w:tc>
          <w:tcPr>
            <w:tcW w:w="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3"/>
              <w:spacing w:after="0" w:line="184" w:lineRule="exact"/>
              <w:rPr>
                <w:sz w:val="20"/>
                <w:szCs w:val="20"/>
                <w:color w:val="auto"/>
              </w:rPr>
            </w:pPr>
            <w:r>
              <w:rPr>
                <w:rFonts w:ascii="Arial" w:cs="Arial" w:eastAsia="Arial" w:hAnsi="Arial"/>
                <w:sz w:val="17"/>
                <w:szCs w:val="17"/>
                <w:color w:val="auto"/>
              </w:rPr>
              <w:t>30,878</w:t>
            </w:r>
            <w:r>
              <w:rPr>
                <w:rFonts w:ascii="Arial" w:cs="Arial" w:eastAsia="Arial" w:hAnsi="Arial"/>
                <w:sz w:val="21"/>
                <w:szCs w:val="21"/>
                <w:color w:val="auto"/>
                <w:vertAlign w:val="superscript"/>
              </w:rPr>
              <w:t>(4)</w:t>
            </w:r>
          </w:p>
        </w:tc>
        <w:tc>
          <w:tcPr>
            <w:tcW w:w="1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2"/>
              <w:spacing w:after="0" w:line="183" w:lineRule="exact"/>
              <w:rPr>
                <w:sz w:val="20"/>
                <w:szCs w:val="20"/>
                <w:color w:val="auto"/>
              </w:rPr>
            </w:pPr>
            <w:r>
              <w:rPr>
                <w:rFonts w:ascii="Arial" w:cs="Arial" w:eastAsia="Arial" w:hAnsi="Arial"/>
                <w:sz w:val="18"/>
                <w:szCs w:val="18"/>
                <w:color w:val="auto"/>
              </w:rPr>
              <w:t>855,938</w:t>
            </w:r>
          </w:p>
        </w:tc>
        <w:tc>
          <w:tcPr>
            <w:tcW w:w="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CCCCCC"/>
            </w:tcBorders>
            <w:shd w:val="clear" w:color="auto" w:fill="CCCCCC"/>
          </w:tcPr>
          <w:p>
            <w:pPr>
              <w:ind w:left="120"/>
              <w:spacing w:after="0" w:line="183"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CCCC"/>
            </w:tcBorders>
            <w:shd w:val="clear" w:color="auto" w:fill="CCCCCC"/>
          </w:tcPr>
          <w:p>
            <w:pPr>
              <w:jc w:val="right"/>
              <w:ind w:right="173"/>
              <w:spacing w:after="0" w:line="184" w:lineRule="exact"/>
              <w:rPr>
                <w:sz w:val="20"/>
                <w:szCs w:val="20"/>
                <w:color w:val="auto"/>
              </w:rPr>
            </w:pPr>
            <w:r>
              <w:rPr>
                <w:rFonts w:ascii="Arial" w:cs="Arial" w:eastAsia="Arial" w:hAnsi="Arial"/>
                <w:sz w:val="17"/>
                <w:szCs w:val="17"/>
                <w:color w:val="auto"/>
              </w:rPr>
              <w:t>22,648</w:t>
            </w:r>
            <w:r>
              <w:rPr>
                <w:rFonts w:ascii="Arial" w:cs="Arial" w:eastAsia="Arial" w:hAnsi="Arial"/>
                <w:sz w:val="21"/>
                <w:szCs w:val="21"/>
                <w:color w:val="auto"/>
                <w:vertAlign w:val="superscript"/>
              </w:rPr>
              <w:t>(9)</w:t>
            </w:r>
          </w:p>
        </w:tc>
        <w:tc>
          <w:tcPr>
            <w:tcW w:w="100" w:type="dxa"/>
            <w:vAlign w:val="bottom"/>
            <w:tcBorders>
              <w:bottom w:val="single" w:sz="8" w:color="CCCCCC"/>
            </w:tcBorders>
            <w:shd w:val="clear" w:color="auto" w:fill="CCCCCC"/>
          </w:tcPr>
          <w:p>
            <w:pPr>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627,803</w:t>
            </w:r>
          </w:p>
        </w:tc>
        <w:tc>
          <w:tcPr>
            <w:tcW w:w="200" w:type="dxa"/>
            <w:vAlign w:val="bottom"/>
            <w:tcBorders>
              <w:bottom w:val="single" w:sz="8" w:color="CCCCCC"/>
            </w:tcBorders>
            <w:shd w:val="clear" w:color="auto" w:fill="CCCCC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CCCC"/>
            </w:tcBorders>
            <w:shd w:val="clear" w:color="auto" w:fill="CCCCCC"/>
          </w:tcPr>
          <w:p>
            <w:pPr>
              <w:jc w:val="center"/>
              <w:ind w:left="51"/>
              <w:spacing w:after="0" w:line="18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CCCC"/>
            </w:tcBorders>
            <w:shd w:val="clear" w:color="auto" w:fill="CCCCCC"/>
          </w:tcPr>
          <w:p>
            <w:pPr>
              <w:ind w:left="340"/>
              <w:spacing w:after="0" w:line="183"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CCCC"/>
            </w:tcBorders>
            <w:shd w:val="clear" w:color="auto" w:fill="CCCCCC"/>
          </w:tcPr>
          <w:p>
            <w:pPr>
              <w:jc w:val="right"/>
              <w:ind w:right="133"/>
              <w:spacing w:after="0" w:line="18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CCCC"/>
            </w:tcBorders>
            <w:shd w:val="clear" w:color="auto" w:fill="CCCCCC"/>
          </w:tcPr>
          <w:p>
            <w:pPr>
              <w:ind w:left="20"/>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CCCC"/>
            </w:tcBorders>
            <w:shd w:val="clear" w:color="auto" w:fill="CCCCCC"/>
          </w:tcPr>
          <w:p>
            <w:pPr>
              <w:ind w:left="40"/>
              <w:spacing w:after="0" w:line="18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CCCC"/>
            </w:tcBorders>
            <w:shd w:val="clear" w:color="auto" w:fill="CCCCCC"/>
          </w:tcPr>
          <w:p>
            <w:pPr>
              <w:ind w:left="160"/>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CCCC"/>
            </w:tcBorders>
            <w:shd w:val="clear" w:color="auto" w:fill="CCCCCC"/>
          </w:tcPr>
          <w:p>
            <w:pPr>
              <w:ind w:left="280"/>
              <w:spacing w:after="0" w:line="183"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CCCC"/>
            </w:tcBorders>
            <w:shd w:val="clear" w:color="auto" w:fill="CCCCCC"/>
          </w:tcPr>
          <w:p>
            <w:pPr>
              <w:jc w:val="right"/>
              <w:ind w:right="112"/>
              <w:spacing w:after="0" w:line="183"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1"/>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8,551</w:t>
            </w:r>
            <w:r>
              <w:rPr>
                <w:rFonts w:ascii="Arial" w:cs="Arial" w:eastAsia="Arial" w:hAnsi="Arial"/>
                <w:sz w:val="23"/>
                <w:szCs w:val="23"/>
                <w:color w:val="auto"/>
                <w:vertAlign w:val="superscript"/>
              </w:rPr>
              <w:t>(6)</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237,034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8255</wp:posOffset>
            </wp:positionV>
            <wp:extent cx="62236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65" w:lineRule="exact"/>
        <w:rPr>
          <w:sz w:val="20"/>
          <w:szCs w:val="20"/>
          <w:color w:val="auto"/>
        </w:rPr>
      </w:pPr>
    </w:p>
    <w:p>
      <w:pPr>
        <w:jc w:val="both"/>
        <w:ind w:left="800" w:right="80" w:hanging="362"/>
        <w:spacing w:after="0" w:line="219" w:lineRule="auto"/>
        <w:tabs>
          <w:tab w:leader="none" w:pos="800" w:val="left"/>
        </w:tabs>
        <w:numPr>
          <w:ilvl w:val="0"/>
          <w:numId w:val="57"/>
        </w:numPr>
        <w:rPr>
          <w:rFonts w:ascii="Arial" w:cs="Arial" w:eastAsia="Arial" w:hAnsi="Arial"/>
          <w:sz w:val="22"/>
          <w:szCs w:val="22"/>
          <w:color w:val="BA0C2F"/>
          <w:vertAlign w:val="superscript"/>
        </w:rPr>
      </w:pPr>
      <w:r>
        <w:rPr>
          <w:rFonts w:ascii="Arial" w:cs="Arial" w:eastAsia="Arial" w:hAnsi="Arial"/>
          <w:sz w:val="14"/>
          <w:szCs w:val="14"/>
          <w:color w:val="auto"/>
        </w:rPr>
        <w:t>For PSUs granted on January 4 and April 15, 2021, the number of shares or units reported and the payout value reported are based upon achieving the maximum performance level, which is 200% of the PSUs granted. For PSUs granted on November 1, 2021, the number of units reported and the payout value are based on achieving Threshold performance level, which is 50% of the PSU granted.</w:t>
      </w:r>
    </w:p>
    <w:p>
      <w:pPr>
        <w:spacing w:after="0" w:line="2"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RSUs vest in equal installments on October 12, 2022 and 2023.</w:t>
      </w:r>
    </w:p>
    <w:p>
      <w:pPr>
        <w:spacing w:after="0" w:line="13" w:lineRule="exact"/>
        <w:rPr>
          <w:rFonts w:ascii="Arial" w:cs="Arial" w:eastAsia="Arial" w:hAnsi="Arial"/>
          <w:sz w:val="20"/>
          <w:szCs w:val="20"/>
          <w:color w:val="BA0C2F"/>
          <w:vertAlign w:val="superscript"/>
        </w:rPr>
      </w:pP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RSUs vest in equal installments on January 4, 2022 and 2023.</w:t>
      </w:r>
    </w:p>
    <w:p>
      <w:pPr>
        <w:spacing w:after="0" w:line="27" w:lineRule="exact"/>
        <w:rPr>
          <w:rFonts w:ascii="Arial" w:cs="Arial" w:eastAsia="Arial" w:hAnsi="Arial"/>
          <w:sz w:val="20"/>
          <w:szCs w:val="20"/>
          <w:color w:val="BA0C2F"/>
          <w:vertAlign w:val="superscript"/>
        </w:rPr>
      </w:pP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PSUs are eligible to cliff vest on December 31, 2022, subject to the attainment of applicable performance objectives.</w:t>
      </w:r>
    </w:p>
    <w:p>
      <w:pPr>
        <w:spacing w:after="0" w:line="27" w:lineRule="exact"/>
        <w:rPr>
          <w:rFonts w:ascii="Arial" w:cs="Arial" w:eastAsia="Arial" w:hAnsi="Arial"/>
          <w:sz w:val="20"/>
          <w:szCs w:val="20"/>
          <w:color w:val="BA0C2F"/>
          <w:vertAlign w:val="superscript"/>
        </w:rPr>
      </w:pPr>
    </w:p>
    <w:p>
      <w:pPr>
        <w:ind w:left="800" w:right="360" w:hanging="362"/>
        <w:spacing w:after="0" w:line="220" w:lineRule="auto"/>
        <w:tabs>
          <w:tab w:leader="none" w:pos="800" w:val="left"/>
        </w:tabs>
        <w:numPr>
          <w:ilvl w:val="0"/>
          <w:numId w:val="57"/>
        </w:numPr>
        <w:rPr>
          <w:rFonts w:ascii="Arial" w:cs="Arial" w:eastAsia="Arial" w:hAnsi="Arial"/>
          <w:sz w:val="22"/>
          <w:szCs w:val="22"/>
          <w:color w:val="BA0C2F"/>
          <w:vertAlign w:val="superscript"/>
        </w:rPr>
      </w:pPr>
      <w:r>
        <w:rPr>
          <w:rFonts w:ascii="Arial" w:cs="Arial" w:eastAsia="Arial" w:hAnsi="Arial"/>
          <w:sz w:val="14"/>
          <w:szCs w:val="14"/>
          <w:color w:val="auto"/>
        </w:rPr>
        <w:t>Phantom RSUs vest in two equal installments on January 4, 2022 and 2023 and can be settled all in cash, all in shares, or in any combination of cash and shares at the sole discretion of the Committee. If settled in cash, the maximum cumulative cash payout under the award agreements is capped at a predetermined amount. These awards were settled all in cash at the maximum cash payout on January 4, 2022 and the remaining unvested Phantom RSUs will not vest and have been cancelled.</w:t>
      </w: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PSUs are eligible to cliff vest on December 31, 2024 subject to the attainment of applicable performance objectives.</w:t>
      </w:r>
    </w:p>
    <w:p>
      <w:pPr>
        <w:spacing w:after="0" w:line="27" w:lineRule="exact"/>
        <w:rPr>
          <w:rFonts w:ascii="Arial" w:cs="Arial" w:eastAsia="Arial" w:hAnsi="Arial"/>
          <w:sz w:val="20"/>
          <w:szCs w:val="20"/>
          <w:color w:val="BA0C2F"/>
          <w:vertAlign w:val="superscript"/>
        </w:rPr>
      </w:pP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RSUs vest in equal installments on February 25, 2022 and 2023.</w:t>
      </w:r>
    </w:p>
    <w:p>
      <w:pPr>
        <w:spacing w:after="0" w:line="13" w:lineRule="exact"/>
        <w:rPr>
          <w:rFonts w:ascii="Arial" w:cs="Arial" w:eastAsia="Arial" w:hAnsi="Arial"/>
          <w:sz w:val="20"/>
          <w:szCs w:val="20"/>
          <w:color w:val="BA0C2F"/>
          <w:vertAlign w:val="superscript"/>
        </w:rPr>
      </w:pPr>
    </w:p>
    <w:p>
      <w:pPr>
        <w:ind w:left="800" w:hanging="362"/>
        <w:spacing w:after="0" w:line="183" w:lineRule="auto"/>
        <w:tabs>
          <w:tab w:leader="none" w:pos="800" w:val="left"/>
        </w:tabs>
        <w:numPr>
          <w:ilvl w:val="0"/>
          <w:numId w:val="57"/>
        </w:numPr>
        <w:rPr>
          <w:rFonts w:ascii="Arial" w:cs="Arial" w:eastAsia="Arial" w:hAnsi="Arial"/>
          <w:sz w:val="20"/>
          <w:szCs w:val="20"/>
          <w:color w:val="BA0C2F"/>
          <w:vertAlign w:val="superscript"/>
        </w:rPr>
      </w:pPr>
      <w:r>
        <w:rPr>
          <w:rFonts w:ascii="Arial" w:cs="Arial" w:eastAsia="Arial" w:hAnsi="Arial"/>
          <w:sz w:val="14"/>
          <w:szCs w:val="14"/>
          <w:color w:val="auto"/>
        </w:rPr>
        <w:t>RSUs vest in equal installments on April 15, 2022 and 2023.</w:t>
      </w:r>
    </w:p>
    <w:p>
      <w:pPr>
        <w:spacing w:after="0" w:line="27" w:lineRule="exact"/>
        <w:rPr>
          <w:rFonts w:ascii="Arial" w:cs="Arial" w:eastAsia="Arial" w:hAnsi="Arial"/>
          <w:sz w:val="20"/>
          <w:szCs w:val="20"/>
          <w:color w:val="BA0C2F"/>
          <w:vertAlign w:val="superscript"/>
        </w:rPr>
      </w:pPr>
    </w:p>
    <w:p>
      <w:pPr>
        <w:ind w:left="800" w:right="100" w:hanging="362"/>
        <w:spacing w:after="0" w:line="224" w:lineRule="auto"/>
        <w:tabs>
          <w:tab w:leader="none" w:pos="800" w:val="left"/>
        </w:tabs>
        <w:numPr>
          <w:ilvl w:val="0"/>
          <w:numId w:val="57"/>
        </w:numPr>
        <w:rPr>
          <w:rFonts w:ascii="Arial" w:cs="Arial" w:eastAsia="Arial" w:hAnsi="Arial"/>
          <w:sz w:val="22"/>
          <w:szCs w:val="22"/>
          <w:color w:val="BA0C2F"/>
          <w:vertAlign w:val="superscript"/>
        </w:rPr>
      </w:pPr>
      <w:r>
        <w:rPr>
          <w:rFonts w:ascii="Arial" w:cs="Arial" w:eastAsia="Arial" w:hAnsi="Arial"/>
          <w:sz w:val="14"/>
          <w:szCs w:val="14"/>
          <w:color w:val="auto"/>
        </w:rPr>
        <w:t>Phantom RSUs vest in two equal tranches on April 15, 2022 and 2023 and can be settled all in cash, all in shares, or in any combination of cash and shares at the sole discretion of the Committee. If settled in cash, the maximum cumulative cash payout under the award agreements is capped at a predetermined amount. These awards were settled all in cash at the maximum cash payout on April 15, 2022 and the remaining unvested Phantom RSUs will not vest and have been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1120775</wp:posOffset>
            </wp:positionV>
            <wp:extent cx="6231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EXECUTIVE COMPENSATION TABLES</w:t>
      </w:r>
    </w:p>
    <w:p>
      <w:pPr>
        <w:spacing w:after="0" w:line="115" w:lineRule="exact"/>
        <w:rPr>
          <w:sz w:val="20"/>
          <w:szCs w:val="20"/>
          <w:color w:val="auto"/>
        </w:rPr>
      </w:pPr>
    </w:p>
    <w:p>
      <w:pPr>
        <w:ind w:left="440" w:right="760"/>
        <w:spacing w:after="0" w:line="261" w:lineRule="auto"/>
        <w:rPr>
          <w:sz w:val="20"/>
          <w:szCs w:val="20"/>
          <w:color w:val="auto"/>
        </w:rPr>
      </w:pPr>
      <w:r>
        <w:rPr>
          <w:rFonts w:ascii="Arial" w:cs="Arial" w:eastAsia="Arial" w:hAnsi="Arial"/>
          <w:sz w:val="43"/>
          <w:szCs w:val="43"/>
          <w:b w:val="1"/>
          <w:bCs w:val="1"/>
          <w:color w:val="7F7F7F"/>
        </w:rPr>
        <w:t>OPTION EXERCISES AND SHARES VESTED IN 2021</w:t>
      </w:r>
    </w:p>
    <w:p>
      <w:pPr>
        <w:spacing w:after="0" w:line="2" w:lineRule="exact"/>
        <w:rPr>
          <w:sz w:val="20"/>
          <w:szCs w:val="20"/>
          <w:color w:val="auto"/>
        </w:rPr>
      </w:pPr>
    </w:p>
    <w:p>
      <w:pPr>
        <w:ind w:left="440" w:right="520"/>
        <w:spacing w:after="0" w:line="287" w:lineRule="auto"/>
        <w:rPr>
          <w:sz w:val="20"/>
          <w:szCs w:val="20"/>
          <w:color w:val="auto"/>
        </w:rPr>
      </w:pPr>
      <w:r>
        <w:rPr>
          <w:rFonts w:ascii="Arial" w:cs="Arial" w:eastAsia="Arial" w:hAnsi="Arial"/>
          <w:sz w:val="18"/>
          <w:szCs w:val="18"/>
          <w:color w:val="auto"/>
        </w:rPr>
        <w:t>The following table provides information about option awards and stock awards that vested, and the value realized on exercise and vesting by our NEOs during 2021.</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4360" w:type="dxa"/>
            <w:vAlign w:val="bottom"/>
          </w:tcPr>
          <w:p>
            <w:pPr>
              <w:spacing w:after="0"/>
              <w:rPr>
                <w:sz w:val="20"/>
                <w:szCs w:val="20"/>
                <w:color w:val="auto"/>
              </w:rPr>
            </w:pPr>
            <w:r>
              <w:rPr>
                <w:rFonts w:ascii="Arial" w:cs="Arial" w:eastAsia="Arial" w:hAnsi="Arial"/>
                <w:sz w:val="14"/>
                <w:szCs w:val="14"/>
                <w:b w:val="1"/>
                <w:bCs w:val="1"/>
                <w:color w:val="auto"/>
              </w:rPr>
              <w:t>​ ​</w:t>
            </w:r>
          </w:p>
        </w:tc>
        <w:tc>
          <w:tcPr>
            <w:tcW w:w="2340" w:type="dxa"/>
            <w:vAlign w:val="bottom"/>
          </w:tcPr>
          <w:p>
            <w:pPr>
              <w:ind w:left="218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Share Awards</w:t>
            </w: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r>
      <w:tr>
        <w:trPr>
          <w:trHeight w:val="187"/>
        </w:trPr>
        <w:tc>
          <w:tcPr>
            <w:tcW w:w="4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Shares/Units</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Value 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Acquired on Vesting</w:t>
            </w:r>
          </w:p>
        </w:tc>
        <w:tc>
          <w:tcPr>
            <w:tcW w:w="24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On Vesting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8"/>
        </w:trPr>
        <w:tc>
          <w:tcPr>
            <w:tcW w:w="436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Name</w:t>
            </w:r>
          </w:p>
        </w:tc>
        <w:tc>
          <w:tcPr>
            <w:tcW w:w="234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5"/>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r>
      <w:tr>
        <w:trPr>
          <w:trHeight w:val="263"/>
        </w:trPr>
        <w:tc>
          <w:tcPr>
            <w:tcW w:w="43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Girishchandra K. Saligram</w:t>
            </w:r>
          </w:p>
        </w:tc>
        <w:tc>
          <w:tcPr>
            <w:tcW w:w="2340" w:type="dxa"/>
            <w:vAlign w:val="bottom"/>
            <w:tcBorders>
              <w:bottom w:val="single" w:sz="8" w:color="auto"/>
            </w:tcBorders>
            <w:shd w:val="clear" w:color="auto" w:fill="CCCCCC"/>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gridSpan w:val="2"/>
            <w:shd w:val="clear" w:color="auto" w:fill="CCCCCC"/>
          </w:tcPr>
          <w:p>
            <w:pPr>
              <w:jc w:val="right"/>
              <w:ind w:right="415"/>
              <w:spacing w:after="0"/>
              <w:rPr>
                <w:sz w:val="20"/>
                <w:szCs w:val="20"/>
                <w:color w:val="auto"/>
              </w:rPr>
            </w:pPr>
            <w:r>
              <w:rPr>
                <w:rFonts w:ascii="Arial" w:cs="Arial" w:eastAsia="Arial" w:hAnsi="Arial"/>
                <w:sz w:val="18"/>
                <w:szCs w:val="18"/>
                <w:color w:val="auto"/>
              </w:rPr>
              <w:t>​225,988</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​3,337,278</w:t>
            </w:r>
          </w:p>
        </w:tc>
        <w:tc>
          <w:tcPr>
            <w:tcW w:w="140" w:type="dxa"/>
            <w:vAlign w:val="bottom"/>
            <w:tcBorders>
              <w:bottom w:val="single" w:sz="8" w:color="auto"/>
            </w:tcBorders>
            <w:gridSpan w:val="2"/>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264"/>
        </w:trPr>
        <w:tc>
          <w:tcPr>
            <w:tcW w:w="43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H. Keith Jennings</w:t>
            </w:r>
          </w:p>
        </w:tc>
        <w:tc>
          <w:tcPr>
            <w:tcW w:w="23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Scott C. Weatherholt</w:t>
            </w:r>
          </w:p>
        </w:tc>
        <w:tc>
          <w:tcPr>
            <w:tcW w:w="2340" w:type="dxa"/>
            <w:vAlign w:val="bottom"/>
            <w:tcBorders>
              <w:bottom w:val="single" w:sz="8" w:color="auto"/>
            </w:tcBorders>
            <w:shd w:val="clear" w:color="auto" w:fill="CCCCCC"/>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CCCC"/>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CCCC"/>
          </w:tcPr>
          <w:p>
            <w:pPr>
              <w:jc w:val="right"/>
              <w:ind w:right="4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gridSpan w:val="2"/>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Joseph H. Mongrain</w:t>
            </w:r>
          </w:p>
        </w:tc>
        <w:tc>
          <w:tcPr>
            <w:tcW w:w="23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Desmond J. Mills</w:t>
            </w:r>
          </w:p>
        </w:tc>
        <w:tc>
          <w:tcPr>
            <w:tcW w:w="2340" w:type="dxa"/>
            <w:vAlign w:val="bottom"/>
            <w:tcBorders>
              <w:bottom w:val="single" w:sz="8" w:color="auto"/>
            </w:tcBorders>
            <w:shd w:val="clear" w:color="auto" w:fill="CCCCCC"/>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CCCC"/>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CCCC"/>
          </w:tcPr>
          <w:p>
            <w:pPr>
              <w:jc w:val="right"/>
              <w:ind w:right="4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gridSpan w:val="2"/>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271"/>
        </w:trPr>
        <w:tc>
          <w:tcPr>
            <w:tcW w:w="436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Karl Blanchard</w:t>
            </w:r>
          </w:p>
        </w:tc>
        <w:tc>
          <w:tcPr>
            <w:tcW w:w="23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r>
    </w:tbl>
    <w:p>
      <w:pPr>
        <w:spacing w:after="0" w:line="36" w:lineRule="exact"/>
        <w:rPr>
          <w:sz w:val="20"/>
          <w:szCs w:val="20"/>
          <w:color w:val="auto"/>
        </w:rPr>
      </w:pPr>
    </w:p>
    <w:p>
      <w:pPr>
        <w:ind w:left="800" w:hanging="362"/>
        <w:spacing w:after="0"/>
        <w:tabs>
          <w:tab w:leader="none" w:pos="800" w:val="left"/>
        </w:tabs>
        <w:numPr>
          <w:ilvl w:val="0"/>
          <w:numId w:val="58"/>
        </w:numPr>
        <w:rPr>
          <w:rFonts w:ascii="Arial" w:cs="Arial" w:eastAsia="Arial" w:hAnsi="Arial"/>
          <w:sz w:val="22"/>
          <w:szCs w:val="22"/>
          <w:color w:val="BA0C2F"/>
          <w:vertAlign w:val="superscript"/>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5105400</wp:posOffset>
            </wp:positionV>
            <wp:extent cx="6231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0" w:hanging="282"/>
        <w:spacing w:after="0"/>
        <w:tabs>
          <w:tab w:leader="none" w:pos="720" w:val="left"/>
        </w:tabs>
        <w:numPr>
          <w:ilvl w:val="0"/>
          <w:numId w:val="5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666666"/>
        </w:rPr>
        <w:t>EXECUTIVE COMPENSATION TABLES</w:t>
      </w:r>
    </w:p>
    <w:p>
      <w:pPr>
        <w:spacing w:after="0" w:line="115" w:lineRule="exact"/>
        <w:rPr>
          <w:sz w:val="20"/>
          <w:szCs w:val="20"/>
          <w:color w:val="auto"/>
        </w:rPr>
      </w:pPr>
    </w:p>
    <w:p>
      <w:pPr>
        <w:ind w:left="440" w:right="480"/>
        <w:spacing w:after="0" w:line="261" w:lineRule="auto"/>
        <w:rPr>
          <w:sz w:val="20"/>
          <w:szCs w:val="20"/>
          <w:color w:val="auto"/>
        </w:rPr>
      </w:pPr>
      <w:r>
        <w:rPr>
          <w:rFonts w:ascii="Arial" w:cs="Arial" w:eastAsia="Arial" w:hAnsi="Arial"/>
          <w:sz w:val="43"/>
          <w:szCs w:val="43"/>
          <w:b w:val="1"/>
          <w:bCs w:val="1"/>
          <w:color w:val="7F7F7F"/>
        </w:rPr>
        <w:t>POTENTIAL PAYMENTS UPON TERMINATION OR CHANGE OF CONTROL</w:t>
      </w:r>
    </w:p>
    <w:p>
      <w:pPr>
        <w:spacing w:after="0" w:line="2"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The following table lists the compensation and benefits that Weatherford would provide to our current NEOs in various scenarios involving a termination of employment or upon a change of control. Compensation and benefits generally available to salaried employees are not included in the below. As described previously in this Proxy Statement, all NEOs are covered under our Executive Severance Plan and CIC Severance Plan. The following summary is qualified in its entirety by the terms of the applicable Executive Severance Plan, CIC Severance Plan, 2020 LTCIP, 2019 EIP, and the applicable individual award agreements entered into with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84455</wp:posOffset>
            </wp:positionV>
            <wp:extent cx="5143500" cy="55460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5546090"/>
                    </a:xfrm>
                    <a:prstGeom prst="rect">
                      <a:avLst/>
                    </a:prstGeom>
                    <a:noFill/>
                  </pic:spPr>
                </pic:pic>
              </a:graphicData>
            </a:graphic>
          </wp:anchor>
        </w:drawing>
      </w:r>
    </w:p>
    <w:p>
      <w:pPr>
        <w:spacing w:after="0" w:line="93" w:lineRule="exact"/>
        <w:rPr>
          <w:sz w:val="20"/>
          <w:szCs w:val="20"/>
          <w:color w:val="auto"/>
        </w:rPr>
      </w:pPr>
    </w:p>
    <w:tbl>
      <w:tblPr>
        <w:tblLayout w:type="fixed"/>
        <w:tblInd w:w="450" w:type="dxa"/>
        <w:tblCellMar>
          <w:top w:w="0" w:type="dxa"/>
          <w:left w:w="0" w:type="dxa"/>
          <w:bottom w:w="0" w:type="dxa"/>
          <w:right w:w="0" w:type="dxa"/>
        </w:tblCellMar>
      </w:tblPr>
      <w:tr>
        <w:trPr>
          <w:trHeight w:val="257"/>
        </w:trPr>
        <w:tc>
          <w:tcPr>
            <w:tcW w:w="4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1060" w:type="dxa"/>
            <w:vAlign w:val="bottom"/>
            <w:tcBorders>
              <w:top w:val="single" w:sz="8" w:color="auto"/>
            </w:tcBorders>
          </w:tcPr>
          <w:p>
            <w:pPr>
              <w:jc w:val="center"/>
              <w:ind w:right="277"/>
              <w:spacing w:after="0"/>
              <w:rPr>
                <w:sz w:val="20"/>
                <w:szCs w:val="20"/>
                <w:color w:val="auto"/>
              </w:rPr>
            </w:pPr>
            <w:r>
              <w:rPr>
                <w:rFonts w:ascii="Arial" w:cs="Arial" w:eastAsia="Arial" w:hAnsi="Arial"/>
                <w:sz w:val="13"/>
                <w:szCs w:val="13"/>
                <w:b w:val="1"/>
                <w:bCs w:val="1"/>
                <w:color w:val="FFFFFF"/>
              </w:rPr>
              <w:t>​</w:t>
            </w:r>
          </w:p>
        </w:tc>
        <w:tc>
          <w:tcPr>
            <w:tcW w:w="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top w:val="single" w:sz="8" w:color="auto"/>
            </w:tcBorders>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80" w:type="dxa"/>
            <w:vAlign w:val="bottom"/>
            <w:tcBorders>
              <w:top w:val="single" w:sz="8" w:color="auto"/>
            </w:tcBorders>
            <w:gridSpan w:val="8"/>
          </w:tcPr>
          <w:p>
            <w:pPr>
              <w:ind w:left="400"/>
              <w:spacing w:after="0"/>
              <w:rPr>
                <w:sz w:val="20"/>
                <w:szCs w:val="20"/>
                <w:color w:val="auto"/>
              </w:rPr>
            </w:pPr>
            <w:r>
              <w:rPr>
                <w:rFonts w:ascii="Arial" w:cs="Arial" w:eastAsia="Arial" w:hAnsi="Arial"/>
                <w:sz w:val="13"/>
                <w:szCs w:val="13"/>
                <w:b w:val="1"/>
                <w:bCs w:val="1"/>
                <w:color w:val="FFFFFF"/>
              </w:rPr>
              <w:t>Termination / Change in Control Scenarios</w:t>
            </w: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8"/>
        </w:trPr>
        <w:tc>
          <w:tcPr>
            <w:tcW w:w="480" w:type="dxa"/>
            <w:vAlign w:val="bottom"/>
            <w:tcBorders>
              <w:lef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60" w:type="dxa"/>
            <w:vAlign w:val="bottom"/>
            <w:tcBorders>
              <w:top w:val="single" w:sz="8" w:color="666666"/>
            </w:tcBorders>
            <w:shd w:val="clear" w:color="auto" w:fill="BA0C2F"/>
          </w:tcPr>
          <w:p>
            <w:pPr>
              <w:jc w:val="center"/>
              <w:spacing w:after="0" w:line="138" w:lineRule="exact"/>
              <w:rPr>
                <w:sz w:val="20"/>
                <w:szCs w:val="20"/>
                <w:color w:val="auto"/>
              </w:rPr>
            </w:pPr>
            <w:r>
              <w:rPr>
                <w:rFonts w:ascii="Arial" w:cs="Arial" w:eastAsia="Arial" w:hAnsi="Arial"/>
                <w:sz w:val="13"/>
                <w:szCs w:val="13"/>
                <w:b w:val="1"/>
                <w:bCs w:val="1"/>
                <w:color w:val="FFFFFF"/>
                <w:w w:val="95"/>
              </w:rPr>
              <w:t>Retirement,</w:t>
            </w:r>
          </w:p>
        </w:tc>
        <w:tc>
          <w:tcPr>
            <w:tcW w:w="100" w:type="dxa"/>
            <w:vAlign w:val="bottom"/>
            <w:tcBorders>
              <w:top w:val="single" w:sz="8" w:color="666666"/>
              <w:right w:val="single" w:sz="8" w:color="auto"/>
            </w:tcBorders>
            <w:shd w:val="clear" w:color="auto" w:fill="BA0C2F"/>
          </w:tcPr>
          <w:p>
            <w:pPr>
              <w:spacing w:after="0"/>
              <w:rPr>
                <w:sz w:val="11"/>
                <w:szCs w:val="11"/>
                <w:color w:val="auto"/>
              </w:rPr>
            </w:pPr>
          </w:p>
        </w:tc>
        <w:tc>
          <w:tcPr>
            <w:tcW w:w="80" w:type="dxa"/>
            <w:vAlign w:val="bottom"/>
            <w:tcBorders>
              <w:top w:val="single" w:sz="8" w:color="666666"/>
            </w:tcBorders>
            <w:shd w:val="clear" w:color="auto" w:fill="BA0C2F"/>
          </w:tcPr>
          <w:p>
            <w:pPr>
              <w:spacing w:after="0"/>
              <w:rPr>
                <w:sz w:val="11"/>
                <w:szCs w:val="11"/>
                <w:color w:val="auto"/>
              </w:rPr>
            </w:pPr>
          </w:p>
        </w:tc>
        <w:tc>
          <w:tcPr>
            <w:tcW w:w="980" w:type="dxa"/>
            <w:vAlign w:val="bottom"/>
            <w:tcBorders>
              <w:top w:val="single" w:sz="8" w:color="666666"/>
            </w:tcBorders>
            <w:shd w:val="clear" w:color="auto" w:fill="BA0C2F"/>
          </w:tcPr>
          <w:p>
            <w:pPr>
              <w:spacing w:after="0"/>
              <w:rPr>
                <w:sz w:val="11"/>
                <w:szCs w:val="11"/>
                <w:color w:val="auto"/>
              </w:rPr>
            </w:pPr>
          </w:p>
        </w:tc>
        <w:tc>
          <w:tcPr>
            <w:tcW w:w="100" w:type="dxa"/>
            <w:vAlign w:val="bottom"/>
            <w:tcBorders>
              <w:top w:val="single" w:sz="8" w:color="666666"/>
              <w:right w:val="single" w:sz="8" w:color="auto"/>
            </w:tcBorders>
            <w:shd w:val="clear" w:color="auto" w:fill="BA0C2F"/>
          </w:tcPr>
          <w:p>
            <w:pPr>
              <w:spacing w:after="0"/>
              <w:rPr>
                <w:sz w:val="11"/>
                <w:szCs w:val="11"/>
                <w:color w:val="auto"/>
              </w:rPr>
            </w:pPr>
          </w:p>
        </w:tc>
        <w:tc>
          <w:tcPr>
            <w:tcW w:w="80" w:type="dxa"/>
            <w:vAlign w:val="bottom"/>
            <w:tcBorders>
              <w:top w:val="single" w:sz="8" w:color="666666"/>
            </w:tcBorders>
            <w:shd w:val="clear" w:color="auto" w:fill="BA0C2F"/>
          </w:tcPr>
          <w:p>
            <w:pPr>
              <w:spacing w:after="0"/>
              <w:rPr>
                <w:sz w:val="11"/>
                <w:szCs w:val="11"/>
                <w:color w:val="auto"/>
              </w:rPr>
            </w:pPr>
          </w:p>
        </w:tc>
        <w:tc>
          <w:tcPr>
            <w:tcW w:w="980" w:type="dxa"/>
            <w:vAlign w:val="bottom"/>
            <w:tcBorders>
              <w:top w:val="single" w:sz="8" w:color="666666"/>
            </w:tcBorders>
            <w:shd w:val="clear" w:color="auto" w:fill="BA0C2F"/>
          </w:tcPr>
          <w:p>
            <w:pPr>
              <w:spacing w:after="0"/>
              <w:rPr>
                <w:sz w:val="11"/>
                <w:szCs w:val="11"/>
                <w:color w:val="auto"/>
              </w:rPr>
            </w:pPr>
          </w:p>
        </w:tc>
        <w:tc>
          <w:tcPr>
            <w:tcW w:w="40" w:type="dxa"/>
            <w:vAlign w:val="bottom"/>
            <w:tcBorders>
              <w:top w:val="single" w:sz="8" w:color="666666"/>
            </w:tcBorders>
            <w:shd w:val="clear" w:color="auto" w:fill="BA0C2F"/>
          </w:tcPr>
          <w:p>
            <w:pPr>
              <w:spacing w:after="0"/>
              <w:rPr>
                <w:sz w:val="11"/>
                <w:szCs w:val="11"/>
                <w:color w:val="auto"/>
              </w:rPr>
            </w:pPr>
          </w:p>
        </w:tc>
        <w:tc>
          <w:tcPr>
            <w:tcW w:w="60" w:type="dxa"/>
            <w:vAlign w:val="bottom"/>
            <w:tcBorders>
              <w:top w:val="single" w:sz="8" w:color="666666"/>
              <w:right w:val="single" w:sz="8" w:color="BA0C2F"/>
            </w:tcBorders>
            <w:shd w:val="clear" w:color="auto" w:fill="BA0C2F"/>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60" w:type="dxa"/>
            <w:vAlign w:val="bottom"/>
            <w:tcBorders>
              <w:top w:val="single" w:sz="8" w:color="666666"/>
            </w:tcBorders>
            <w:shd w:val="clear" w:color="auto" w:fill="BA0C2F"/>
          </w:tcPr>
          <w:p>
            <w:pPr>
              <w:spacing w:after="0"/>
              <w:rPr>
                <w:sz w:val="11"/>
                <w:szCs w:val="11"/>
                <w:color w:val="auto"/>
              </w:rPr>
            </w:pPr>
          </w:p>
        </w:tc>
        <w:tc>
          <w:tcPr>
            <w:tcW w:w="100" w:type="dxa"/>
            <w:vAlign w:val="bottom"/>
            <w:tcBorders>
              <w:top w:val="single" w:sz="8" w:color="666666"/>
              <w:right w:val="single" w:sz="8" w:color="auto"/>
            </w:tcBorders>
            <w:shd w:val="clear" w:color="auto" w:fill="BA0C2F"/>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40" w:type="dxa"/>
            <w:vAlign w:val="bottom"/>
            <w:tcBorders>
              <w:top w:val="single" w:sz="8" w:color="666666"/>
            </w:tcBorders>
            <w:shd w:val="clear" w:color="auto" w:fill="BA0C2F"/>
          </w:tcPr>
          <w:p>
            <w:pPr>
              <w:jc w:val="center"/>
              <w:spacing w:after="0" w:line="138" w:lineRule="exact"/>
              <w:rPr>
                <w:sz w:val="20"/>
                <w:szCs w:val="20"/>
                <w:color w:val="auto"/>
              </w:rPr>
            </w:pPr>
            <w:r>
              <w:rPr>
                <w:rFonts w:ascii="Arial" w:cs="Arial" w:eastAsia="Arial" w:hAnsi="Arial"/>
                <w:sz w:val="13"/>
                <w:szCs w:val="13"/>
                <w:b w:val="1"/>
                <w:bCs w:val="1"/>
                <w:color w:val="FFFFFF"/>
                <w:w w:val="95"/>
              </w:rPr>
              <w:t>Change in</w:t>
            </w:r>
          </w:p>
        </w:tc>
        <w:tc>
          <w:tcPr>
            <w:tcW w:w="140" w:type="dxa"/>
            <w:vAlign w:val="bottom"/>
            <w:tcBorders>
              <w:top w:val="single" w:sz="8" w:color="666666"/>
              <w:right w:val="single" w:sz="8" w:color="auto"/>
            </w:tcBorders>
            <w:shd w:val="clear" w:color="auto" w:fill="BA0C2F"/>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spacing w:after="0"/>
              <w:rPr>
                <w:sz w:val="11"/>
                <w:szCs w:val="11"/>
                <w:color w:val="auto"/>
              </w:rPr>
            </w:pPr>
          </w:p>
        </w:tc>
        <w:tc>
          <w:tcPr>
            <w:tcW w:w="60" w:type="dxa"/>
            <w:vAlign w:val="bottom"/>
            <w:tcBorders>
              <w:top w:val="single" w:sz="8" w:color="666666"/>
            </w:tcBorders>
          </w:tcPr>
          <w:p>
            <w:pPr>
              <w:spacing w:after="0"/>
              <w:rPr>
                <w:sz w:val="11"/>
                <w:szCs w:val="11"/>
                <w:color w:val="auto"/>
              </w:rPr>
            </w:pPr>
          </w:p>
        </w:tc>
        <w:tc>
          <w:tcPr>
            <w:tcW w:w="60" w:type="dxa"/>
            <w:vAlign w:val="bottom"/>
            <w:tcBorders>
              <w:top w:val="single" w:sz="8" w:color="666666"/>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spacing w:after="0"/>
              <w:rPr>
                <w:sz w:val="11"/>
                <w:szCs w:val="11"/>
                <w:color w:val="auto"/>
              </w:rPr>
            </w:pPr>
          </w:p>
        </w:tc>
        <w:tc>
          <w:tcPr>
            <w:tcW w:w="60" w:type="dxa"/>
            <w:vAlign w:val="bottom"/>
            <w:tcBorders>
              <w:top w:val="single" w:sz="8" w:color="666666"/>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Borders>
              <w:lef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60" w:type="dxa"/>
            <w:vAlign w:val="bottom"/>
            <w:shd w:val="clear" w:color="auto" w:fill="BA0C2F"/>
          </w:tcPr>
          <w:p>
            <w:pPr>
              <w:ind w:left="20"/>
              <w:spacing w:after="0" w:line="135" w:lineRule="exact"/>
              <w:rPr>
                <w:sz w:val="20"/>
                <w:szCs w:val="20"/>
                <w:color w:val="auto"/>
              </w:rPr>
            </w:pPr>
            <w:r>
              <w:rPr>
                <w:rFonts w:ascii="Arial" w:cs="Arial" w:eastAsia="Arial" w:hAnsi="Arial"/>
                <w:sz w:val="13"/>
                <w:szCs w:val="13"/>
                <w:b w:val="1"/>
                <w:bCs w:val="1"/>
                <w:color w:val="FFFFFF"/>
              </w:rPr>
              <w:t>Resignation or</w:t>
            </w:r>
          </w:p>
        </w:tc>
        <w:tc>
          <w:tcPr>
            <w:tcW w:w="100" w:type="dxa"/>
            <w:vAlign w:val="bottom"/>
            <w:tcBorders>
              <w:right w:val="single" w:sz="8" w:color="auto"/>
            </w:tcBorders>
            <w:shd w:val="clear" w:color="auto" w:fill="BA0C2F"/>
          </w:tcPr>
          <w:p>
            <w:pPr>
              <w:spacing w:after="0"/>
              <w:rPr>
                <w:sz w:val="11"/>
                <w:szCs w:val="11"/>
                <w:color w:val="auto"/>
              </w:rPr>
            </w:pPr>
          </w:p>
        </w:tc>
        <w:tc>
          <w:tcPr>
            <w:tcW w:w="80" w:type="dxa"/>
            <w:vAlign w:val="bottom"/>
            <w:shd w:val="clear" w:color="auto" w:fill="BA0C2F"/>
          </w:tcPr>
          <w:p>
            <w:pPr>
              <w:spacing w:after="0"/>
              <w:rPr>
                <w:sz w:val="11"/>
                <w:szCs w:val="11"/>
                <w:color w:val="auto"/>
              </w:rPr>
            </w:pPr>
          </w:p>
        </w:tc>
        <w:tc>
          <w:tcPr>
            <w:tcW w:w="980" w:type="dxa"/>
            <w:vAlign w:val="bottom"/>
            <w:shd w:val="clear" w:color="auto" w:fill="BA0C2F"/>
          </w:tcPr>
          <w:p>
            <w:pPr>
              <w:spacing w:after="0"/>
              <w:rPr>
                <w:sz w:val="11"/>
                <w:szCs w:val="11"/>
                <w:color w:val="auto"/>
              </w:rPr>
            </w:pPr>
          </w:p>
        </w:tc>
        <w:tc>
          <w:tcPr>
            <w:tcW w:w="100" w:type="dxa"/>
            <w:vAlign w:val="bottom"/>
            <w:tcBorders>
              <w:right w:val="single" w:sz="8" w:color="auto"/>
            </w:tcBorders>
            <w:shd w:val="clear" w:color="auto" w:fill="BA0C2F"/>
          </w:tcPr>
          <w:p>
            <w:pPr>
              <w:spacing w:after="0"/>
              <w:rPr>
                <w:sz w:val="11"/>
                <w:szCs w:val="11"/>
                <w:color w:val="auto"/>
              </w:rPr>
            </w:pPr>
          </w:p>
        </w:tc>
        <w:tc>
          <w:tcPr>
            <w:tcW w:w="80" w:type="dxa"/>
            <w:vAlign w:val="bottom"/>
            <w:shd w:val="clear" w:color="auto" w:fill="BA0C2F"/>
          </w:tcPr>
          <w:p>
            <w:pPr>
              <w:spacing w:after="0"/>
              <w:rPr>
                <w:sz w:val="11"/>
                <w:szCs w:val="11"/>
                <w:color w:val="auto"/>
              </w:rPr>
            </w:pPr>
          </w:p>
        </w:tc>
        <w:tc>
          <w:tcPr>
            <w:tcW w:w="980" w:type="dxa"/>
            <w:vAlign w:val="bottom"/>
            <w:shd w:val="clear" w:color="auto" w:fill="BA0C2F"/>
          </w:tcPr>
          <w:p>
            <w:pPr>
              <w:spacing w:after="0"/>
              <w:rPr>
                <w:sz w:val="11"/>
                <w:szCs w:val="11"/>
                <w:color w:val="auto"/>
              </w:rPr>
            </w:pPr>
          </w:p>
        </w:tc>
        <w:tc>
          <w:tcPr>
            <w:tcW w:w="40" w:type="dxa"/>
            <w:vAlign w:val="bottom"/>
            <w:shd w:val="clear" w:color="auto" w:fill="BA0C2F"/>
          </w:tcPr>
          <w:p>
            <w:pPr>
              <w:spacing w:after="0"/>
              <w:rPr>
                <w:sz w:val="11"/>
                <w:szCs w:val="11"/>
                <w:color w:val="auto"/>
              </w:rPr>
            </w:pPr>
          </w:p>
        </w:tc>
        <w:tc>
          <w:tcPr>
            <w:tcW w:w="60" w:type="dxa"/>
            <w:vAlign w:val="bottom"/>
            <w:tcBorders>
              <w:right w:val="single" w:sz="8" w:color="BA0C2F"/>
            </w:tcBorders>
            <w:shd w:val="clear" w:color="auto" w:fill="BA0C2F"/>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60" w:type="dxa"/>
            <w:vAlign w:val="bottom"/>
            <w:shd w:val="clear" w:color="auto" w:fill="BA0C2F"/>
          </w:tcPr>
          <w:p>
            <w:pPr>
              <w:spacing w:after="0"/>
              <w:rPr>
                <w:sz w:val="11"/>
                <w:szCs w:val="11"/>
                <w:color w:val="auto"/>
              </w:rPr>
            </w:pPr>
          </w:p>
        </w:tc>
        <w:tc>
          <w:tcPr>
            <w:tcW w:w="100" w:type="dxa"/>
            <w:vAlign w:val="bottom"/>
            <w:tcBorders>
              <w:right w:val="single" w:sz="8" w:color="auto"/>
            </w:tcBorders>
            <w:shd w:val="clear" w:color="auto" w:fill="BA0C2F"/>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40" w:type="dxa"/>
            <w:vAlign w:val="bottom"/>
            <w:shd w:val="clear" w:color="auto" w:fill="BA0C2F"/>
          </w:tcPr>
          <w:p>
            <w:pPr>
              <w:spacing w:after="0" w:line="135" w:lineRule="exact"/>
              <w:rPr>
                <w:sz w:val="20"/>
                <w:szCs w:val="20"/>
                <w:color w:val="auto"/>
              </w:rPr>
            </w:pPr>
            <w:r>
              <w:rPr>
                <w:rFonts w:ascii="Arial" w:cs="Arial" w:eastAsia="Arial" w:hAnsi="Arial"/>
                <w:sz w:val="13"/>
                <w:szCs w:val="13"/>
                <w:b w:val="1"/>
                <w:bCs w:val="1"/>
                <w:color w:val="FFFFFF"/>
                <w:w w:val="95"/>
              </w:rPr>
              <w:t>Control without</w:t>
            </w:r>
          </w:p>
        </w:tc>
        <w:tc>
          <w:tcPr>
            <w:tcW w:w="140" w:type="dxa"/>
            <w:vAlign w:val="bottom"/>
            <w:tcBorders>
              <w:right w:val="single" w:sz="8" w:color="auto"/>
            </w:tcBorders>
            <w:shd w:val="clear" w:color="auto" w:fill="BA0C2F"/>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5"/>
          </w:tcPr>
          <w:p>
            <w:pPr>
              <w:ind w:left="360"/>
              <w:spacing w:after="0" w:line="135" w:lineRule="exact"/>
              <w:rPr>
                <w:sz w:val="20"/>
                <w:szCs w:val="20"/>
                <w:color w:val="auto"/>
              </w:rPr>
            </w:pPr>
            <w:r>
              <w:rPr>
                <w:rFonts w:ascii="Arial" w:cs="Arial" w:eastAsia="Arial" w:hAnsi="Arial"/>
                <w:sz w:val="13"/>
                <w:szCs w:val="13"/>
                <w:b w:val="1"/>
                <w:bCs w:val="1"/>
                <w:color w:val="FFFFFF"/>
              </w:rPr>
              <w:t>Change in Control with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shd w:val="clear" w:color="auto" w:fill="BA0C2F"/>
          </w:tcPr>
          <w:p>
            <w:pPr>
              <w:spacing w:after="0"/>
              <w:rPr>
                <w:sz w:val="12"/>
                <w:szCs w:val="12"/>
                <w:color w:val="auto"/>
              </w:rPr>
            </w:pPr>
          </w:p>
        </w:tc>
        <w:tc>
          <w:tcPr>
            <w:tcW w:w="96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100" w:type="dxa"/>
            <w:vAlign w:val="bottom"/>
            <w:tcBorders>
              <w:right w:val="single" w:sz="8" w:color="auto"/>
            </w:tcBorders>
            <w:shd w:val="clear" w:color="auto" w:fill="BA0C2F"/>
          </w:tcPr>
          <w:p>
            <w:pPr>
              <w:spacing w:after="0"/>
              <w:rPr>
                <w:sz w:val="12"/>
                <w:szCs w:val="12"/>
                <w:color w:val="auto"/>
              </w:rPr>
            </w:pPr>
          </w:p>
        </w:tc>
        <w:tc>
          <w:tcPr>
            <w:tcW w:w="80" w:type="dxa"/>
            <w:vAlign w:val="bottom"/>
            <w:shd w:val="clear" w:color="auto" w:fill="BA0C2F"/>
          </w:tcPr>
          <w:p>
            <w:pPr>
              <w:spacing w:after="0"/>
              <w:rPr>
                <w:sz w:val="12"/>
                <w:szCs w:val="12"/>
                <w:color w:val="auto"/>
              </w:rPr>
            </w:pPr>
          </w:p>
        </w:tc>
        <w:tc>
          <w:tcPr>
            <w:tcW w:w="980" w:type="dxa"/>
            <w:vAlign w:val="bottom"/>
            <w:shd w:val="clear" w:color="auto" w:fill="BA0C2F"/>
          </w:tcPr>
          <w:p>
            <w:pPr>
              <w:ind w:left="220"/>
              <w:spacing w:after="0"/>
              <w:rPr>
                <w:sz w:val="20"/>
                <w:szCs w:val="20"/>
                <w:color w:val="auto"/>
              </w:rPr>
            </w:pPr>
            <w:r>
              <w:rPr>
                <w:rFonts w:ascii="Arial" w:cs="Arial" w:eastAsia="Arial" w:hAnsi="Arial"/>
                <w:sz w:val="13"/>
                <w:szCs w:val="13"/>
                <w:b w:val="1"/>
                <w:bCs w:val="1"/>
                <w:color w:val="FFFFFF"/>
              </w:rPr>
              <w:t>Death or</w:t>
            </w:r>
          </w:p>
        </w:tc>
        <w:tc>
          <w:tcPr>
            <w:tcW w:w="100" w:type="dxa"/>
            <w:vAlign w:val="bottom"/>
            <w:tcBorders>
              <w:right w:val="single" w:sz="8" w:color="auto"/>
            </w:tcBorders>
            <w:shd w:val="clear" w:color="auto" w:fill="BA0C2F"/>
          </w:tcPr>
          <w:p>
            <w:pPr>
              <w:spacing w:after="0"/>
              <w:rPr>
                <w:sz w:val="12"/>
                <w:szCs w:val="12"/>
                <w:color w:val="auto"/>
              </w:rPr>
            </w:pPr>
          </w:p>
        </w:tc>
        <w:tc>
          <w:tcPr>
            <w:tcW w:w="80" w:type="dxa"/>
            <w:vAlign w:val="bottom"/>
            <w:shd w:val="clear" w:color="auto" w:fill="BA0C2F"/>
          </w:tcPr>
          <w:p>
            <w:pPr>
              <w:spacing w:after="0"/>
              <w:rPr>
                <w:sz w:val="12"/>
                <w:szCs w:val="12"/>
                <w:color w:val="auto"/>
              </w:rPr>
            </w:pPr>
          </w:p>
        </w:tc>
        <w:tc>
          <w:tcPr>
            <w:tcW w:w="2140" w:type="dxa"/>
            <w:vAlign w:val="bottom"/>
            <w:gridSpan w:val="5"/>
            <w:shd w:val="clear" w:color="auto" w:fill="BA0C2F"/>
          </w:tcPr>
          <w:p>
            <w:pPr>
              <w:ind w:left="460"/>
              <w:spacing w:after="0"/>
              <w:rPr>
                <w:sz w:val="20"/>
                <w:szCs w:val="20"/>
                <w:color w:val="auto"/>
              </w:rPr>
            </w:pPr>
            <w:r>
              <w:rPr>
                <w:rFonts w:ascii="Arial" w:cs="Arial" w:eastAsia="Arial" w:hAnsi="Arial"/>
                <w:sz w:val="13"/>
                <w:szCs w:val="13"/>
                <w:b w:val="1"/>
                <w:bCs w:val="1"/>
                <w:color w:val="FFFFFF"/>
              </w:rPr>
              <w:t>Termination without</w:t>
            </w:r>
          </w:p>
        </w:tc>
        <w:tc>
          <w:tcPr>
            <w:tcW w:w="100" w:type="dxa"/>
            <w:vAlign w:val="bottom"/>
            <w:tcBorders>
              <w:right w:val="single" w:sz="8" w:color="auto"/>
            </w:tcBorders>
            <w:shd w:val="clear" w:color="auto" w:fill="BA0C2F"/>
          </w:tcPr>
          <w:p>
            <w:pPr>
              <w:spacing w:after="0"/>
              <w:rPr>
                <w:sz w:val="12"/>
                <w:szCs w:val="12"/>
                <w:color w:val="auto"/>
              </w:rPr>
            </w:pPr>
          </w:p>
        </w:tc>
        <w:tc>
          <w:tcPr>
            <w:tcW w:w="100" w:type="dxa"/>
            <w:vAlign w:val="bottom"/>
            <w:shd w:val="clear" w:color="auto" w:fill="BA0C2F"/>
          </w:tcPr>
          <w:p>
            <w:pPr>
              <w:spacing w:after="0"/>
              <w:rPr>
                <w:sz w:val="12"/>
                <w:szCs w:val="12"/>
                <w:color w:val="auto"/>
              </w:rPr>
            </w:pPr>
          </w:p>
        </w:tc>
        <w:tc>
          <w:tcPr>
            <w:tcW w:w="94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5"/>
              </w:rPr>
              <w:t>Termination of</w:t>
            </w:r>
          </w:p>
        </w:tc>
        <w:tc>
          <w:tcPr>
            <w:tcW w:w="140" w:type="dxa"/>
            <w:vAlign w:val="bottom"/>
            <w:tcBorders>
              <w:right w:val="single" w:sz="8" w:color="auto"/>
            </w:tcBorders>
            <w:shd w:val="clear" w:color="auto" w:fill="BA0C2F"/>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5"/>
          </w:tcPr>
          <w:p>
            <w:pPr>
              <w:ind w:left="240"/>
              <w:spacing w:after="0"/>
              <w:rPr>
                <w:sz w:val="20"/>
                <w:szCs w:val="20"/>
                <w:color w:val="auto"/>
              </w:rPr>
            </w:pPr>
            <w:r>
              <w:rPr>
                <w:rFonts w:ascii="Arial" w:cs="Arial" w:eastAsia="Arial" w:hAnsi="Arial"/>
                <w:sz w:val="13"/>
                <w:szCs w:val="13"/>
                <w:b w:val="1"/>
                <w:bCs w:val="1"/>
                <w:color w:val="FFFFFF"/>
              </w:rPr>
              <w:t>Termination of Employment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1060" w:type="dxa"/>
            <w:vAlign w:val="bottom"/>
          </w:tcPr>
          <w:p>
            <w:pPr>
              <w:jc w:val="center"/>
              <w:ind w:right="277"/>
              <w:spacing w:after="0"/>
              <w:rPr>
                <w:sz w:val="20"/>
                <w:szCs w:val="20"/>
                <w:color w:val="auto"/>
              </w:rPr>
            </w:pPr>
            <w:r>
              <w:rPr>
                <w:rFonts w:ascii="Arial" w:cs="Arial" w:eastAsia="Arial" w:hAnsi="Arial"/>
                <w:sz w:val="13"/>
                <w:szCs w:val="13"/>
                <w:b w:val="1"/>
                <w:bCs w:val="1"/>
                <w:color w:val="FFFFFF"/>
              </w:rPr>
              <w:t>​</w:t>
            </w:r>
          </w:p>
        </w:tc>
        <w:tc>
          <w:tcPr>
            <w:tcW w:w="1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with Cause</w:t>
            </w:r>
          </w:p>
        </w:tc>
        <w:tc>
          <w:tcPr>
            <w:tcW w:w="100" w:type="dxa"/>
            <w:vAlign w:val="bottom"/>
            <w:tcBorders>
              <w:right w:val="single" w:sz="8" w:color="auto"/>
            </w:tcBorders>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BA0C2F"/>
          </w:tcPr>
          <w:p>
            <w:pPr>
              <w:ind w:left="220"/>
              <w:spacing w:after="0"/>
              <w:rPr>
                <w:sz w:val="20"/>
                <w:szCs w:val="20"/>
                <w:color w:val="auto"/>
              </w:rPr>
            </w:pPr>
            <w:r>
              <w:rPr>
                <w:rFonts w:ascii="Arial" w:cs="Arial" w:eastAsia="Arial" w:hAnsi="Arial"/>
                <w:sz w:val="13"/>
                <w:szCs w:val="13"/>
                <w:b w:val="1"/>
                <w:bCs w:val="1"/>
                <w:color w:val="FFFFFF"/>
              </w:rPr>
              <w:t>Disability</w:t>
            </w:r>
          </w:p>
        </w:tc>
        <w:tc>
          <w:tcPr>
            <w:tcW w:w="100" w:type="dxa"/>
            <w:vAlign w:val="bottom"/>
            <w:tcBorders>
              <w:right w:val="single" w:sz="8" w:color="auto"/>
            </w:tcBorders>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2140" w:type="dxa"/>
            <w:vAlign w:val="bottom"/>
            <w:gridSpan w:val="5"/>
            <w:shd w:val="clear" w:color="auto" w:fill="BA0C2F"/>
          </w:tcPr>
          <w:p>
            <w:pPr>
              <w:ind w:left="240"/>
              <w:spacing w:after="0"/>
              <w:rPr>
                <w:sz w:val="20"/>
                <w:szCs w:val="20"/>
                <w:color w:val="auto"/>
              </w:rPr>
            </w:pPr>
            <w:r>
              <w:rPr>
                <w:rFonts w:ascii="Arial" w:cs="Arial" w:eastAsia="Arial" w:hAnsi="Arial"/>
                <w:sz w:val="13"/>
                <w:szCs w:val="13"/>
                <w:b w:val="1"/>
                <w:bCs w:val="1"/>
                <w:color w:val="FFFFFF"/>
              </w:rPr>
              <w:t>Cause or with Good Reason</w:t>
            </w:r>
          </w:p>
        </w:tc>
        <w:tc>
          <w:tcPr>
            <w:tcW w:w="100" w:type="dxa"/>
            <w:vAlign w:val="bottom"/>
            <w:tcBorders>
              <w:right w:val="single" w:sz="8" w:color="auto"/>
            </w:tcBorders>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A0C2F"/>
          </w:tcPr>
          <w:p>
            <w:pPr>
              <w:ind w:left="6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Employments</w:t>
            </w:r>
          </w:p>
        </w:tc>
        <w:tc>
          <w:tcPr>
            <w:tcW w:w="140" w:type="dxa"/>
            <w:vAlign w:val="bottom"/>
            <w:tcBorders>
              <w:right w:val="single" w:sz="8" w:color="auto"/>
            </w:tcBorders>
            <w:shd w:val="clear" w:color="auto" w:fill="BA0C2F"/>
          </w:tcPr>
          <w:p>
            <w:pPr>
              <w:ind w:left="80"/>
              <w:spacing w:after="0"/>
              <w:rPr>
                <w:sz w:val="20"/>
                <w:szCs w:val="20"/>
                <w:color w:val="auto"/>
              </w:rPr>
            </w:pPr>
            <w:r>
              <w:rPr>
                <w:rFonts w:ascii="Arial" w:cs="Arial" w:eastAsia="Arial" w:hAnsi="Arial"/>
                <w:sz w:val="13"/>
                <w:szCs w:val="13"/>
                <w:b w:val="1"/>
                <w:bCs w:val="1"/>
                <w:color w:val="FFFFFF"/>
              </w:rPr>
              <w:t>​</w:t>
            </w:r>
          </w:p>
        </w:tc>
        <w:tc>
          <w:tcPr>
            <w:tcW w:w="2280" w:type="dxa"/>
            <w:vAlign w:val="bottom"/>
            <w:gridSpan w:val="8"/>
          </w:tcPr>
          <w:p>
            <w:pPr>
              <w:jc w:val="right"/>
              <w:spacing w:after="0" w:line="193"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without Cause or for Good Reason </w:t>
            </w:r>
            <w:r>
              <w:rPr>
                <w:rFonts w:ascii="Arial" w:cs="Arial" w:eastAsia="Arial" w:hAnsi="Arial"/>
                <w:sz w:val="22"/>
                <w:szCs w:val="22"/>
                <w:b w:val="1"/>
                <w:bCs w:val="1"/>
                <w:color w:val="FFFFFF"/>
                <w:vertAlign w:val="subscript"/>
              </w:rPr>
              <w:t>​</w:t>
            </w:r>
          </w:p>
        </w:tc>
        <w:tc>
          <w:tcPr>
            <w:tcW w:w="0" w:type="dxa"/>
            <w:vAlign w:val="bottom"/>
          </w:tcPr>
          <w:p>
            <w:pPr>
              <w:spacing w:after="0"/>
              <w:rPr>
                <w:sz w:val="1"/>
                <w:szCs w:val="1"/>
                <w:color w:val="auto"/>
              </w:rPr>
            </w:pPr>
          </w:p>
        </w:tc>
      </w:tr>
      <w:tr>
        <w:trPr>
          <w:trHeight w:val="138"/>
        </w:trPr>
        <w:tc>
          <w:tcPr>
            <w:tcW w:w="1540" w:type="dxa"/>
            <w:vAlign w:val="bottom"/>
            <w:tcBorders>
              <w:top w:val="single" w:sz="8" w:color="666666"/>
              <w:left w:val="single" w:sz="8" w:color="auto"/>
            </w:tcBorders>
            <w:gridSpan w:val="2"/>
          </w:tcPr>
          <w:p>
            <w:pPr>
              <w:ind w:left="380"/>
              <w:spacing w:after="0" w:line="138" w:lineRule="exact"/>
              <w:rPr>
                <w:sz w:val="20"/>
                <w:szCs w:val="20"/>
                <w:color w:val="auto"/>
              </w:rPr>
            </w:pPr>
            <w:r>
              <w:rPr>
                <w:rFonts w:ascii="Arial" w:cs="Arial" w:eastAsia="Arial" w:hAnsi="Arial"/>
                <w:sz w:val="13"/>
                <w:szCs w:val="13"/>
                <w:b w:val="1"/>
                <w:bCs w:val="1"/>
                <w:color w:val="auto"/>
              </w:rPr>
              <w:t>Compensation</w:t>
            </w:r>
          </w:p>
        </w:tc>
        <w:tc>
          <w:tcPr>
            <w:tcW w:w="16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vMerge w:val="restart"/>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0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80" w:type="dxa"/>
            <w:vAlign w:val="bottom"/>
            <w:tcBorders>
              <w:top w:val="single" w:sz="8" w:color="666666"/>
            </w:tcBorders>
            <w:vMerge w:val="restart"/>
          </w:tcPr>
          <w:p>
            <w:pPr>
              <w:ind w:left="220"/>
              <w:spacing w:after="0"/>
              <w:rPr>
                <w:sz w:val="20"/>
                <w:szCs w:val="20"/>
                <w:color w:val="auto"/>
              </w:rPr>
            </w:pPr>
            <w:r>
              <w:rPr>
                <w:rFonts w:ascii="Arial" w:cs="Arial" w:eastAsia="Arial" w:hAnsi="Arial"/>
                <w:sz w:val="13"/>
                <w:szCs w:val="13"/>
                <w:b w:val="1"/>
                <w:bCs w:val="1"/>
                <w:color w:val="auto"/>
              </w:rPr>
              <w:t>All NEOs</w:t>
            </w:r>
          </w:p>
        </w:tc>
        <w:tc>
          <w:tcPr>
            <w:tcW w:w="10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80" w:type="dxa"/>
            <w:vAlign w:val="bottom"/>
            <w:tcBorders>
              <w:top w:val="single" w:sz="8" w:color="666666"/>
            </w:tcBorders>
            <w:vMerge w:val="restart"/>
          </w:tcPr>
          <w:p>
            <w:pPr>
              <w:ind w:left="360"/>
              <w:spacing w:after="0"/>
              <w:rPr>
                <w:sz w:val="20"/>
                <w:szCs w:val="20"/>
                <w:color w:val="auto"/>
              </w:rPr>
            </w:pPr>
            <w:r>
              <w:rPr>
                <w:rFonts w:ascii="Arial" w:cs="Arial" w:eastAsia="Arial" w:hAnsi="Arial"/>
                <w:sz w:val="13"/>
                <w:szCs w:val="13"/>
                <w:b w:val="1"/>
                <w:bCs w:val="1"/>
                <w:color w:val="auto"/>
              </w:rPr>
              <w:t>CEO</w:t>
            </w:r>
          </w:p>
        </w:tc>
        <w:tc>
          <w:tcPr>
            <w:tcW w:w="40" w:type="dxa"/>
            <w:vAlign w:val="bottom"/>
            <w:tcBorders>
              <w:top w:val="single" w:sz="8" w:color="666666"/>
            </w:tcBorders>
          </w:tcPr>
          <w:p>
            <w:pPr>
              <w:spacing w:after="0"/>
              <w:rPr>
                <w:sz w:val="11"/>
                <w:szCs w:val="11"/>
                <w:color w:val="auto"/>
              </w:rPr>
            </w:pPr>
          </w:p>
        </w:tc>
        <w:tc>
          <w:tcPr>
            <w:tcW w:w="6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ind w:left="120"/>
              <w:spacing w:after="0" w:line="138" w:lineRule="exact"/>
              <w:rPr>
                <w:sz w:val="20"/>
                <w:szCs w:val="20"/>
                <w:color w:val="auto"/>
              </w:rPr>
            </w:pPr>
            <w:r>
              <w:rPr>
                <w:rFonts w:ascii="Arial" w:cs="Arial" w:eastAsia="Arial" w:hAnsi="Arial"/>
                <w:sz w:val="13"/>
                <w:szCs w:val="13"/>
                <w:b w:val="1"/>
                <w:bCs w:val="1"/>
                <w:color w:val="auto"/>
              </w:rPr>
              <w:t>NEOs other</w:t>
            </w:r>
          </w:p>
        </w:tc>
        <w:tc>
          <w:tcPr>
            <w:tcW w:w="10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40" w:type="dxa"/>
            <w:vAlign w:val="bottom"/>
            <w:tcBorders>
              <w:top w:val="single" w:sz="8" w:color="666666"/>
            </w:tcBorders>
            <w:vMerge w:val="restart"/>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4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vMerge w:val="restart"/>
          </w:tcPr>
          <w:p>
            <w:pPr>
              <w:ind w:left="360"/>
              <w:spacing w:after="0"/>
              <w:rPr>
                <w:sz w:val="20"/>
                <w:szCs w:val="20"/>
                <w:color w:val="auto"/>
              </w:rPr>
            </w:pPr>
            <w:r>
              <w:rPr>
                <w:rFonts w:ascii="Arial" w:cs="Arial" w:eastAsia="Arial" w:hAnsi="Arial"/>
                <w:sz w:val="13"/>
                <w:szCs w:val="13"/>
                <w:b w:val="1"/>
                <w:bCs w:val="1"/>
                <w:color w:val="auto"/>
              </w:rPr>
              <w:t>CEO</w:t>
            </w:r>
          </w:p>
        </w:tc>
        <w:tc>
          <w:tcPr>
            <w:tcW w:w="60" w:type="dxa"/>
            <w:vAlign w:val="bottom"/>
            <w:tcBorders>
              <w:top w:val="single" w:sz="8" w:color="666666"/>
            </w:tcBorders>
          </w:tcPr>
          <w:p>
            <w:pPr>
              <w:spacing w:after="0"/>
              <w:rPr>
                <w:sz w:val="11"/>
                <w:szCs w:val="11"/>
                <w:color w:val="auto"/>
              </w:rPr>
            </w:pPr>
          </w:p>
        </w:tc>
        <w:tc>
          <w:tcPr>
            <w:tcW w:w="6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ind w:left="140"/>
              <w:spacing w:after="0" w:line="138" w:lineRule="exact"/>
              <w:rPr>
                <w:sz w:val="20"/>
                <w:szCs w:val="20"/>
                <w:color w:val="auto"/>
              </w:rPr>
            </w:pPr>
            <w:r>
              <w:rPr>
                <w:rFonts w:ascii="Arial" w:cs="Arial" w:eastAsia="Arial" w:hAnsi="Arial"/>
                <w:sz w:val="13"/>
                <w:szCs w:val="13"/>
                <w:b w:val="1"/>
                <w:bCs w:val="1"/>
                <w:color w:val="auto"/>
              </w:rPr>
              <w:t>NEOs other</w:t>
            </w:r>
          </w:p>
        </w:tc>
        <w:tc>
          <w:tcPr>
            <w:tcW w:w="60" w:type="dxa"/>
            <w:vAlign w:val="bottom"/>
            <w:tcBorders>
              <w:top w:val="single" w:sz="8" w:color="666666"/>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center"/>
              <w:ind w:right="317"/>
              <w:spacing w:after="0"/>
              <w:rPr>
                <w:sz w:val="20"/>
                <w:szCs w:val="20"/>
                <w:color w:val="auto"/>
              </w:rPr>
            </w:pPr>
            <w:r>
              <w:rPr>
                <w:rFonts w:ascii="Arial" w:cs="Arial" w:eastAsia="Arial" w:hAnsi="Arial"/>
                <w:sz w:val="13"/>
                <w:szCs w:val="13"/>
                <w:b w:val="1"/>
                <w:bCs w:val="1"/>
                <w:color w:val="auto"/>
                <w:w w:val="96"/>
              </w:rPr>
              <w:t>Elements</w:t>
            </w:r>
          </w:p>
        </w:tc>
        <w:tc>
          <w:tcPr>
            <w:tcW w:w="1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vMerge w:val="continue"/>
          </w:tcPr>
          <w:p>
            <w:pPr>
              <w:spacing w:after="0"/>
              <w:rPr>
                <w:sz w:val="14"/>
                <w:szCs w:val="14"/>
                <w:color w:val="auto"/>
              </w:rPr>
            </w:pP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80" w:type="dxa"/>
            <w:vAlign w:val="bottom"/>
            <w:vMerge w:val="continue"/>
          </w:tcPr>
          <w:p>
            <w:pPr>
              <w:spacing w:after="0"/>
              <w:rPr>
                <w:sz w:val="14"/>
                <w:szCs w:val="14"/>
                <w:color w:val="auto"/>
              </w:rPr>
            </w:pP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than CEO</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940" w:type="dxa"/>
            <w:vAlign w:val="bottom"/>
            <w:vMerge w:val="continue"/>
          </w:tcPr>
          <w:p>
            <w:pPr>
              <w:spacing w:after="0"/>
              <w:rPr>
                <w:sz w:val="14"/>
                <w:szCs w:val="14"/>
                <w:color w:val="auto"/>
              </w:rPr>
            </w:pP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than CEO</w:t>
            </w: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1540" w:type="dxa"/>
            <w:vAlign w:val="bottom"/>
            <w:tcBorders>
              <w:top w:val="single" w:sz="8" w:color="666666"/>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Base Salary</w:t>
            </w:r>
          </w:p>
        </w:tc>
        <w:tc>
          <w:tcPr>
            <w:tcW w:w="160" w:type="dxa"/>
            <w:vAlign w:val="bottom"/>
            <w:tcBorders>
              <w:top w:val="single" w:sz="8" w:color="666666"/>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100" w:type="dxa"/>
            <w:vAlign w:val="bottom"/>
            <w:tcBorders>
              <w:top w:val="single" w:sz="8" w:color="666666"/>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100" w:type="dxa"/>
            <w:vAlign w:val="bottom"/>
            <w:tcBorders>
              <w:top w:val="single" w:sz="8" w:color="666666"/>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4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666666"/>
              <w:right w:val="single" w:sz="8" w:color="auto"/>
            </w:tcBorders>
          </w:tcPr>
          <w:p>
            <w:pPr>
              <w:spacing w:after="0"/>
              <w:rPr>
                <w:sz w:val="13"/>
                <w:szCs w:val="13"/>
                <w:color w:val="auto"/>
              </w:rPr>
            </w:pPr>
          </w:p>
        </w:tc>
        <w:tc>
          <w:tcPr>
            <w:tcW w:w="106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100" w:type="dxa"/>
            <w:vAlign w:val="bottom"/>
            <w:tcBorders>
              <w:top w:val="single" w:sz="8" w:color="666666"/>
              <w:right w:val="single" w:sz="8" w:color="auto"/>
            </w:tcBorders>
          </w:tcPr>
          <w:p>
            <w:pPr>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Continues</w:t>
            </w:r>
          </w:p>
        </w:tc>
        <w:tc>
          <w:tcPr>
            <w:tcW w:w="140" w:type="dxa"/>
            <w:vAlign w:val="bottom"/>
            <w:tcBorders>
              <w:top w:val="single" w:sz="8" w:color="666666"/>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666666"/>
              <w:right w:val="single" w:sz="8" w:color="auto"/>
            </w:tcBorders>
          </w:tcPr>
          <w:p>
            <w:pPr>
              <w:spacing w:after="0"/>
              <w:rPr>
                <w:sz w:val="13"/>
                <w:szCs w:val="13"/>
                <w:color w:val="auto"/>
              </w:rPr>
            </w:pPr>
          </w:p>
        </w:tc>
        <w:tc>
          <w:tcPr>
            <w:tcW w:w="104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rPr>
              <w:t>​ Paid through</w:t>
            </w:r>
          </w:p>
        </w:tc>
        <w:tc>
          <w:tcPr>
            <w:tcW w:w="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 w:type="dxa"/>
            <w:vAlign w:val="bottom"/>
            <w:tcBorders>
              <w:lef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date of</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date of</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date of</w:t>
            </w: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date of</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date of</w:t>
            </w: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date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666666"/>
            </w:tcBorders>
          </w:tcPr>
          <w:p>
            <w:pPr>
              <w:spacing w:after="0"/>
              <w:rPr>
                <w:sz w:val="17"/>
                <w:szCs w:val="17"/>
                <w:color w:val="auto"/>
              </w:rPr>
            </w:pPr>
          </w:p>
        </w:tc>
        <w:tc>
          <w:tcPr>
            <w:tcW w:w="1060" w:type="dxa"/>
            <w:vAlign w:val="bottom"/>
            <w:tcBorders>
              <w:bottom w:val="single" w:sz="8" w:color="666666"/>
            </w:tcBorders>
          </w:tcPr>
          <w:p>
            <w:pPr>
              <w:spacing w:after="0"/>
              <w:rPr>
                <w:sz w:val="17"/>
                <w:szCs w:val="17"/>
                <w:color w:val="auto"/>
              </w:rPr>
            </w:pPr>
          </w:p>
        </w:tc>
        <w:tc>
          <w:tcPr>
            <w:tcW w:w="1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termination</w:t>
            </w:r>
            <w:r>
              <w:rPr>
                <w:rFonts w:ascii="Arial" w:cs="Arial" w:eastAsia="Arial" w:hAnsi="Arial"/>
                <w:sz w:val="16"/>
                <w:szCs w:val="16"/>
                <w:color w:val="auto"/>
                <w:vertAlign w:val="superscript"/>
              </w:rPr>
              <w:t>(1)</w:t>
            </w: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r>
              <w:rPr>
                <w:rFonts w:ascii="Arial" w:cs="Arial" w:eastAsia="Arial" w:hAnsi="Arial"/>
                <w:sz w:val="16"/>
                <w:szCs w:val="16"/>
                <w:color w:val="auto"/>
                <w:vertAlign w:val="superscript"/>
              </w:rPr>
              <w:t>(1)</w:t>
            </w: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4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termination</w:t>
            </w:r>
          </w:p>
        </w:tc>
        <w:tc>
          <w:tcPr>
            <w:tcW w:w="10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40" w:type="dxa"/>
            <w:vAlign w:val="bottom"/>
            <w:tcBorders>
              <w:bottom w:val="single" w:sz="8" w:color="666666"/>
            </w:tcBorders>
          </w:tcPr>
          <w:p>
            <w:pPr>
              <w:spacing w:after="0"/>
              <w:rPr>
                <w:sz w:val="17"/>
                <w:szCs w:val="17"/>
                <w:color w:val="auto"/>
              </w:rPr>
            </w:pPr>
          </w:p>
        </w:tc>
        <w:tc>
          <w:tcPr>
            <w:tcW w:w="14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Borders>
              <w:bottom w:val="single" w:sz="8" w:color="66666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Cash Severance</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line="151" w:lineRule="exact"/>
              <w:rPr>
                <w:sz w:val="20"/>
                <w:szCs w:val="20"/>
                <w:color w:val="auto"/>
              </w:rPr>
            </w:pPr>
            <w:r>
              <w:rPr>
                <w:rFonts w:ascii="Arial" w:cs="Arial" w:eastAsia="Arial" w:hAnsi="Arial"/>
                <w:sz w:val="13"/>
                <w:szCs w:val="13"/>
                <w:color w:val="auto"/>
              </w:rPr>
              <w:t>​ Forfeited</w:t>
            </w:r>
            <w:r>
              <w:rPr>
                <w:rFonts w:ascii="Arial" w:cs="Arial" w:eastAsia="Arial" w:hAnsi="Arial"/>
                <w:sz w:val="16"/>
                <w:szCs w:val="16"/>
                <w:color w:val="auto"/>
                <w:vertAlign w:val="superscript"/>
              </w:rPr>
              <w:t>(1)</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line="151" w:lineRule="exact"/>
              <w:rPr>
                <w:sz w:val="20"/>
                <w:szCs w:val="20"/>
                <w:color w:val="auto"/>
              </w:rPr>
            </w:pPr>
            <w:r>
              <w:rPr>
                <w:rFonts w:ascii="Arial" w:cs="Arial" w:eastAsia="Arial" w:hAnsi="Arial"/>
                <w:sz w:val="13"/>
                <w:szCs w:val="13"/>
                <w:color w:val="auto"/>
              </w:rPr>
              <w:t>​ None</w:t>
            </w:r>
            <w:r>
              <w:rPr>
                <w:rFonts w:ascii="Arial" w:cs="Arial" w:eastAsia="Arial" w:hAnsi="Arial"/>
                <w:sz w:val="16"/>
                <w:szCs w:val="16"/>
                <w:color w:val="auto"/>
                <w:vertAlign w:val="superscript"/>
              </w:rPr>
              <w:t>(1)</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gridSpan w:val="3"/>
          </w:tcPr>
          <w:p>
            <w:pPr>
              <w:spacing w:after="0"/>
              <w:rPr>
                <w:sz w:val="20"/>
                <w:szCs w:val="20"/>
                <w:color w:val="auto"/>
              </w:rPr>
            </w:pPr>
            <w:r>
              <w:rPr>
                <w:rFonts w:ascii="Arial" w:cs="Arial" w:eastAsia="Arial" w:hAnsi="Arial"/>
                <w:sz w:val="13"/>
                <w:szCs w:val="13"/>
                <w:color w:val="auto"/>
              </w:rPr>
              <w:t>​ (a) 1.5x the sum ​</w:t>
            </w:r>
          </w:p>
        </w:tc>
        <w:tc>
          <w:tcPr>
            <w:tcW w:w="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 (a) 1.0x the sum ​</w:t>
            </w:r>
          </w:p>
        </w:tc>
        <w:tc>
          <w:tcPr>
            <w:tcW w:w="1040" w:type="dxa"/>
            <w:vAlign w:val="bottom"/>
            <w:gridSpan w:val="2"/>
          </w:tcPr>
          <w:p>
            <w:pPr>
              <w:spacing w:after="0"/>
              <w:rPr>
                <w:sz w:val="20"/>
                <w:szCs w:val="20"/>
                <w:color w:val="auto"/>
              </w:rPr>
            </w:pPr>
            <w:r>
              <w:rPr>
                <w:rFonts w:ascii="Arial" w:cs="Arial" w:eastAsia="Arial" w:hAnsi="Arial"/>
                <w:sz w:val="13"/>
                <w:szCs w:val="13"/>
                <w:color w:val="auto"/>
              </w:rPr>
              <w:t>​ None</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3"/>
          </w:tcPr>
          <w:p>
            <w:pPr>
              <w:spacing w:after="0"/>
              <w:rPr>
                <w:sz w:val="20"/>
                <w:szCs w:val="20"/>
                <w:color w:val="auto"/>
              </w:rPr>
            </w:pPr>
            <w:r>
              <w:rPr>
                <w:rFonts w:ascii="Arial" w:cs="Arial" w:eastAsia="Arial" w:hAnsi="Arial"/>
                <w:sz w:val="13"/>
                <w:szCs w:val="13"/>
                <w:color w:val="auto"/>
              </w:rPr>
              <w:t>​ (a) 2.5x the sum ​</w:t>
            </w:r>
          </w:p>
        </w:tc>
        <w:tc>
          <w:tcPr>
            <w:tcW w:w="60" w:type="dxa"/>
            <w:vAlign w:val="bottom"/>
            <w:tcBorders>
              <w:right w:val="single" w:sz="8" w:color="auto"/>
            </w:tcBorders>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color w:val="auto"/>
              </w:rPr>
              <w:t>​ (a) 2.0x (1.0x for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of the Base</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of the Base</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of the Base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Mr. Mills) the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Salary plus</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Salary plus</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Salary plus</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7"/>
              </w:rPr>
              <w:t>sum of the Base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8"/>
              </w:rPr>
              <w:t>Annual Bonus at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8"/>
              </w:rPr>
              <w:t>Annual Bonus at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Annual Bonus at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Salary plus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target; and</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target; and</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target; and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Annual Bonus at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(b) the target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(b) the target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 the target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target; 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Annual Bonus</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Annual Bonus</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Annual Bonus</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 the target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for the current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for the current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for the current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Annual Bonus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fiscal year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for the current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prorated for the</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prorated for the</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prorated for the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number of days</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number of days</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number of days</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prorated for the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in the current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in the current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in the current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number of days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fiscal year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in the current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through the</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through the</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through the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fiscal year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 w:type="dxa"/>
            <w:vAlign w:val="bottom"/>
            <w:tcBorders>
              <w:lef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termination date</w:t>
            </w: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termination date</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through the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line="162" w:lineRule="exact"/>
              <w:rPr>
                <w:sz w:val="20"/>
                <w:szCs w:val="20"/>
                <w:color w:val="auto"/>
              </w:rPr>
            </w:pPr>
            <w:r>
              <w:rPr>
                <w:rFonts w:ascii="Arial" w:cs="Arial" w:eastAsia="Arial" w:hAnsi="Arial"/>
                <w:sz w:val="13"/>
                <w:szCs w:val="13"/>
                <w:color w:val="auto"/>
              </w:rPr>
              <w:t>date</w:t>
            </w:r>
            <w:r>
              <w:rPr>
                <w:rFonts w:ascii="Arial" w:cs="Arial" w:eastAsia="Arial" w:hAnsi="Arial"/>
                <w:sz w:val="16"/>
                <w:szCs w:val="16"/>
                <w:color w:val="auto"/>
                <w:vertAlign w:val="superscript"/>
              </w:rPr>
              <w:t>(2)</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666666"/>
            </w:tcBorders>
          </w:tcPr>
          <w:p>
            <w:pPr>
              <w:spacing w:after="0"/>
              <w:rPr>
                <w:sz w:val="17"/>
                <w:szCs w:val="17"/>
                <w:color w:val="auto"/>
              </w:rPr>
            </w:pPr>
          </w:p>
        </w:tc>
        <w:tc>
          <w:tcPr>
            <w:tcW w:w="1060" w:type="dxa"/>
            <w:vAlign w:val="bottom"/>
            <w:tcBorders>
              <w:bottom w:val="single" w:sz="8" w:color="666666"/>
            </w:tcBorders>
          </w:tcPr>
          <w:p>
            <w:pPr>
              <w:spacing w:after="0"/>
              <w:rPr>
                <w:sz w:val="17"/>
                <w:szCs w:val="17"/>
                <w:color w:val="auto"/>
              </w:rPr>
            </w:pPr>
          </w:p>
        </w:tc>
        <w:tc>
          <w:tcPr>
            <w:tcW w:w="1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spacing w:after="0"/>
              <w:rPr>
                <w:sz w:val="17"/>
                <w:szCs w:val="17"/>
                <w:color w:val="auto"/>
              </w:rPr>
            </w:pP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spacing w:after="0"/>
              <w:rPr>
                <w:sz w:val="17"/>
                <w:szCs w:val="17"/>
                <w:color w:val="auto"/>
              </w:rPr>
            </w:pPr>
          </w:p>
        </w:tc>
        <w:tc>
          <w:tcPr>
            <w:tcW w:w="4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10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40" w:type="dxa"/>
            <w:vAlign w:val="bottom"/>
            <w:tcBorders>
              <w:bottom w:val="single" w:sz="8" w:color="666666"/>
            </w:tcBorders>
          </w:tcPr>
          <w:p>
            <w:pPr>
              <w:spacing w:after="0"/>
              <w:rPr>
                <w:sz w:val="17"/>
                <w:szCs w:val="17"/>
                <w:color w:val="auto"/>
              </w:rPr>
            </w:pPr>
          </w:p>
        </w:tc>
        <w:tc>
          <w:tcPr>
            <w:tcW w:w="14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17"/>
                <w:szCs w:val="17"/>
                <w:color w:val="auto"/>
              </w:rPr>
            </w:pPr>
          </w:p>
        </w:tc>
        <w:tc>
          <w:tcPr>
            <w:tcW w:w="6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date</w:t>
            </w:r>
            <w:r>
              <w:rPr>
                <w:rFonts w:ascii="Arial" w:cs="Arial" w:eastAsia="Arial" w:hAnsi="Arial"/>
                <w:sz w:val="16"/>
                <w:szCs w:val="16"/>
                <w:color w:val="auto"/>
                <w:vertAlign w:val="superscript"/>
              </w:rPr>
              <w:t>(2)</w:t>
            </w:r>
          </w:p>
        </w:tc>
        <w:tc>
          <w:tcPr>
            <w:tcW w:w="60" w:type="dxa"/>
            <w:vAlign w:val="bottom"/>
            <w:tcBorders>
              <w:bottom w:val="single" w:sz="8" w:color="66666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2021 STI Plan — Annual</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tcPr>
          <w:p>
            <w:pPr>
              <w:ind w:left="20"/>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tcPr>
          <w:p>
            <w:pPr>
              <w:ind w:left="20"/>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20"/>
                <w:szCs w:val="20"/>
                <w:color w:val="auto"/>
              </w:rPr>
            </w:pPr>
            <w:r>
              <w:rPr>
                <w:rFonts w:ascii="Arial" w:cs="Arial" w:eastAsia="Arial" w:hAnsi="Arial"/>
                <w:sz w:val="13"/>
                <w:szCs w:val="13"/>
                <w:color w:val="auto"/>
              </w:rPr>
              <w:t>Continues</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ind w:left="20"/>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ind w:left="20"/>
              <w:spacing w:after="0" w:line="151" w:lineRule="exact"/>
              <w:rPr>
                <w:sz w:val="20"/>
                <w:szCs w:val="20"/>
                <w:color w:val="auto"/>
              </w:rPr>
            </w:pPr>
            <w:r>
              <w:rPr>
                <w:rFonts w:ascii="Arial" w:cs="Arial" w:eastAsia="Arial" w:hAnsi="Arial"/>
                <w:sz w:val="13"/>
                <w:szCs w:val="13"/>
                <w:color w:val="auto"/>
              </w:rPr>
              <w:t>Forfeited</w:t>
            </w:r>
            <w:r>
              <w:rPr>
                <w:rFonts w:ascii="Arial" w:cs="Arial" w:eastAsia="Arial" w:hAnsi="Arial"/>
                <w:sz w:val="16"/>
                <w:szCs w:val="16"/>
                <w:color w:val="auto"/>
                <w:vertAlign w:val="superscript"/>
              </w:rPr>
              <w:t>(3)</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Cash Incentive</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40" w:type="dxa"/>
            <w:vAlign w:val="bottom"/>
            <w:tcBorders>
              <w:left w:val="single" w:sz="8" w:color="auto"/>
              <w:bottom w:val="single" w:sz="8" w:color="666666"/>
            </w:tcBorders>
            <w:gridSpan w:val="2"/>
          </w:tcPr>
          <w:p>
            <w:pPr>
              <w:ind w:left="60"/>
              <w:spacing w:after="0"/>
              <w:rPr>
                <w:sz w:val="20"/>
                <w:szCs w:val="20"/>
                <w:color w:val="auto"/>
              </w:rPr>
            </w:pPr>
            <w:r>
              <w:rPr>
                <w:rFonts w:ascii="Arial" w:cs="Arial" w:eastAsia="Arial" w:hAnsi="Arial"/>
                <w:sz w:val="13"/>
                <w:szCs w:val="13"/>
                <w:b w:val="1"/>
                <w:bCs w:val="1"/>
                <w:color w:val="auto"/>
              </w:rPr>
              <w:t>Compensation</w:t>
            </w:r>
          </w:p>
        </w:tc>
        <w:tc>
          <w:tcPr>
            <w:tcW w:w="1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Awards under 2020</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Continues</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 Any portion of</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ind w:left="60"/>
              <w:spacing w:after="0"/>
              <w:rPr>
                <w:sz w:val="20"/>
                <w:szCs w:val="20"/>
                <w:color w:val="auto"/>
              </w:rPr>
            </w:pPr>
            <w:r>
              <w:rPr>
                <w:rFonts w:ascii="Arial" w:cs="Arial" w:eastAsia="Arial" w:hAnsi="Arial"/>
                <w:sz w:val="13"/>
                <w:szCs w:val="13"/>
                <w:b w:val="1"/>
                <w:bCs w:val="1"/>
                <w:color w:val="auto"/>
              </w:rPr>
              <w:t>LTCIP</w:t>
            </w: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the Cash Award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the Cash Award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the Cash Award</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the Cash Award</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9"/>
              </w:rPr>
              <w:t>the Cash Award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9"/>
              </w:rPr>
              <w:t>the Cash Award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5"/>
              </w:rPr>
              <w:t>that is vested but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5"/>
              </w:rPr>
              <w:t>that is vested but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5"/>
              </w:rPr>
              <w:t>that is vested but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5"/>
              </w:rPr>
              <w:t>that is vested but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3"/>
              </w:rPr>
              <w:t>that is vested but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3"/>
              </w:rPr>
              <w:t>that is vested but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4"/>
              </w:rPr>
              <w:t>not yet paid as of</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4"/>
              </w:rPr>
              <w:t>not yet paid as of</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4"/>
              </w:rPr>
              <w:t>not yet paid as of</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4"/>
              </w:rPr>
              <w:t>not yet paid as of</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2"/>
              </w:rPr>
              <w:t>not yet paid as of</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2"/>
              </w:rPr>
              <w:t>not yet paid as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 w:type="dxa"/>
            <w:vAlign w:val="bottom"/>
            <w:tcBorders>
              <w:lef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the date of</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the date of</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the date of</w:t>
            </w: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the date of</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the date of</w:t>
            </w: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the date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bottom w:val="single" w:sz="8" w:color="666666"/>
            </w:tcBorders>
          </w:tcPr>
          <w:p>
            <w:pPr>
              <w:spacing w:after="0"/>
              <w:rPr>
                <w:sz w:val="17"/>
                <w:szCs w:val="17"/>
                <w:color w:val="auto"/>
              </w:rPr>
            </w:pPr>
          </w:p>
        </w:tc>
        <w:tc>
          <w:tcPr>
            <w:tcW w:w="1060" w:type="dxa"/>
            <w:vAlign w:val="bottom"/>
            <w:tcBorders>
              <w:bottom w:val="single" w:sz="8" w:color="666666"/>
            </w:tcBorders>
          </w:tcPr>
          <w:p>
            <w:pPr>
              <w:spacing w:after="0"/>
              <w:rPr>
                <w:sz w:val="17"/>
                <w:szCs w:val="17"/>
                <w:color w:val="auto"/>
              </w:rPr>
            </w:pPr>
          </w:p>
        </w:tc>
        <w:tc>
          <w:tcPr>
            <w:tcW w:w="1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termination</w:t>
            </w:r>
            <w:r>
              <w:rPr>
                <w:rFonts w:ascii="Arial" w:cs="Arial" w:eastAsia="Arial" w:hAnsi="Arial"/>
                <w:sz w:val="16"/>
                <w:szCs w:val="16"/>
                <w:color w:val="auto"/>
                <w:vertAlign w:val="superscript"/>
              </w:rPr>
              <w:t>(4)</w:t>
            </w: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10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4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termination</w:t>
            </w:r>
          </w:p>
        </w:tc>
        <w:tc>
          <w:tcPr>
            <w:tcW w:w="100" w:type="dxa"/>
            <w:vAlign w:val="bottom"/>
            <w:tcBorders>
              <w:bottom w:val="single" w:sz="8" w:color="666666"/>
              <w:right w:val="single" w:sz="8" w:color="auto"/>
            </w:tcBorders>
          </w:tcPr>
          <w:p>
            <w:pPr>
              <w:spacing w:after="0"/>
              <w:rPr>
                <w:sz w:val="17"/>
                <w:szCs w:val="17"/>
                <w:color w:val="auto"/>
              </w:rPr>
            </w:pPr>
          </w:p>
        </w:tc>
        <w:tc>
          <w:tcPr>
            <w:tcW w:w="100" w:type="dxa"/>
            <w:vAlign w:val="bottom"/>
            <w:tcBorders>
              <w:bottom w:val="single" w:sz="8" w:color="666666"/>
            </w:tcBorders>
          </w:tcPr>
          <w:p>
            <w:pPr>
              <w:spacing w:after="0"/>
              <w:rPr>
                <w:sz w:val="17"/>
                <w:szCs w:val="17"/>
                <w:color w:val="auto"/>
              </w:rPr>
            </w:pPr>
          </w:p>
        </w:tc>
        <w:tc>
          <w:tcPr>
            <w:tcW w:w="940" w:type="dxa"/>
            <w:vAlign w:val="bottom"/>
            <w:tcBorders>
              <w:bottom w:val="single" w:sz="8" w:color="666666"/>
            </w:tcBorders>
          </w:tcPr>
          <w:p>
            <w:pPr>
              <w:spacing w:after="0"/>
              <w:rPr>
                <w:sz w:val="17"/>
                <w:szCs w:val="17"/>
                <w:color w:val="auto"/>
              </w:rPr>
            </w:pPr>
          </w:p>
        </w:tc>
        <w:tc>
          <w:tcPr>
            <w:tcW w:w="14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Borders>
              <w:bottom w:val="single" w:sz="8" w:color="666666"/>
            </w:tcBorders>
          </w:tcPr>
          <w:p>
            <w:pPr>
              <w:spacing w:after="0"/>
              <w:rPr>
                <w:sz w:val="17"/>
                <w:szCs w:val="17"/>
                <w:color w:val="auto"/>
              </w:rPr>
            </w:pPr>
          </w:p>
        </w:tc>
        <w:tc>
          <w:tcPr>
            <w:tcW w:w="60" w:type="dxa"/>
            <w:vAlign w:val="bottom"/>
            <w:tcBorders>
              <w:bottom w:val="single" w:sz="8" w:color="666666"/>
              <w:right w:val="single" w:sz="8" w:color="auto"/>
            </w:tcBorders>
          </w:tcPr>
          <w:p>
            <w:pPr>
              <w:spacing w:after="0"/>
              <w:rPr>
                <w:sz w:val="17"/>
                <w:szCs w:val="17"/>
                <w:color w:val="auto"/>
              </w:rPr>
            </w:pPr>
          </w:p>
        </w:tc>
        <w:tc>
          <w:tcPr>
            <w:tcW w:w="80" w:type="dxa"/>
            <w:vAlign w:val="bottom"/>
            <w:tcBorders>
              <w:bottom w:val="single" w:sz="8" w:color="666666"/>
            </w:tcBorders>
          </w:tcPr>
          <w:p>
            <w:pPr>
              <w:spacing w:after="0"/>
              <w:rPr>
                <w:sz w:val="17"/>
                <w:szCs w:val="17"/>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termination</w:t>
            </w:r>
          </w:p>
        </w:tc>
        <w:tc>
          <w:tcPr>
            <w:tcW w:w="60" w:type="dxa"/>
            <w:vAlign w:val="bottom"/>
            <w:tcBorders>
              <w:bottom w:val="single" w:sz="8" w:color="66666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RSUs</w:t>
            </w:r>
          </w:p>
        </w:tc>
        <w:tc>
          <w:tcPr>
            <w:tcW w:w="1060" w:type="dxa"/>
            <w:vAlign w:val="bottom"/>
          </w:tcPr>
          <w:p>
            <w:pPr>
              <w:spacing w:after="0"/>
              <w:rPr>
                <w:sz w:val="13"/>
                <w:szCs w:val="13"/>
                <w:color w:val="auto"/>
              </w:rPr>
            </w:pP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Forfeited</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gridSpan w:val="3"/>
          </w:tcPr>
          <w:p>
            <w:pPr>
              <w:spacing w:after="0"/>
              <w:rPr>
                <w:sz w:val="20"/>
                <w:szCs w:val="20"/>
                <w:color w:val="auto"/>
              </w:rPr>
            </w:pPr>
            <w:r>
              <w:rPr>
                <w:rFonts w:ascii="Arial" w:cs="Arial" w:eastAsia="Arial" w:hAnsi="Arial"/>
                <w:sz w:val="13"/>
                <w:szCs w:val="13"/>
                <w:color w:val="auto"/>
              </w:rPr>
              <w:t>​ Pro-rated vesting​</w:t>
            </w:r>
          </w:p>
        </w:tc>
        <w:tc>
          <w:tcPr>
            <w:tcW w:w="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 Pro-rated vesting​</w:t>
            </w:r>
          </w:p>
        </w:tc>
        <w:tc>
          <w:tcPr>
            <w:tcW w:w="1040" w:type="dxa"/>
            <w:vAlign w:val="bottom"/>
            <w:gridSpan w:val="2"/>
          </w:tcPr>
          <w:p>
            <w:pPr>
              <w:spacing w:after="0"/>
              <w:rPr>
                <w:sz w:val="20"/>
                <w:szCs w:val="20"/>
                <w:color w:val="auto"/>
              </w:rPr>
            </w:pPr>
            <w:r>
              <w:rPr>
                <w:rFonts w:ascii="Arial" w:cs="Arial" w:eastAsia="Arial" w:hAnsi="Arial"/>
                <w:sz w:val="13"/>
                <w:szCs w:val="13"/>
                <w:color w:val="auto"/>
              </w:rPr>
              <w:t>​ No accelerated</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8"/>
              </w:rPr>
              <w:t>acceleration and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8"/>
              </w:rPr>
              <w:t>of next unvested</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8"/>
              </w:rPr>
              <w:t>of next unvested</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vesting</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acceleration and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acceleration 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bottom w:val="single" w:sz="8" w:color="666666"/>
            </w:tcBorders>
          </w:tcPr>
          <w:p>
            <w:pPr>
              <w:spacing w:after="0"/>
              <w:rPr>
                <w:sz w:val="15"/>
                <w:szCs w:val="15"/>
                <w:color w:val="auto"/>
              </w:rPr>
            </w:pPr>
          </w:p>
        </w:tc>
        <w:tc>
          <w:tcPr>
            <w:tcW w:w="1060" w:type="dxa"/>
            <w:vAlign w:val="bottom"/>
            <w:tcBorders>
              <w:bottom w:val="single" w:sz="8" w:color="666666"/>
            </w:tcBorders>
          </w:tcPr>
          <w:p>
            <w:pPr>
              <w:spacing w:after="0"/>
              <w:rPr>
                <w:sz w:val="15"/>
                <w:szCs w:val="15"/>
                <w:color w:val="auto"/>
              </w:rPr>
            </w:pPr>
          </w:p>
        </w:tc>
        <w:tc>
          <w:tcPr>
            <w:tcW w:w="1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tranche</w:t>
            </w:r>
          </w:p>
        </w:tc>
        <w:tc>
          <w:tcPr>
            <w:tcW w:w="4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tranche</w:t>
            </w:r>
          </w:p>
        </w:tc>
        <w:tc>
          <w:tcPr>
            <w:tcW w:w="10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PSUs</w:t>
            </w:r>
          </w:p>
        </w:tc>
        <w:tc>
          <w:tcPr>
            <w:tcW w:w="1060" w:type="dxa"/>
            <w:vAlign w:val="bottom"/>
          </w:tcPr>
          <w:p>
            <w:pPr>
              <w:spacing w:after="0"/>
              <w:rPr>
                <w:sz w:val="13"/>
                <w:szCs w:val="13"/>
                <w:color w:val="auto"/>
              </w:rPr>
            </w:pP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Forfeited</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Vests at end of</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gridSpan w:val="3"/>
          </w:tcPr>
          <w:p>
            <w:pPr>
              <w:spacing w:after="0"/>
              <w:rPr>
                <w:sz w:val="20"/>
                <w:szCs w:val="20"/>
                <w:color w:val="auto"/>
              </w:rPr>
            </w:pPr>
            <w:r>
              <w:rPr>
                <w:rFonts w:ascii="Arial" w:cs="Arial" w:eastAsia="Arial" w:hAnsi="Arial"/>
                <w:sz w:val="13"/>
                <w:szCs w:val="13"/>
                <w:color w:val="auto"/>
              </w:rPr>
              <w:t>​ Pro-rated vesting​</w:t>
            </w:r>
          </w:p>
        </w:tc>
        <w:tc>
          <w:tcPr>
            <w:tcW w:w="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 Pro-rated vesting​</w:t>
            </w:r>
          </w:p>
        </w:tc>
        <w:tc>
          <w:tcPr>
            <w:tcW w:w="1040" w:type="dxa"/>
            <w:vAlign w:val="bottom"/>
            <w:gridSpan w:val="2"/>
          </w:tcPr>
          <w:p>
            <w:pPr>
              <w:spacing w:after="0"/>
              <w:rPr>
                <w:sz w:val="20"/>
                <w:szCs w:val="20"/>
                <w:color w:val="auto"/>
              </w:rPr>
            </w:pPr>
            <w:r>
              <w:rPr>
                <w:rFonts w:ascii="Arial" w:cs="Arial" w:eastAsia="Arial" w:hAnsi="Arial"/>
                <w:sz w:val="13"/>
                <w:szCs w:val="13"/>
                <w:color w:val="auto"/>
              </w:rPr>
              <w:t>​ No accelerated</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Earned and</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 Earned and</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based on actual</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based on actual</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vesting</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vested based on</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vested based 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period based on</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performance at</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performance at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actual</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actual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actual</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the end of the</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the end of the</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performance</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7"/>
              </w:rPr>
              <w:t>through the date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7"/>
              </w:rPr>
              <w:t>through the date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period</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period</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of termination;</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of 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discretion</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bottom w:val="single" w:sz="8" w:color="666666"/>
            </w:tcBorders>
          </w:tcPr>
          <w:p>
            <w:pPr>
              <w:spacing w:after="0"/>
              <w:rPr>
                <w:sz w:val="15"/>
                <w:szCs w:val="15"/>
                <w:color w:val="auto"/>
              </w:rPr>
            </w:pPr>
          </w:p>
        </w:tc>
        <w:tc>
          <w:tcPr>
            <w:tcW w:w="1060" w:type="dxa"/>
            <w:vAlign w:val="bottom"/>
            <w:tcBorders>
              <w:bottom w:val="single" w:sz="8" w:color="666666"/>
            </w:tcBorders>
          </w:tcPr>
          <w:p>
            <w:pPr>
              <w:spacing w:after="0"/>
              <w:rPr>
                <w:sz w:val="15"/>
                <w:szCs w:val="15"/>
                <w:color w:val="auto"/>
              </w:rPr>
            </w:pPr>
          </w:p>
        </w:tc>
        <w:tc>
          <w:tcPr>
            <w:tcW w:w="1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discretion</w:t>
            </w: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discretion</w:t>
            </w: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4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Phantom RSUs</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Forfeited</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gridSpan w:val="3"/>
          </w:tcPr>
          <w:p>
            <w:pPr>
              <w:spacing w:after="0"/>
              <w:rPr>
                <w:sz w:val="20"/>
                <w:szCs w:val="20"/>
                <w:color w:val="auto"/>
              </w:rPr>
            </w:pPr>
            <w:r>
              <w:rPr>
                <w:rFonts w:ascii="Arial" w:cs="Arial" w:eastAsia="Arial" w:hAnsi="Arial"/>
                <w:sz w:val="13"/>
                <w:szCs w:val="13"/>
                <w:color w:val="auto"/>
              </w:rPr>
              <w:t>​ Pro-rated vesting​</w:t>
            </w:r>
          </w:p>
        </w:tc>
        <w:tc>
          <w:tcPr>
            <w:tcW w:w="6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 Pro-rated vesting​</w:t>
            </w:r>
          </w:p>
        </w:tc>
        <w:tc>
          <w:tcPr>
            <w:tcW w:w="1040" w:type="dxa"/>
            <w:vAlign w:val="bottom"/>
            <w:gridSpan w:val="2"/>
          </w:tcPr>
          <w:p>
            <w:pPr>
              <w:spacing w:after="0"/>
              <w:rPr>
                <w:sz w:val="20"/>
                <w:szCs w:val="20"/>
                <w:color w:val="auto"/>
              </w:rPr>
            </w:pPr>
            <w:r>
              <w:rPr>
                <w:rFonts w:ascii="Arial" w:cs="Arial" w:eastAsia="Arial" w:hAnsi="Arial"/>
                <w:sz w:val="13"/>
                <w:szCs w:val="13"/>
                <w:color w:val="auto"/>
              </w:rPr>
              <w:t>​ No accelerated</w:t>
            </w:r>
          </w:p>
        </w:tc>
        <w:tc>
          <w:tcPr>
            <w:tcW w:w="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 Immediate</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8"/>
              </w:rPr>
              <w:t>acceleration and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w w:val="98"/>
              </w:rPr>
              <w:t>of next unvested</w:t>
            </w:r>
          </w:p>
        </w:tc>
        <w:tc>
          <w:tcPr>
            <w:tcW w:w="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8"/>
              </w:rPr>
              <w:t>of next unvested</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vesting</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acceleration and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acceleration 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bottom w:val="single" w:sz="8" w:color="666666"/>
            </w:tcBorders>
          </w:tcPr>
          <w:p>
            <w:pPr>
              <w:spacing w:after="0"/>
              <w:rPr>
                <w:sz w:val="15"/>
                <w:szCs w:val="15"/>
                <w:color w:val="auto"/>
              </w:rPr>
            </w:pPr>
          </w:p>
        </w:tc>
        <w:tc>
          <w:tcPr>
            <w:tcW w:w="1060" w:type="dxa"/>
            <w:vAlign w:val="bottom"/>
            <w:tcBorders>
              <w:bottom w:val="single" w:sz="8" w:color="666666"/>
            </w:tcBorders>
          </w:tcPr>
          <w:p>
            <w:pPr>
              <w:spacing w:after="0"/>
              <w:rPr>
                <w:sz w:val="15"/>
                <w:szCs w:val="15"/>
                <w:color w:val="auto"/>
              </w:rPr>
            </w:pPr>
          </w:p>
        </w:tc>
        <w:tc>
          <w:tcPr>
            <w:tcW w:w="1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10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8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tranche</w:t>
            </w:r>
          </w:p>
        </w:tc>
        <w:tc>
          <w:tcPr>
            <w:tcW w:w="4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20"/>
                <w:szCs w:val="20"/>
                <w:color w:val="auto"/>
              </w:rPr>
            </w:pPr>
            <w:r>
              <w:rPr>
                <w:rFonts w:ascii="Arial" w:cs="Arial" w:eastAsia="Arial" w:hAnsi="Arial"/>
                <w:sz w:val="13"/>
                <w:szCs w:val="13"/>
                <w:color w:val="auto"/>
              </w:rPr>
              <w:t>tranche</w:t>
            </w:r>
          </w:p>
        </w:tc>
        <w:tc>
          <w:tcPr>
            <w:tcW w:w="10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vesting</w:t>
            </w: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-5391150</wp:posOffset>
            </wp:positionV>
            <wp:extent cx="1440180" cy="402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40180" cy="4025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248920</wp:posOffset>
            </wp:positionV>
            <wp:extent cx="6231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6492240</wp:posOffset>
            </wp:positionH>
            <wp:positionV relativeFrom="paragraph">
              <wp:posOffset>109220</wp:posOffset>
            </wp:positionV>
            <wp:extent cx="8255" cy="3068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3068955"/>
                    </a:xfrm>
                    <a:prstGeom prst="rect">
                      <a:avLst/>
                    </a:prstGeom>
                    <a:noFill/>
                  </pic:spPr>
                </pic:pic>
              </a:graphicData>
            </a:graphic>
          </wp:anchor>
        </w:drawing>
      </w:r>
    </w:p>
    <w:p>
      <w:pPr>
        <w:spacing w:after="0" w:line="132" w:lineRule="exact"/>
        <w:rPr>
          <w:sz w:val="20"/>
          <w:szCs w:val="20"/>
          <w:color w:val="auto"/>
        </w:rPr>
      </w:pPr>
    </w:p>
    <w:tbl>
      <w:tblPr>
        <w:tblLayout w:type="fixed"/>
        <w:tblInd w:w="450" w:type="dxa"/>
        <w:tblCellMar>
          <w:top w:w="0" w:type="dxa"/>
          <w:left w:w="0" w:type="dxa"/>
          <w:bottom w:w="0" w:type="dxa"/>
          <w:right w:w="0" w:type="dxa"/>
        </w:tblCellMar>
      </w:tblPr>
      <w:tr>
        <w:trPr>
          <w:trHeight w:val="257"/>
        </w:trPr>
        <w:tc>
          <w:tcPr>
            <w:tcW w:w="2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top w:val="single" w:sz="8" w:color="auto"/>
            </w:tcBorders>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300" w:type="dxa"/>
            <w:vAlign w:val="bottom"/>
            <w:tcBorders>
              <w:top w:val="single" w:sz="8" w:color="auto"/>
            </w:tcBorders>
            <w:gridSpan w:val="7"/>
          </w:tcPr>
          <w:p>
            <w:pPr>
              <w:ind w:left="400"/>
              <w:spacing w:after="0"/>
              <w:rPr>
                <w:sz w:val="20"/>
                <w:szCs w:val="20"/>
                <w:color w:val="auto"/>
              </w:rPr>
            </w:pPr>
            <w:r>
              <w:rPr>
                <w:rFonts w:ascii="Arial" w:cs="Arial" w:eastAsia="Arial" w:hAnsi="Arial"/>
                <w:sz w:val="13"/>
                <w:szCs w:val="13"/>
                <w:b w:val="1"/>
                <w:bCs w:val="1"/>
                <w:color w:val="FFFFFF"/>
              </w:rPr>
              <w:t>Termination / Change in Control Scenarios</w:t>
            </w: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8"/>
        </w:trPr>
        <w:tc>
          <w:tcPr>
            <w:tcW w:w="220" w:type="dxa"/>
            <w:vAlign w:val="bottom"/>
            <w:tcBorders>
              <w:lef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20" w:type="dxa"/>
            <w:vAlign w:val="bottom"/>
            <w:tcBorders>
              <w:top w:val="single" w:sz="8" w:color="666666"/>
            </w:tcBorders>
            <w:shd w:val="clear" w:color="auto" w:fill="BA0C2F"/>
          </w:tcPr>
          <w:p>
            <w:pPr>
              <w:jc w:val="center"/>
              <w:spacing w:after="0" w:line="138" w:lineRule="exact"/>
              <w:rPr>
                <w:sz w:val="20"/>
                <w:szCs w:val="20"/>
                <w:color w:val="auto"/>
              </w:rPr>
            </w:pPr>
            <w:r>
              <w:rPr>
                <w:rFonts w:ascii="Arial" w:cs="Arial" w:eastAsia="Arial" w:hAnsi="Arial"/>
                <w:sz w:val="13"/>
                <w:szCs w:val="13"/>
                <w:b w:val="1"/>
                <w:bCs w:val="1"/>
                <w:color w:val="FFFFFF"/>
                <w:w w:val="95"/>
              </w:rPr>
              <w:t>Retirement,</w:t>
            </w:r>
          </w:p>
        </w:tc>
        <w:tc>
          <w:tcPr>
            <w:tcW w:w="140" w:type="dxa"/>
            <w:vAlign w:val="bottom"/>
            <w:tcBorders>
              <w:top w:val="single" w:sz="8" w:color="666666"/>
              <w:right w:val="single" w:sz="8" w:color="auto"/>
            </w:tcBorders>
            <w:shd w:val="clear" w:color="auto" w:fill="BA0C2F"/>
          </w:tcPr>
          <w:p>
            <w:pPr>
              <w:spacing w:after="0"/>
              <w:rPr>
                <w:sz w:val="11"/>
                <w:szCs w:val="11"/>
                <w:color w:val="auto"/>
              </w:rPr>
            </w:pPr>
          </w:p>
        </w:tc>
        <w:tc>
          <w:tcPr>
            <w:tcW w:w="80" w:type="dxa"/>
            <w:vAlign w:val="bottom"/>
            <w:tcBorders>
              <w:top w:val="single" w:sz="8" w:color="666666"/>
            </w:tcBorders>
            <w:shd w:val="clear" w:color="auto" w:fill="BA0C2F"/>
          </w:tcPr>
          <w:p>
            <w:pPr>
              <w:spacing w:after="0"/>
              <w:rPr>
                <w:sz w:val="11"/>
                <w:szCs w:val="11"/>
                <w:color w:val="auto"/>
              </w:rPr>
            </w:pPr>
          </w:p>
        </w:tc>
        <w:tc>
          <w:tcPr>
            <w:tcW w:w="940" w:type="dxa"/>
            <w:vAlign w:val="bottom"/>
            <w:tcBorders>
              <w:top w:val="single" w:sz="8" w:color="666666"/>
            </w:tcBorders>
            <w:shd w:val="clear" w:color="auto" w:fill="BA0C2F"/>
          </w:tcPr>
          <w:p>
            <w:pPr>
              <w:spacing w:after="0"/>
              <w:rPr>
                <w:sz w:val="11"/>
                <w:szCs w:val="11"/>
                <w:color w:val="auto"/>
              </w:rPr>
            </w:pPr>
          </w:p>
        </w:tc>
        <w:tc>
          <w:tcPr>
            <w:tcW w:w="140" w:type="dxa"/>
            <w:vAlign w:val="bottom"/>
            <w:tcBorders>
              <w:top w:val="single" w:sz="8" w:color="666666"/>
              <w:right w:val="single" w:sz="8" w:color="auto"/>
            </w:tcBorders>
            <w:shd w:val="clear" w:color="auto" w:fill="BA0C2F"/>
          </w:tcPr>
          <w:p>
            <w:pPr>
              <w:spacing w:after="0"/>
              <w:rPr>
                <w:sz w:val="11"/>
                <w:szCs w:val="11"/>
                <w:color w:val="auto"/>
              </w:rPr>
            </w:pPr>
          </w:p>
        </w:tc>
        <w:tc>
          <w:tcPr>
            <w:tcW w:w="80" w:type="dxa"/>
            <w:vAlign w:val="bottom"/>
            <w:tcBorders>
              <w:top w:val="single" w:sz="8" w:color="666666"/>
            </w:tcBorders>
            <w:shd w:val="clear" w:color="auto" w:fill="BA0C2F"/>
          </w:tcPr>
          <w:p>
            <w:pPr>
              <w:spacing w:after="0"/>
              <w:rPr>
                <w:sz w:val="11"/>
                <w:szCs w:val="11"/>
                <w:color w:val="auto"/>
              </w:rPr>
            </w:pPr>
          </w:p>
        </w:tc>
        <w:tc>
          <w:tcPr>
            <w:tcW w:w="960" w:type="dxa"/>
            <w:vAlign w:val="bottom"/>
            <w:tcBorders>
              <w:top w:val="single" w:sz="8" w:color="666666"/>
            </w:tcBorders>
            <w:shd w:val="clear" w:color="auto" w:fill="BA0C2F"/>
          </w:tcPr>
          <w:p>
            <w:pPr>
              <w:spacing w:after="0"/>
              <w:rPr>
                <w:sz w:val="11"/>
                <w:szCs w:val="11"/>
                <w:color w:val="auto"/>
              </w:rPr>
            </w:pPr>
          </w:p>
        </w:tc>
        <w:tc>
          <w:tcPr>
            <w:tcW w:w="120" w:type="dxa"/>
            <w:vAlign w:val="bottom"/>
            <w:tcBorders>
              <w:top w:val="single" w:sz="8" w:color="666666"/>
              <w:right w:val="single" w:sz="8" w:color="BA0C2F"/>
            </w:tcBorders>
            <w:shd w:val="clear" w:color="auto" w:fill="BA0C2F"/>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40" w:type="dxa"/>
            <w:vAlign w:val="bottom"/>
            <w:tcBorders>
              <w:top w:val="single" w:sz="8" w:color="666666"/>
            </w:tcBorders>
            <w:shd w:val="clear" w:color="auto" w:fill="BA0C2F"/>
          </w:tcPr>
          <w:p>
            <w:pPr>
              <w:spacing w:after="0"/>
              <w:rPr>
                <w:sz w:val="11"/>
                <w:szCs w:val="11"/>
                <w:color w:val="auto"/>
              </w:rPr>
            </w:pPr>
          </w:p>
        </w:tc>
        <w:tc>
          <w:tcPr>
            <w:tcW w:w="120" w:type="dxa"/>
            <w:vAlign w:val="bottom"/>
            <w:tcBorders>
              <w:top w:val="single" w:sz="8" w:color="666666"/>
              <w:right w:val="single" w:sz="8" w:color="auto"/>
            </w:tcBorders>
            <w:shd w:val="clear" w:color="auto" w:fill="BA0C2F"/>
          </w:tcPr>
          <w:p>
            <w:pPr>
              <w:spacing w:after="0"/>
              <w:rPr>
                <w:sz w:val="11"/>
                <w:szCs w:val="11"/>
                <w:color w:val="auto"/>
              </w:rPr>
            </w:pPr>
          </w:p>
        </w:tc>
        <w:tc>
          <w:tcPr>
            <w:tcW w:w="100" w:type="dxa"/>
            <w:vAlign w:val="bottom"/>
            <w:tcBorders>
              <w:top w:val="single" w:sz="8" w:color="666666"/>
            </w:tcBorders>
            <w:shd w:val="clear" w:color="auto" w:fill="BA0C2F"/>
          </w:tcPr>
          <w:p>
            <w:pPr>
              <w:spacing w:after="0"/>
              <w:rPr>
                <w:sz w:val="11"/>
                <w:szCs w:val="11"/>
                <w:color w:val="auto"/>
              </w:rPr>
            </w:pPr>
          </w:p>
        </w:tc>
        <w:tc>
          <w:tcPr>
            <w:tcW w:w="960" w:type="dxa"/>
            <w:vAlign w:val="bottom"/>
            <w:tcBorders>
              <w:top w:val="single" w:sz="8" w:color="666666"/>
            </w:tcBorders>
            <w:shd w:val="clear" w:color="auto" w:fill="BA0C2F"/>
          </w:tcPr>
          <w:p>
            <w:pPr>
              <w:jc w:val="center"/>
              <w:spacing w:after="0" w:line="138" w:lineRule="exact"/>
              <w:rPr>
                <w:sz w:val="20"/>
                <w:szCs w:val="20"/>
                <w:color w:val="auto"/>
              </w:rPr>
            </w:pPr>
            <w:r>
              <w:rPr>
                <w:rFonts w:ascii="Arial" w:cs="Arial" w:eastAsia="Arial" w:hAnsi="Arial"/>
                <w:sz w:val="13"/>
                <w:szCs w:val="13"/>
                <w:b w:val="1"/>
                <w:bCs w:val="1"/>
                <w:color w:val="FFFFFF"/>
                <w:w w:val="95"/>
              </w:rPr>
              <w:t>Change in</w:t>
            </w:r>
          </w:p>
        </w:tc>
        <w:tc>
          <w:tcPr>
            <w:tcW w:w="60" w:type="dxa"/>
            <w:vAlign w:val="bottom"/>
            <w:tcBorders>
              <w:top w:val="single" w:sz="8" w:color="666666"/>
            </w:tcBorders>
            <w:shd w:val="clear" w:color="auto" w:fill="BA0C2F"/>
          </w:tcPr>
          <w:p>
            <w:pPr>
              <w:spacing w:after="0"/>
              <w:rPr>
                <w:sz w:val="11"/>
                <w:szCs w:val="11"/>
                <w:color w:val="auto"/>
              </w:rPr>
            </w:pPr>
          </w:p>
        </w:tc>
        <w:tc>
          <w:tcPr>
            <w:tcW w:w="60" w:type="dxa"/>
            <w:vAlign w:val="bottom"/>
            <w:tcBorders>
              <w:top w:val="single" w:sz="8" w:color="666666"/>
              <w:right w:val="single" w:sz="8" w:color="auto"/>
            </w:tcBorders>
            <w:shd w:val="clear" w:color="auto" w:fill="BA0C2F"/>
          </w:tcPr>
          <w:p>
            <w:pPr>
              <w:spacing w:after="0"/>
              <w:rPr>
                <w:sz w:val="11"/>
                <w:szCs w:val="11"/>
                <w:color w:val="auto"/>
              </w:rPr>
            </w:pPr>
          </w:p>
        </w:tc>
        <w:tc>
          <w:tcPr>
            <w:tcW w:w="40" w:type="dxa"/>
            <w:vAlign w:val="bottom"/>
            <w:tcBorders>
              <w:top w:val="single" w:sz="8" w:color="666666"/>
            </w:tcBorders>
          </w:tcPr>
          <w:p>
            <w:pPr>
              <w:spacing w:after="0"/>
              <w:rPr>
                <w:sz w:val="11"/>
                <w:szCs w:val="11"/>
                <w:color w:val="auto"/>
              </w:rPr>
            </w:pPr>
          </w:p>
        </w:tc>
        <w:tc>
          <w:tcPr>
            <w:tcW w:w="4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spacing w:after="0"/>
              <w:rPr>
                <w:sz w:val="11"/>
                <w:szCs w:val="11"/>
                <w:color w:val="auto"/>
              </w:rPr>
            </w:pPr>
          </w:p>
        </w:tc>
        <w:tc>
          <w:tcPr>
            <w:tcW w:w="120" w:type="dxa"/>
            <w:vAlign w:val="bottom"/>
            <w:tcBorders>
              <w:top w:val="single" w:sz="8" w:color="666666"/>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spacing w:after="0"/>
              <w:rPr>
                <w:sz w:val="11"/>
                <w:szCs w:val="11"/>
                <w:color w:val="auto"/>
              </w:rPr>
            </w:pPr>
          </w:p>
        </w:tc>
        <w:tc>
          <w:tcPr>
            <w:tcW w:w="60" w:type="dxa"/>
            <w:vAlign w:val="bottom"/>
            <w:tcBorders>
              <w:top w:val="single" w:sz="8" w:color="666666"/>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20" w:type="dxa"/>
            <w:vAlign w:val="bottom"/>
            <w:shd w:val="clear" w:color="auto" w:fill="BA0C2F"/>
          </w:tcPr>
          <w:p>
            <w:pPr>
              <w:jc w:val="center"/>
              <w:spacing w:after="0" w:line="135" w:lineRule="exact"/>
              <w:rPr>
                <w:sz w:val="20"/>
                <w:szCs w:val="20"/>
                <w:color w:val="auto"/>
              </w:rPr>
            </w:pPr>
            <w:r>
              <w:rPr>
                <w:rFonts w:ascii="Arial" w:cs="Arial" w:eastAsia="Arial" w:hAnsi="Arial"/>
                <w:sz w:val="13"/>
                <w:szCs w:val="13"/>
                <w:b w:val="1"/>
                <w:bCs w:val="1"/>
                <w:color w:val="FFFFFF"/>
                <w:w w:val="96"/>
              </w:rPr>
              <w:t>Resignation or</w:t>
            </w:r>
          </w:p>
        </w:tc>
        <w:tc>
          <w:tcPr>
            <w:tcW w:w="140" w:type="dxa"/>
            <w:vAlign w:val="bottom"/>
            <w:tcBorders>
              <w:right w:val="single" w:sz="8" w:color="auto"/>
            </w:tcBorders>
            <w:shd w:val="clear" w:color="auto" w:fill="BA0C2F"/>
          </w:tcPr>
          <w:p>
            <w:pPr>
              <w:spacing w:after="0"/>
              <w:rPr>
                <w:sz w:val="11"/>
                <w:szCs w:val="11"/>
                <w:color w:val="auto"/>
              </w:rPr>
            </w:pPr>
          </w:p>
        </w:tc>
        <w:tc>
          <w:tcPr>
            <w:tcW w:w="80" w:type="dxa"/>
            <w:vAlign w:val="bottom"/>
            <w:shd w:val="clear" w:color="auto" w:fill="BA0C2F"/>
          </w:tcPr>
          <w:p>
            <w:pPr>
              <w:spacing w:after="0"/>
              <w:rPr>
                <w:sz w:val="11"/>
                <w:szCs w:val="11"/>
                <w:color w:val="auto"/>
              </w:rPr>
            </w:pPr>
          </w:p>
        </w:tc>
        <w:tc>
          <w:tcPr>
            <w:tcW w:w="940" w:type="dxa"/>
            <w:vAlign w:val="bottom"/>
            <w:shd w:val="clear" w:color="auto" w:fill="BA0C2F"/>
          </w:tcPr>
          <w:p>
            <w:pPr>
              <w:spacing w:after="0"/>
              <w:rPr>
                <w:sz w:val="11"/>
                <w:szCs w:val="11"/>
                <w:color w:val="auto"/>
              </w:rPr>
            </w:pPr>
          </w:p>
        </w:tc>
        <w:tc>
          <w:tcPr>
            <w:tcW w:w="140" w:type="dxa"/>
            <w:vAlign w:val="bottom"/>
            <w:tcBorders>
              <w:right w:val="single" w:sz="8" w:color="auto"/>
            </w:tcBorders>
            <w:shd w:val="clear" w:color="auto" w:fill="BA0C2F"/>
          </w:tcPr>
          <w:p>
            <w:pPr>
              <w:spacing w:after="0"/>
              <w:rPr>
                <w:sz w:val="11"/>
                <w:szCs w:val="11"/>
                <w:color w:val="auto"/>
              </w:rPr>
            </w:pPr>
          </w:p>
        </w:tc>
        <w:tc>
          <w:tcPr>
            <w:tcW w:w="80" w:type="dxa"/>
            <w:vAlign w:val="bottom"/>
            <w:shd w:val="clear" w:color="auto" w:fill="BA0C2F"/>
          </w:tcPr>
          <w:p>
            <w:pPr>
              <w:spacing w:after="0"/>
              <w:rPr>
                <w:sz w:val="11"/>
                <w:szCs w:val="11"/>
                <w:color w:val="auto"/>
              </w:rPr>
            </w:pPr>
          </w:p>
        </w:tc>
        <w:tc>
          <w:tcPr>
            <w:tcW w:w="960" w:type="dxa"/>
            <w:vAlign w:val="bottom"/>
            <w:shd w:val="clear" w:color="auto" w:fill="BA0C2F"/>
          </w:tcPr>
          <w:p>
            <w:pPr>
              <w:spacing w:after="0"/>
              <w:rPr>
                <w:sz w:val="11"/>
                <w:szCs w:val="11"/>
                <w:color w:val="auto"/>
              </w:rPr>
            </w:pPr>
          </w:p>
        </w:tc>
        <w:tc>
          <w:tcPr>
            <w:tcW w:w="120" w:type="dxa"/>
            <w:vAlign w:val="bottom"/>
            <w:tcBorders>
              <w:right w:val="single" w:sz="8" w:color="BA0C2F"/>
            </w:tcBorders>
            <w:shd w:val="clear" w:color="auto" w:fill="BA0C2F"/>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40" w:type="dxa"/>
            <w:vAlign w:val="bottom"/>
            <w:shd w:val="clear" w:color="auto" w:fill="BA0C2F"/>
          </w:tcPr>
          <w:p>
            <w:pPr>
              <w:spacing w:after="0"/>
              <w:rPr>
                <w:sz w:val="11"/>
                <w:szCs w:val="11"/>
                <w:color w:val="auto"/>
              </w:rPr>
            </w:pPr>
          </w:p>
        </w:tc>
        <w:tc>
          <w:tcPr>
            <w:tcW w:w="120" w:type="dxa"/>
            <w:vAlign w:val="bottom"/>
            <w:tcBorders>
              <w:right w:val="single" w:sz="8" w:color="auto"/>
            </w:tcBorders>
            <w:shd w:val="clear" w:color="auto" w:fill="BA0C2F"/>
          </w:tcPr>
          <w:p>
            <w:pPr>
              <w:spacing w:after="0"/>
              <w:rPr>
                <w:sz w:val="11"/>
                <w:szCs w:val="11"/>
                <w:color w:val="auto"/>
              </w:rPr>
            </w:pPr>
          </w:p>
        </w:tc>
        <w:tc>
          <w:tcPr>
            <w:tcW w:w="100" w:type="dxa"/>
            <w:vAlign w:val="bottom"/>
            <w:shd w:val="clear" w:color="auto" w:fill="BA0C2F"/>
          </w:tcPr>
          <w:p>
            <w:pPr>
              <w:spacing w:after="0"/>
              <w:rPr>
                <w:sz w:val="11"/>
                <w:szCs w:val="11"/>
                <w:color w:val="auto"/>
              </w:rPr>
            </w:pPr>
          </w:p>
        </w:tc>
        <w:tc>
          <w:tcPr>
            <w:tcW w:w="960" w:type="dxa"/>
            <w:vAlign w:val="bottom"/>
            <w:shd w:val="clear" w:color="auto" w:fill="BA0C2F"/>
          </w:tcPr>
          <w:p>
            <w:pPr>
              <w:spacing w:after="0" w:line="135" w:lineRule="exact"/>
              <w:rPr>
                <w:sz w:val="20"/>
                <w:szCs w:val="20"/>
                <w:color w:val="auto"/>
              </w:rPr>
            </w:pPr>
            <w:r>
              <w:rPr>
                <w:rFonts w:ascii="Arial" w:cs="Arial" w:eastAsia="Arial" w:hAnsi="Arial"/>
                <w:sz w:val="13"/>
                <w:szCs w:val="13"/>
                <w:b w:val="1"/>
                <w:bCs w:val="1"/>
                <w:color w:val="FFFFFF"/>
                <w:w w:val="97"/>
              </w:rPr>
              <w:t>Control without</w:t>
            </w:r>
          </w:p>
        </w:tc>
        <w:tc>
          <w:tcPr>
            <w:tcW w:w="60" w:type="dxa"/>
            <w:vAlign w:val="bottom"/>
            <w:shd w:val="clear" w:color="auto" w:fill="BA0C2F"/>
          </w:tcPr>
          <w:p>
            <w:pPr>
              <w:spacing w:after="0"/>
              <w:rPr>
                <w:sz w:val="11"/>
                <w:szCs w:val="11"/>
                <w:color w:val="auto"/>
              </w:rPr>
            </w:pPr>
          </w:p>
        </w:tc>
        <w:tc>
          <w:tcPr>
            <w:tcW w:w="60" w:type="dxa"/>
            <w:vAlign w:val="bottom"/>
            <w:tcBorders>
              <w:right w:val="single" w:sz="8" w:color="auto"/>
            </w:tcBorders>
            <w:shd w:val="clear" w:color="auto" w:fill="BA0C2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4"/>
          </w:tcPr>
          <w:p>
            <w:pPr>
              <w:ind w:left="360"/>
              <w:spacing w:after="0" w:line="135" w:lineRule="exact"/>
              <w:rPr>
                <w:sz w:val="20"/>
                <w:szCs w:val="20"/>
                <w:color w:val="auto"/>
              </w:rPr>
            </w:pPr>
            <w:r>
              <w:rPr>
                <w:rFonts w:ascii="Arial" w:cs="Arial" w:eastAsia="Arial" w:hAnsi="Arial"/>
                <w:sz w:val="13"/>
                <w:szCs w:val="13"/>
                <w:b w:val="1"/>
                <w:bCs w:val="1"/>
                <w:color w:val="FFFFFF"/>
              </w:rPr>
              <w:t>Change in Control with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shd w:val="clear" w:color="auto" w:fill="BA0C2F"/>
          </w:tcPr>
          <w:p>
            <w:pPr>
              <w:spacing w:after="0"/>
              <w:rPr>
                <w:sz w:val="12"/>
                <w:szCs w:val="12"/>
                <w:color w:val="auto"/>
              </w:rPr>
            </w:pPr>
          </w:p>
        </w:tc>
        <w:tc>
          <w:tcPr>
            <w:tcW w:w="92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140" w:type="dxa"/>
            <w:vAlign w:val="bottom"/>
            <w:tcBorders>
              <w:right w:val="single" w:sz="8" w:color="auto"/>
            </w:tcBorders>
            <w:shd w:val="clear" w:color="auto" w:fill="BA0C2F"/>
          </w:tcPr>
          <w:p>
            <w:pPr>
              <w:spacing w:after="0"/>
              <w:rPr>
                <w:sz w:val="12"/>
                <w:szCs w:val="12"/>
                <w:color w:val="auto"/>
              </w:rPr>
            </w:pPr>
          </w:p>
        </w:tc>
        <w:tc>
          <w:tcPr>
            <w:tcW w:w="80" w:type="dxa"/>
            <w:vAlign w:val="bottom"/>
            <w:shd w:val="clear" w:color="auto" w:fill="BA0C2F"/>
          </w:tcPr>
          <w:p>
            <w:pPr>
              <w:spacing w:after="0"/>
              <w:rPr>
                <w:sz w:val="12"/>
                <w:szCs w:val="12"/>
                <w:color w:val="auto"/>
              </w:rPr>
            </w:pPr>
          </w:p>
        </w:tc>
        <w:tc>
          <w:tcPr>
            <w:tcW w:w="940" w:type="dxa"/>
            <w:vAlign w:val="bottom"/>
            <w:shd w:val="clear" w:color="auto" w:fill="BA0C2F"/>
          </w:tcPr>
          <w:p>
            <w:pPr>
              <w:ind w:left="220"/>
              <w:spacing w:after="0"/>
              <w:rPr>
                <w:sz w:val="20"/>
                <w:szCs w:val="20"/>
                <w:color w:val="auto"/>
              </w:rPr>
            </w:pPr>
            <w:r>
              <w:rPr>
                <w:rFonts w:ascii="Arial" w:cs="Arial" w:eastAsia="Arial" w:hAnsi="Arial"/>
                <w:sz w:val="13"/>
                <w:szCs w:val="13"/>
                <w:b w:val="1"/>
                <w:bCs w:val="1"/>
                <w:color w:val="FFFFFF"/>
              </w:rPr>
              <w:t>Death or</w:t>
            </w:r>
          </w:p>
        </w:tc>
        <w:tc>
          <w:tcPr>
            <w:tcW w:w="140" w:type="dxa"/>
            <w:vAlign w:val="bottom"/>
            <w:tcBorders>
              <w:right w:val="single" w:sz="8" w:color="auto"/>
            </w:tcBorders>
            <w:shd w:val="clear" w:color="auto" w:fill="BA0C2F"/>
          </w:tcPr>
          <w:p>
            <w:pPr>
              <w:spacing w:after="0"/>
              <w:rPr>
                <w:sz w:val="12"/>
                <w:szCs w:val="12"/>
                <w:color w:val="auto"/>
              </w:rPr>
            </w:pPr>
          </w:p>
        </w:tc>
        <w:tc>
          <w:tcPr>
            <w:tcW w:w="80" w:type="dxa"/>
            <w:vAlign w:val="bottom"/>
            <w:shd w:val="clear" w:color="auto" w:fill="BA0C2F"/>
          </w:tcPr>
          <w:p>
            <w:pPr>
              <w:spacing w:after="0"/>
              <w:rPr>
                <w:sz w:val="12"/>
                <w:szCs w:val="12"/>
                <w:color w:val="auto"/>
              </w:rPr>
            </w:pPr>
          </w:p>
        </w:tc>
        <w:tc>
          <w:tcPr>
            <w:tcW w:w="2120" w:type="dxa"/>
            <w:vAlign w:val="bottom"/>
            <w:gridSpan w:val="4"/>
            <w:shd w:val="clear" w:color="auto" w:fill="BA0C2F"/>
          </w:tcPr>
          <w:p>
            <w:pPr>
              <w:ind w:left="460"/>
              <w:spacing w:after="0"/>
              <w:rPr>
                <w:sz w:val="20"/>
                <w:szCs w:val="20"/>
                <w:color w:val="auto"/>
              </w:rPr>
            </w:pPr>
            <w:r>
              <w:rPr>
                <w:rFonts w:ascii="Arial" w:cs="Arial" w:eastAsia="Arial" w:hAnsi="Arial"/>
                <w:sz w:val="13"/>
                <w:szCs w:val="13"/>
                <w:b w:val="1"/>
                <w:bCs w:val="1"/>
                <w:color w:val="FFFFFF"/>
              </w:rPr>
              <w:t>Termination without</w:t>
            </w:r>
          </w:p>
        </w:tc>
        <w:tc>
          <w:tcPr>
            <w:tcW w:w="120" w:type="dxa"/>
            <w:vAlign w:val="bottom"/>
            <w:tcBorders>
              <w:right w:val="single" w:sz="8" w:color="auto"/>
            </w:tcBorders>
            <w:shd w:val="clear" w:color="auto" w:fill="BA0C2F"/>
          </w:tcPr>
          <w:p>
            <w:pPr>
              <w:spacing w:after="0"/>
              <w:rPr>
                <w:sz w:val="12"/>
                <w:szCs w:val="12"/>
                <w:color w:val="auto"/>
              </w:rPr>
            </w:pPr>
          </w:p>
        </w:tc>
        <w:tc>
          <w:tcPr>
            <w:tcW w:w="100" w:type="dxa"/>
            <w:vAlign w:val="bottom"/>
            <w:shd w:val="clear" w:color="auto" w:fill="BA0C2F"/>
          </w:tcPr>
          <w:p>
            <w:pPr>
              <w:spacing w:after="0"/>
              <w:rPr>
                <w:sz w:val="12"/>
                <w:szCs w:val="12"/>
                <w:color w:val="auto"/>
              </w:rPr>
            </w:pPr>
          </w:p>
        </w:tc>
        <w:tc>
          <w:tcPr>
            <w:tcW w:w="96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5"/>
              </w:rPr>
              <w:t>Termination of</w:t>
            </w:r>
          </w:p>
        </w:tc>
        <w:tc>
          <w:tcPr>
            <w:tcW w:w="60" w:type="dxa"/>
            <w:vAlign w:val="bottom"/>
            <w:shd w:val="clear" w:color="auto" w:fill="BA0C2F"/>
          </w:tcPr>
          <w:p>
            <w:pPr>
              <w:spacing w:after="0"/>
              <w:rPr>
                <w:sz w:val="12"/>
                <w:szCs w:val="12"/>
                <w:color w:val="auto"/>
              </w:rPr>
            </w:pPr>
          </w:p>
        </w:tc>
        <w:tc>
          <w:tcPr>
            <w:tcW w:w="60" w:type="dxa"/>
            <w:vAlign w:val="bottom"/>
            <w:tcBorders>
              <w:right w:val="single" w:sz="8" w:color="auto"/>
            </w:tcBorders>
            <w:shd w:val="clear" w:color="auto" w:fill="BA0C2F"/>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tcPr>
          <w:p>
            <w:pPr>
              <w:ind w:left="240"/>
              <w:spacing w:after="0"/>
              <w:rPr>
                <w:sz w:val="20"/>
                <w:szCs w:val="20"/>
                <w:color w:val="auto"/>
              </w:rPr>
            </w:pPr>
            <w:r>
              <w:rPr>
                <w:rFonts w:ascii="Arial" w:cs="Arial" w:eastAsia="Arial" w:hAnsi="Arial"/>
                <w:sz w:val="13"/>
                <w:szCs w:val="13"/>
                <w:b w:val="1"/>
                <w:bCs w:val="1"/>
                <w:color w:val="FFFFFF"/>
              </w:rPr>
              <w:t>Termination of Employment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with Cause</w:t>
            </w:r>
          </w:p>
        </w:tc>
        <w:tc>
          <w:tcPr>
            <w:tcW w:w="140" w:type="dxa"/>
            <w:vAlign w:val="bottom"/>
            <w:tcBorders>
              <w:right w:val="single" w:sz="8" w:color="auto"/>
            </w:tcBorders>
            <w:shd w:val="clear" w:color="auto" w:fill="BA0C2F"/>
          </w:tcPr>
          <w:p>
            <w:pPr>
              <w:ind w:left="8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BA0C2F"/>
          </w:tcPr>
          <w:p>
            <w:pPr>
              <w:ind w:left="220"/>
              <w:spacing w:after="0"/>
              <w:rPr>
                <w:sz w:val="20"/>
                <w:szCs w:val="20"/>
                <w:color w:val="auto"/>
              </w:rPr>
            </w:pPr>
            <w:r>
              <w:rPr>
                <w:rFonts w:ascii="Arial" w:cs="Arial" w:eastAsia="Arial" w:hAnsi="Arial"/>
                <w:sz w:val="13"/>
                <w:szCs w:val="13"/>
                <w:b w:val="1"/>
                <w:bCs w:val="1"/>
                <w:color w:val="FFFFFF"/>
              </w:rPr>
              <w:t>Disability</w:t>
            </w:r>
          </w:p>
        </w:tc>
        <w:tc>
          <w:tcPr>
            <w:tcW w:w="140" w:type="dxa"/>
            <w:vAlign w:val="bottom"/>
            <w:tcBorders>
              <w:right w:val="single" w:sz="8" w:color="auto"/>
            </w:tcBorders>
            <w:shd w:val="clear" w:color="auto" w:fill="BA0C2F"/>
          </w:tcPr>
          <w:p>
            <w:pPr>
              <w:ind w:left="8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A0C2F"/>
          </w:tcPr>
          <w:p>
            <w:pPr>
              <w:ind w:left="40"/>
              <w:spacing w:after="0"/>
              <w:rPr>
                <w:sz w:val="20"/>
                <w:szCs w:val="20"/>
                <w:color w:val="auto"/>
              </w:rPr>
            </w:pPr>
            <w:r>
              <w:rPr>
                <w:rFonts w:ascii="Arial" w:cs="Arial" w:eastAsia="Arial" w:hAnsi="Arial"/>
                <w:sz w:val="13"/>
                <w:szCs w:val="13"/>
                <w:b w:val="1"/>
                <w:bCs w:val="1"/>
                <w:color w:val="FFFFFF"/>
              </w:rPr>
              <w:t>​</w:t>
            </w:r>
          </w:p>
        </w:tc>
        <w:tc>
          <w:tcPr>
            <w:tcW w:w="2120" w:type="dxa"/>
            <w:vAlign w:val="bottom"/>
            <w:gridSpan w:val="4"/>
            <w:shd w:val="clear" w:color="auto" w:fill="BA0C2F"/>
          </w:tcPr>
          <w:p>
            <w:pPr>
              <w:ind w:left="240"/>
              <w:spacing w:after="0"/>
              <w:rPr>
                <w:sz w:val="20"/>
                <w:szCs w:val="20"/>
                <w:color w:val="auto"/>
              </w:rPr>
            </w:pPr>
            <w:r>
              <w:rPr>
                <w:rFonts w:ascii="Arial" w:cs="Arial" w:eastAsia="Arial" w:hAnsi="Arial"/>
                <w:sz w:val="13"/>
                <w:szCs w:val="13"/>
                <w:b w:val="1"/>
                <w:bCs w:val="1"/>
                <w:color w:val="FFFFFF"/>
              </w:rPr>
              <w:t>Cause or with Good Reason</w:t>
            </w:r>
          </w:p>
        </w:tc>
        <w:tc>
          <w:tcPr>
            <w:tcW w:w="120" w:type="dxa"/>
            <w:vAlign w:val="bottom"/>
            <w:tcBorders>
              <w:right w:val="single" w:sz="8" w:color="auto"/>
            </w:tcBorders>
            <w:shd w:val="clear" w:color="auto" w:fill="BA0C2F"/>
          </w:tcPr>
          <w:p>
            <w:pPr>
              <w:ind w:left="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A0C2F"/>
          </w:tcPr>
          <w:p>
            <w:pPr>
              <w:ind w:left="6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BA0C2F"/>
          </w:tcPr>
          <w:p>
            <w:pPr>
              <w:jc w:val="center"/>
              <w:spacing w:after="0"/>
              <w:rPr>
                <w:sz w:val="20"/>
                <w:szCs w:val="20"/>
                <w:color w:val="auto"/>
              </w:rPr>
            </w:pPr>
            <w:r>
              <w:rPr>
                <w:rFonts w:ascii="Arial" w:cs="Arial" w:eastAsia="Arial" w:hAnsi="Arial"/>
                <w:sz w:val="13"/>
                <w:szCs w:val="13"/>
                <w:b w:val="1"/>
                <w:bCs w:val="1"/>
                <w:color w:val="FFFFFF"/>
                <w:w w:val="96"/>
              </w:rPr>
              <w:t>Employments</w:t>
            </w:r>
          </w:p>
        </w:tc>
        <w:tc>
          <w:tcPr>
            <w:tcW w:w="60" w:type="dxa"/>
            <w:vAlign w:val="bottom"/>
            <w:shd w:val="clear" w:color="auto" w:fill="BA0C2F"/>
          </w:tcPr>
          <w:p>
            <w:pPr>
              <w:spacing w:after="0"/>
              <w:rPr>
                <w:sz w:val="16"/>
                <w:szCs w:val="16"/>
                <w:color w:val="auto"/>
              </w:rPr>
            </w:pPr>
          </w:p>
        </w:tc>
        <w:tc>
          <w:tcPr>
            <w:tcW w:w="60" w:type="dxa"/>
            <w:vAlign w:val="bottom"/>
            <w:tcBorders>
              <w:right w:val="single" w:sz="8" w:color="auto"/>
            </w:tcBorders>
            <w:shd w:val="clear" w:color="auto" w:fill="BA0C2F"/>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6"/>
                <w:szCs w:val="16"/>
                <w:color w:val="auto"/>
              </w:rPr>
            </w:pPr>
          </w:p>
        </w:tc>
        <w:tc>
          <w:tcPr>
            <w:tcW w:w="2240" w:type="dxa"/>
            <w:vAlign w:val="bottom"/>
            <w:gridSpan w:val="7"/>
          </w:tcPr>
          <w:p>
            <w:pPr>
              <w:jc w:val="right"/>
              <w:spacing w:after="0" w:line="193"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without Cause or for Good Reason </w:t>
            </w:r>
            <w:r>
              <w:rPr>
                <w:rFonts w:ascii="Arial" w:cs="Arial" w:eastAsia="Arial" w:hAnsi="Arial"/>
                <w:sz w:val="22"/>
                <w:szCs w:val="22"/>
                <w:b w:val="1"/>
                <w:bCs w:val="1"/>
                <w:color w:val="FFFFFF"/>
                <w:vertAlign w:val="subscript"/>
              </w:rPr>
              <w:t>​</w:t>
            </w:r>
          </w:p>
        </w:tc>
        <w:tc>
          <w:tcPr>
            <w:tcW w:w="0" w:type="dxa"/>
            <w:vAlign w:val="bottom"/>
          </w:tcPr>
          <w:p>
            <w:pPr>
              <w:spacing w:after="0"/>
              <w:rPr>
                <w:sz w:val="1"/>
                <w:szCs w:val="1"/>
                <w:color w:val="auto"/>
              </w:rPr>
            </w:pPr>
          </w:p>
        </w:tc>
      </w:tr>
      <w:tr>
        <w:trPr>
          <w:trHeight w:val="138"/>
        </w:trPr>
        <w:tc>
          <w:tcPr>
            <w:tcW w:w="220" w:type="dxa"/>
            <w:vAlign w:val="bottom"/>
            <w:tcBorders>
              <w:top w:val="single" w:sz="8" w:color="666666"/>
              <w:left w:val="single" w:sz="8" w:color="auto"/>
            </w:tcBorders>
          </w:tcPr>
          <w:p>
            <w:pPr>
              <w:spacing w:after="0"/>
              <w:rPr>
                <w:sz w:val="11"/>
                <w:szCs w:val="11"/>
                <w:color w:val="auto"/>
              </w:rPr>
            </w:pPr>
          </w:p>
        </w:tc>
        <w:tc>
          <w:tcPr>
            <w:tcW w:w="1260" w:type="dxa"/>
            <w:vAlign w:val="bottom"/>
            <w:tcBorders>
              <w:top w:val="single" w:sz="8" w:color="666666"/>
            </w:tcBorders>
          </w:tcPr>
          <w:p>
            <w:pPr>
              <w:ind w:left="160"/>
              <w:spacing w:after="0" w:line="138" w:lineRule="exact"/>
              <w:rPr>
                <w:sz w:val="20"/>
                <w:szCs w:val="20"/>
                <w:color w:val="auto"/>
              </w:rPr>
            </w:pPr>
            <w:r>
              <w:rPr>
                <w:rFonts w:ascii="Arial" w:cs="Arial" w:eastAsia="Arial" w:hAnsi="Arial"/>
                <w:sz w:val="13"/>
                <w:szCs w:val="13"/>
                <w:b w:val="1"/>
                <w:bCs w:val="1"/>
                <w:color w:val="auto"/>
              </w:rPr>
              <w:t>Compensation</w:t>
            </w:r>
          </w:p>
        </w:tc>
        <w:tc>
          <w:tcPr>
            <w:tcW w:w="22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20" w:type="dxa"/>
            <w:vAlign w:val="bottom"/>
            <w:tcBorders>
              <w:top w:val="single" w:sz="8" w:color="666666"/>
            </w:tcBorders>
            <w:vMerge w:val="restart"/>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4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40" w:type="dxa"/>
            <w:vAlign w:val="bottom"/>
            <w:tcBorders>
              <w:top w:val="single" w:sz="8" w:color="666666"/>
            </w:tcBorders>
            <w:vMerge w:val="restart"/>
          </w:tcPr>
          <w:p>
            <w:pPr>
              <w:ind w:left="220"/>
              <w:spacing w:after="0"/>
              <w:rPr>
                <w:sz w:val="20"/>
                <w:szCs w:val="20"/>
                <w:color w:val="auto"/>
              </w:rPr>
            </w:pPr>
            <w:r>
              <w:rPr>
                <w:rFonts w:ascii="Arial" w:cs="Arial" w:eastAsia="Arial" w:hAnsi="Arial"/>
                <w:sz w:val="13"/>
                <w:szCs w:val="13"/>
                <w:b w:val="1"/>
                <w:bCs w:val="1"/>
                <w:color w:val="auto"/>
              </w:rPr>
              <w:t>All NEOs</w:t>
            </w:r>
          </w:p>
        </w:tc>
        <w:tc>
          <w:tcPr>
            <w:tcW w:w="14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vMerge w:val="restart"/>
          </w:tcPr>
          <w:p>
            <w:pPr>
              <w:ind w:left="360"/>
              <w:spacing w:after="0"/>
              <w:rPr>
                <w:sz w:val="20"/>
                <w:szCs w:val="20"/>
                <w:color w:val="auto"/>
              </w:rPr>
            </w:pPr>
            <w:r>
              <w:rPr>
                <w:rFonts w:ascii="Arial" w:cs="Arial" w:eastAsia="Arial" w:hAnsi="Arial"/>
                <w:sz w:val="13"/>
                <w:szCs w:val="13"/>
                <w:b w:val="1"/>
                <w:bCs w:val="1"/>
                <w:color w:val="auto"/>
              </w:rPr>
              <w:t>CEO</w:t>
            </w:r>
          </w:p>
        </w:tc>
        <w:tc>
          <w:tcPr>
            <w:tcW w:w="12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40" w:type="dxa"/>
            <w:vAlign w:val="bottom"/>
            <w:tcBorders>
              <w:top w:val="single" w:sz="8" w:color="666666"/>
            </w:tcBorders>
          </w:tcPr>
          <w:p>
            <w:pPr>
              <w:ind w:left="120"/>
              <w:spacing w:after="0" w:line="138" w:lineRule="exact"/>
              <w:rPr>
                <w:sz w:val="20"/>
                <w:szCs w:val="20"/>
                <w:color w:val="auto"/>
              </w:rPr>
            </w:pPr>
            <w:r>
              <w:rPr>
                <w:rFonts w:ascii="Arial" w:cs="Arial" w:eastAsia="Arial" w:hAnsi="Arial"/>
                <w:sz w:val="13"/>
                <w:szCs w:val="13"/>
                <w:b w:val="1"/>
                <w:bCs w:val="1"/>
                <w:color w:val="auto"/>
              </w:rPr>
              <w:t>NEOs other</w:t>
            </w:r>
          </w:p>
        </w:tc>
        <w:tc>
          <w:tcPr>
            <w:tcW w:w="120" w:type="dxa"/>
            <w:vAlign w:val="bottom"/>
            <w:tcBorders>
              <w:top w:val="single" w:sz="8" w:color="666666"/>
              <w:right w:val="single" w:sz="8" w:color="auto"/>
            </w:tcBorders>
          </w:tcPr>
          <w:p>
            <w:pPr>
              <w:spacing w:after="0"/>
              <w:rPr>
                <w:sz w:val="11"/>
                <w:szCs w:val="11"/>
                <w:color w:val="auto"/>
              </w:rPr>
            </w:pPr>
          </w:p>
        </w:tc>
        <w:tc>
          <w:tcPr>
            <w:tcW w:w="10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vMerge w:val="restart"/>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60" w:type="dxa"/>
            <w:vAlign w:val="bottom"/>
            <w:tcBorders>
              <w:top w:val="single" w:sz="8" w:color="666666"/>
            </w:tcBorders>
          </w:tcPr>
          <w:p>
            <w:pPr>
              <w:spacing w:after="0"/>
              <w:rPr>
                <w:sz w:val="11"/>
                <w:szCs w:val="11"/>
                <w:color w:val="auto"/>
              </w:rPr>
            </w:pPr>
          </w:p>
        </w:tc>
        <w:tc>
          <w:tcPr>
            <w:tcW w:w="60" w:type="dxa"/>
            <w:vAlign w:val="bottom"/>
            <w:tcBorders>
              <w:top w:val="single" w:sz="8" w:color="666666"/>
              <w:right w:val="single" w:sz="8" w:color="auto"/>
            </w:tcBorders>
          </w:tcPr>
          <w:p>
            <w:pPr>
              <w:spacing w:after="0"/>
              <w:rPr>
                <w:sz w:val="11"/>
                <w:szCs w:val="11"/>
                <w:color w:val="auto"/>
              </w:rPr>
            </w:pPr>
          </w:p>
        </w:tc>
        <w:tc>
          <w:tcPr>
            <w:tcW w:w="40" w:type="dxa"/>
            <w:vAlign w:val="bottom"/>
            <w:tcBorders>
              <w:top w:val="single" w:sz="8" w:color="666666"/>
            </w:tcBorders>
          </w:tcPr>
          <w:p>
            <w:pPr>
              <w:spacing w:after="0"/>
              <w:rPr>
                <w:sz w:val="11"/>
                <w:szCs w:val="11"/>
                <w:color w:val="auto"/>
              </w:rPr>
            </w:pPr>
          </w:p>
        </w:tc>
        <w:tc>
          <w:tcPr>
            <w:tcW w:w="4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vMerge w:val="restart"/>
          </w:tcPr>
          <w:p>
            <w:pPr>
              <w:ind w:left="360"/>
              <w:spacing w:after="0"/>
              <w:rPr>
                <w:sz w:val="20"/>
                <w:szCs w:val="20"/>
                <w:color w:val="auto"/>
              </w:rPr>
            </w:pPr>
            <w:r>
              <w:rPr>
                <w:rFonts w:ascii="Arial" w:cs="Arial" w:eastAsia="Arial" w:hAnsi="Arial"/>
                <w:sz w:val="13"/>
                <w:szCs w:val="13"/>
                <w:b w:val="1"/>
                <w:bCs w:val="1"/>
                <w:color w:val="auto"/>
              </w:rPr>
              <w:t>CEO</w:t>
            </w:r>
          </w:p>
        </w:tc>
        <w:tc>
          <w:tcPr>
            <w:tcW w:w="120" w:type="dxa"/>
            <w:vAlign w:val="bottom"/>
            <w:tcBorders>
              <w:top w:val="single" w:sz="8" w:color="666666"/>
              <w:right w:val="single" w:sz="8" w:color="auto"/>
            </w:tcBorders>
          </w:tcPr>
          <w:p>
            <w:pPr>
              <w:spacing w:after="0"/>
              <w:rPr>
                <w:sz w:val="11"/>
                <w:szCs w:val="11"/>
                <w:color w:val="auto"/>
              </w:rPr>
            </w:pPr>
          </w:p>
        </w:tc>
        <w:tc>
          <w:tcPr>
            <w:tcW w:w="80" w:type="dxa"/>
            <w:vAlign w:val="bottom"/>
            <w:tcBorders>
              <w:top w:val="single" w:sz="8" w:color="666666"/>
            </w:tcBorders>
          </w:tcPr>
          <w:p>
            <w:pPr>
              <w:spacing w:after="0"/>
              <w:rPr>
                <w:sz w:val="11"/>
                <w:szCs w:val="11"/>
                <w:color w:val="auto"/>
              </w:rPr>
            </w:pPr>
          </w:p>
        </w:tc>
        <w:tc>
          <w:tcPr>
            <w:tcW w:w="960" w:type="dxa"/>
            <w:vAlign w:val="bottom"/>
            <w:tcBorders>
              <w:top w:val="single" w:sz="8" w:color="666666"/>
            </w:tcBorders>
          </w:tcPr>
          <w:p>
            <w:pPr>
              <w:ind w:left="140"/>
              <w:spacing w:after="0" w:line="138" w:lineRule="exact"/>
              <w:rPr>
                <w:sz w:val="20"/>
                <w:szCs w:val="20"/>
                <w:color w:val="auto"/>
              </w:rPr>
            </w:pPr>
            <w:r>
              <w:rPr>
                <w:rFonts w:ascii="Arial" w:cs="Arial" w:eastAsia="Arial" w:hAnsi="Arial"/>
                <w:sz w:val="13"/>
                <w:szCs w:val="13"/>
                <w:b w:val="1"/>
                <w:bCs w:val="1"/>
                <w:color w:val="auto"/>
              </w:rPr>
              <w:t>NEOs other</w:t>
            </w:r>
          </w:p>
        </w:tc>
        <w:tc>
          <w:tcPr>
            <w:tcW w:w="60" w:type="dxa"/>
            <w:vAlign w:val="bottom"/>
            <w:tcBorders>
              <w:top w:val="single" w:sz="8" w:color="666666"/>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2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Elements</w:t>
            </w:r>
          </w:p>
        </w:tc>
        <w:tc>
          <w:tcPr>
            <w:tcW w:w="22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20" w:type="dxa"/>
            <w:vAlign w:val="bottom"/>
            <w:vMerge w:val="continue"/>
          </w:tcPr>
          <w:p>
            <w:pPr>
              <w:spacing w:after="0"/>
              <w:rPr>
                <w:sz w:val="14"/>
                <w:szCs w:val="14"/>
                <w:color w:val="auto"/>
              </w:rPr>
            </w:pP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40" w:type="dxa"/>
            <w:vAlign w:val="bottom"/>
            <w:vMerge w:val="continue"/>
          </w:tcPr>
          <w:p>
            <w:pPr>
              <w:spacing w:after="0"/>
              <w:rPr>
                <w:sz w:val="14"/>
                <w:szCs w:val="14"/>
                <w:color w:val="auto"/>
              </w:rPr>
            </w:pP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vMerge w:val="continue"/>
          </w:tcPr>
          <w:p>
            <w:pPr>
              <w:spacing w:after="0"/>
              <w:rPr>
                <w:sz w:val="14"/>
                <w:szCs w:val="14"/>
                <w:color w:val="auto"/>
              </w:rPr>
            </w:pP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ind w:left="200"/>
              <w:spacing w:after="0"/>
              <w:rPr>
                <w:sz w:val="20"/>
                <w:szCs w:val="20"/>
                <w:color w:val="auto"/>
              </w:rPr>
            </w:pPr>
            <w:r>
              <w:rPr>
                <w:rFonts w:ascii="Arial" w:cs="Arial" w:eastAsia="Arial" w:hAnsi="Arial"/>
                <w:sz w:val="13"/>
                <w:szCs w:val="13"/>
                <w:b w:val="1"/>
                <w:bCs w:val="1"/>
                <w:color w:val="auto"/>
              </w:rPr>
              <w:t>than CEO</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vMerge w:val="continue"/>
          </w:tcPr>
          <w:p>
            <w:pPr>
              <w:spacing w:after="0"/>
              <w:rPr>
                <w:sz w:val="14"/>
                <w:szCs w:val="14"/>
                <w:color w:val="auto"/>
              </w:rPr>
            </w:pP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than CEO</w:t>
            </w: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1480" w:type="dxa"/>
            <w:vAlign w:val="bottom"/>
            <w:tcBorders>
              <w:top w:val="single" w:sz="8" w:color="666666"/>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WAGE Program PSUs</w:t>
            </w:r>
          </w:p>
        </w:tc>
        <w:tc>
          <w:tcPr>
            <w:tcW w:w="220" w:type="dxa"/>
            <w:vAlign w:val="bottom"/>
            <w:tcBorders>
              <w:top w:val="single" w:sz="8" w:color="666666"/>
              <w:right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Forfeited</w:t>
            </w:r>
          </w:p>
        </w:tc>
        <w:tc>
          <w:tcPr>
            <w:tcW w:w="140" w:type="dxa"/>
            <w:vAlign w:val="bottom"/>
            <w:tcBorders>
              <w:top w:val="single" w:sz="8" w:color="666666"/>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Vests at end of</w:t>
            </w:r>
          </w:p>
        </w:tc>
        <w:tc>
          <w:tcPr>
            <w:tcW w:w="140" w:type="dxa"/>
            <w:vAlign w:val="bottom"/>
            <w:tcBorders>
              <w:top w:val="single" w:sz="8" w:color="666666"/>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Forfeited if</w:t>
            </w:r>
          </w:p>
        </w:tc>
        <w:tc>
          <w:tcPr>
            <w:tcW w:w="120" w:type="dxa"/>
            <w:vAlign w:val="bottom"/>
            <w:tcBorders>
              <w:top w:val="single" w:sz="8" w:color="666666"/>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Forfeited if</w:t>
            </w:r>
          </w:p>
        </w:tc>
        <w:tc>
          <w:tcPr>
            <w:tcW w:w="120" w:type="dxa"/>
            <w:vAlign w:val="bottom"/>
            <w:tcBorders>
              <w:top w:val="single" w:sz="8" w:color="666666"/>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666666"/>
            </w:tcBorders>
            <w:gridSpan w:val="2"/>
          </w:tcPr>
          <w:p>
            <w:pPr>
              <w:spacing w:after="0"/>
              <w:rPr>
                <w:sz w:val="20"/>
                <w:szCs w:val="20"/>
                <w:color w:val="auto"/>
              </w:rPr>
            </w:pPr>
            <w:r>
              <w:rPr>
                <w:rFonts w:ascii="Arial" w:cs="Arial" w:eastAsia="Arial" w:hAnsi="Arial"/>
                <w:sz w:val="13"/>
                <w:szCs w:val="13"/>
                <w:color w:val="auto"/>
                <w:w w:val="97"/>
              </w:rPr>
              <w:t>Vests at Target at​</w:t>
            </w:r>
          </w:p>
        </w:tc>
        <w:tc>
          <w:tcPr>
            <w:tcW w:w="60" w:type="dxa"/>
            <w:vAlign w:val="bottom"/>
            <w:tcBorders>
              <w:top w:val="single" w:sz="8" w:color="666666"/>
              <w:right w:val="single" w:sz="8" w:color="auto"/>
            </w:tcBorders>
          </w:tcPr>
          <w:p>
            <w:pPr>
              <w:spacing w:after="0"/>
              <w:rPr>
                <w:sz w:val="13"/>
                <w:szCs w:val="13"/>
                <w:color w:val="auto"/>
              </w:rPr>
            </w:pPr>
          </w:p>
        </w:tc>
        <w:tc>
          <w:tcPr>
            <w:tcW w:w="4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666666"/>
            </w:tcBorders>
          </w:tcPr>
          <w:p>
            <w:pPr>
              <w:spacing w:after="0"/>
              <w:rPr>
                <w:sz w:val="13"/>
                <w:szCs w:val="13"/>
                <w:color w:val="auto"/>
              </w:rPr>
            </w:pPr>
          </w:p>
        </w:tc>
        <w:tc>
          <w:tcPr>
            <w:tcW w:w="9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Vests at Target</w:t>
            </w:r>
          </w:p>
        </w:tc>
        <w:tc>
          <w:tcPr>
            <w:tcW w:w="120" w:type="dxa"/>
            <w:vAlign w:val="bottom"/>
            <w:tcBorders>
              <w:top w:val="single" w:sz="8" w:color="666666"/>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666666"/>
            </w:tcBorders>
          </w:tcPr>
          <w:p>
            <w:pPr>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Vests at Target</w:t>
            </w:r>
          </w:p>
        </w:tc>
        <w:tc>
          <w:tcPr>
            <w:tcW w:w="60" w:type="dxa"/>
            <w:vAlign w:val="bottom"/>
            <w:tcBorders>
              <w:top w:val="single" w:sz="8" w:color="666666"/>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before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before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end of</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at time of</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at time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w w:val="96"/>
              </w:rPr>
              <w:t>period based on</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4"/>
              </w:rPr>
              <w:t>January 1, 2024;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w w:val="94"/>
              </w:rPr>
              <w:t>January 1, 2024;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performance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Change in</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Change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actual</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if on or after</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if on or after</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period based on</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2"/>
              </w:rPr>
              <w:t>Control based on</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2"/>
              </w:rPr>
              <w:t>Control based 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4"/>
              </w:rPr>
              <w:t>January 1, 2024,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w w:val="94"/>
              </w:rPr>
              <w:t>January 1, 2024,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actual</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actual</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actual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4"/>
              </w:rPr>
              <w:t>pro-rated vesting</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w w:val="94"/>
              </w:rPr>
              <w:t>pro-rated vesting</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performance at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 at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 at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at end of</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at end of</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3"/>
              </w:rPr>
              <w:t>specified Change</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specified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specified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performance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w w:val="95"/>
              </w:rPr>
              <w:t>in Control metric;</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Change in</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Change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discretion</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8"/>
              </w:rPr>
              <w:t>period based on</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w w:val="98"/>
              </w:rPr>
              <w:t>period based on</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accelerated</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Control metric;</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Control metric;</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actual</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actual</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vesting at</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performance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performance</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Committee’s</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vesting at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discretion</w:t>
            </w: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Committee’s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0" w:type="dxa"/>
            <w:vAlign w:val="bottom"/>
            <w:tcBorders>
              <w:left w:val="single" w:sz="8" w:color="auto"/>
              <w:bottom w:val="single" w:sz="8" w:color="666666"/>
            </w:tcBorders>
          </w:tcPr>
          <w:p>
            <w:pPr>
              <w:spacing w:after="0"/>
              <w:rPr>
                <w:sz w:val="15"/>
                <w:szCs w:val="15"/>
                <w:color w:val="auto"/>
              </w:rPr>
            </w:pPr>
          </w:p>
        </w:tc>
        <w:tc>
          <w:tcPr>
            <w:tcW w:w="1260" w:type="dxa"/>
            <w:vAlign w:val="bottom"/>
            <w:tcBorders>
              <w:bottom w:val="single" w:sz="8" w:color="666666"/>
            </w:tcBorders>
          </w:tcPr>
          <w:p>
            <w:pPr>
              <w:spacing w:after="0"/>
              <w:rPr>
                <w:sz w:val="15"/>
                <w:szCs w:val="15"/>
                <w:color w:val="auto"/>
              </w:rPr>
            </w:pPr>
          </w:p>
        </w:tc>
        <w:tc>
          <w:tcPr>
            <w:tcW w:w="2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2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discretion</w:t>
            </w:r>
          </w:p>
        </w:tc>
        <w:tc>
          <w:tcPr>
            <w:tcW w:w="12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discretion</w:t>
            </w: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Health, Welfare and</w:t>
            </w:r>
          </w:p>
        </w:tc>
        <w:tc>
          <w:tcPr>
            <w:tcW w:w="2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spacing w:after="0"/>
              <w:rPr>
                <w:sz w:val="20"/>
                <w:szCs w:val="20"/>
                <w:color w:val="auto"/>
              </w:rPr>
            </w:pPr>
            <w:r>
              <w:rPr>
                <w:rFonts w:ascii="Arial" w:cs="Arial" w:eastAsia="Arial" w:hAnsi="Arial"/>
                <w:sz w:val="13"/>
                <w:szCs w:val="13"/>
                <w:color w:val="auto"/>
              </w:rPr>
              <w:t>​ None</w:t>
            </w:r>
          </w:p>
        </w:tc>
        <w:tc>
          <w:tcPr>
            <w:tcW w:w="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spacing w:after="0"/>
              <w:rPr>
                <w:sz w:val="20"/>
                <w:szCs w:val="20"/>
                <w:color w:val="auto"/>
              </w:rPr>
            </w:pPr>
            <w:r>
              <w:rPr>
                <w:rFonts w:ascii="Arial" w:cs="Arial" w:eastAsia="Arial" w:hAnsi="Arial"/>
                <w:sz w:val="13"/>
                <w:szCs w:val="13"/>
                <w:color w:val="auto"/>
              </w:rPr>
              <w:t>​ None</w:t>
            </w:r>
          </w:p>
        </w:tc>
        <w:tc>
          <w:tcPr>
            <w:tcW w:w="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18 months of</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12 months of</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spacing w:after="0"/>
              <w:rPr>
                <w:sz w:val="20"/>
                <w:szCs w:val="20"/>
                <w:color w:val="auto"/>
              </w:rPr>
            </w:pPr>
            <w:r>
              <w:rPr>
                <w:rFonts w:ascii="Arial" w:cs="Arial" w:eastAsia="Arial" w:hAnsi="Arial"/>
                <w:sz w:val="13"/>
                <w:szCs w:val="13"/>
                <w:color w:val="auto"/>
              </w:rPr>
              <w:t>​ Continues</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auto"/>
            </w:tcBorders>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 2.5 years of</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spacing w:after="0"/>
              <w:rPr>
                <w:sz w:val="20"/>
                <w:szCs w:val="20"/>
                <w:color w:val="auto"/>
              </w:rPr>
            </w:pPr>
            <w:r>
              <w:rPr>
                <w:rFonts w:ascii="Arial" w:cs="Arial" w:eastAsia="Arial" w:hAnsi="Arial"/>
                <w:sz w:val="13"/>
                <w:szCs w:val="13"/>
                <w:color w:val="auto"/>
              </w:rPr>
              <w:t>​ 2 years (1 year</w:t>
            </w:r>
          </w:p>
        </w:tc>
        <w:tc>
          <w:tcPr>
            <w:tcW w:w="6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Other Benefits</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continued dental</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w w:val="96"/>
              </w:rPr>
              <w:t>continued dental</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continued dental</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for Mr. Mills)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and health</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and health</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and health</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w w:val="96"/>
              </w:rPr>
              <w:t>continued dental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benefits;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benefits;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benefits;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and health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outplacement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outplacement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outplacement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benefits;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services for a</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services for a</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services for 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outplacement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period of</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period of</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period of</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services for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6 months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6 months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6 months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period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0" w:type="dxa"/>
            <w:vAlign w:val="bottom"/>
            <w:tcBorders>
              <w:left w:val="single" w:sz="8" w:color="auto"/>
              <w:bottom w:val="single" w:sz="8" w:color="666666"/>
            </w:tcBorders>
          </w:tcPr>
          <w:p>
            <w:pPr>
              <w:spacing w:after="0"/>
              <w:rPr>
                <w:sz w:val="15"/>
                <w:szCs w:val="15"/>
                <w:color w:val="auto"/>
              </w:rPr>
            </w:pPr>
          </w:p>
        </w:tc>
        <w:tc>
          <w:tcPr>
            <w:tcW w:w="1260" w:type="dxa"/>
            <w:vAlign w:val="bottom"/>
            <w:tcBorders>
              <w:bottom w:val="single" w:sz="8" w:color="666666"/>
            </w:tcBorders>
          </w:tcPr>
          <w:p>
            <w:pPr>
              <w:spacing w:after="0"/>
              <w:rPr>
                <w:sz w:val="15"/>
                <w:szCs w:val="15"/>
                <w:color w:val="auto"/>
              </w:rPr>
            </w:pPr>
          </w:p>
        </w:tc>
        <w:tc>
          <w:tcPr>
            <w:tcW w:w="2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2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4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40" w:type="dxa"/>
            <w:vAlign w:val="bottom"/>
            <w:tcBorders>
              <w:bottom w:val="single" w:sz="8" w:color="666666"/>
            </w:tcBorders>
          </w:tcPr>
          <w:p>
            <w:pPr>
              <w:spacing w:after="0"/>
              <w:rPr>
                <w:sz w:val="15"/>
                <w:szCs w:val="15"/>
                <w:color w:val="auto"/>
              </w:rPr>
            </w:pPr>
          </w:p>
        </w:tc>
        <w:tc>
          <w:tcPr>
            <w:tcW w:w="120" w:type="dxa"/>
            <w:vAlign w:val="bottom"/>
            <w:tcBorders>
              <w:bottom w:val="single" w:sz="8" w:color="666666"/>
              <w:right w:val="single" w:sz="8" w:color="auto"/>
            </w:tcBorders>
          </w:tcPr>
          <w:p>
            <w:pPr>
              <w:spacing w:after="0"/>
              <w:rPr>
                <w:sz w:val="15"/>
                <w:szCs w:val="15"/>
                <w:color w:val="auto"/>
              </w:rPr>
            </w:pPr>
          </w:p>
        </w:tc>
        <w:tc>
          <w:tcPr>
            <w:tcW w:w="10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tcBorders>
          </w:tcPr>
          <w:p>
            <w:pPr>
              <w:spacing w:after="0"/>
              <w:rPr>
                <w:sz w:val="15"/>
                <w:szCs w:val="15"/>
                <w:color w:val="auto"/>
              </w:rPr>
            </w:pPr>
          </w:p>
        </w:tc>
        <w:tc>
          <w:tcPr>
            <w:tcW w:w="60" w:type="dxa"/>
            <w:vAlign w:val="bottom"/>
            <w:tcBorders>
              <w:bottom w:val="single" w:sz="8" w:color="666666"/>
              <w:right w:val="single" w:sz="8" w:color="auto"/>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4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spacing w:after="0"/>
              <w:rPr>
                <w:sz w:val="15"/>
                <w:szCs w:val="15"/>
                <w:color w:val="auto"/>
              </w:rPr>
            </w:pPr>
          </w:p>
        </w:tc>
        <w:tc>
          <w:tcPr>
            <w:tcW w:w="120" w:type="dxa"/>
            <w:vAlign w:val="bottom"/>
            <w:tcBorders>
              <w:bottom w:val="single" w:sz="8" w:color="666666"/>
              <w:right w:val="single" w:sz="8" w:color="auto"/>
            </w:tcBorders>
          </w:tcPr>
          <w:p>
            <w:pPr>
              <w:spacing w:after="0"/>
              <w:rPr>
                <w:sz w:val="15"/>
                <w:szCs w:val="15"/>
                <w:color w:val="auto"/>
              </w:rPr>
            </w:pPr>
          </w:p>
        </w:tc>
        <w:tc>
          <w:tcPr>
            <w:tcW w:w="80" w:type="dxa"/>
            <w:vAlign w:val="bottom"/>
            <w:tcBorders>
              <w:bottom w:val="single" w:sz="8" w:color="666666"/>
            </w:tcBorders>
          </w:tcPr>
          <w:p>
            <w:pPr>
              <w:spacing w:after="0"/>
              <w:rPr>
                <w:sz w:val="15"/>
                <w:szCs w:val="15"/>
                <w:color w:val="auto"/>
              </w:rPr>
            </w:pPr>
          </w:p>
        </w:tc>
        <w:tc>
          <w:tcPr>
            <w:tcW w:w="960" w:type="dxa"/>
            <w:vAlign w:val="bottom"/>
            <w:tcBorders>
              <w:bottom w:val="single" w:sz="8" w:color="666666"/>
            </w:tcBorders>
          </w:tcPr>
          <w:p>
            <w:pPr>
              <w:ind w:left="20"/>
              <w:spacing w:after="0"/>
              <w:rPr>
                <w:sz w:val="20"/>
                <w:szCs w:val="20"/>
                <w:color w:val="auto"/>
              </w:rPr>
            </w:pPr>
            <w:r>
              <w:rPr>
                <w:rFonts w:ascii="Arial" w:cs="Arial" w:eastAsia="Arial" w:hAnsi="Arial"/>
                <w:sz w:val="13"/>
                <w:szCs w:val="13"/>
                <w:color w:val="auto"/>
              </w:rPr>
              <w:t>6 months</w:t>
            </w:r>
          </w:p>
        </w:tc>
        <w:tc>
          <w:tcPr>
            <w:tcW w:w="60" w:type="dxa"/>
            <w:vAlign w:val="bottom"/>
            <w:tcBorders>
              <w:bottom w:val="single" w:sz="8" w:color="66666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-3076575</wp:posOffset>
            </wp:positionV>
            <wp:extent cx="5134610" cy="5657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34610" cy="565785"/>
                    </a:xfrm>
                    <a:prstGeom prst="rect">
                      <a:avLst/>
                    </a:prstGeom>
                    <a:noFill/>
                  </pic:spPr>
                </pic:pic>
              </a:graphicData>
            </a:graphic>
          </wp:anchor>
        </w:drawing>
      </w:r>
    </w:p>
    <w:p>
      <w:pPr>
        <w:spacing w:after="0" w:line="15" w:lineRule="exact"/>
        <w:rPr>
          <w:sz w:val="20"/>
          <w:szCs w:val="20"/>
          <w:color w:val="auto"/>
        </w:rPr>
      </w:pPr>
    </w:p>
    <w:p>
      <w:pPr>
        <w:ind w:left="800" w:hanging="362"/>
        <w:spacing w:after="0"/>
        <w:tabs>
          <w:tab w:leader="none" w:pos="800" w:val="left"/>
        </w:tabs>
        <w:numPr>
          <w:ilvl w:val="0"/>
          <w:numId w:val="60"/>
        </w:numPr>
        <w:rPr>
          <w:rFonts w:ascii="Arial" w:cs="Arial" w:eastAsia="Arial" w:hAnsi="Arial"/>
          <w:sz w:val="22"/>
          <w:szCs w:val="22"/>
          <w:color w:val="BA0C2F"/>
          <w:vertAlign w:val="superscript"/>
        </w:rPr>
      </w:pPr>
      <w:r>
        <w:rPr>
          <w:rFonts w:ascii="Arial" w:cs="Arial" w:eastAsia="Arial" w:hAnsi="Arial"/>
          <w:sz w:val="14"/>
          <w:szCs w:val="14"/>
          <w:color w:val="auto"/>
        </w:rPr>
        <w:t>Under the Executive Severance Plan, benefits are only payable in the event of a “Qualifying Termination” which is defined as a termination by the</w:t>
      </w:r>
    </w:p>
    <w:p>
      <w:pPr>
        <w:ind w:left="800"/>
        <w:spacing w:after="0"/>
        <w:rPr>
          <w:rFonts w:ascii="Arial" w:cs="Arial" w:eastAsia="Arial" w:hAnsi="Arial"/>
          <w:sz w:val="22"/>
          <w:szCs w:val="22"/>
          <w:color w:val="BA0C2F"/>
          <w:vertAlign w:val="superscript"/>
        </w:rPr>
      </w:pPr>
      <w:r>
        <w:rPr>
          <w:rFonts w:ascii="Arial" w:cs="Arial" w:eastAsia="Arial" w:hAnsi="Arial"/>
          <w:sz w:val="14"/>
          <w:szCs w:val="14"/>
          <w:color w:val="auto"/>
        </w:rPr>
        <w:t>Company without “Cause” or by the participant for “Good Reason” (each​ as defined in the Executive Severance Plan).</w:t>
      </w:r>
    </w:p>
    <w:p>
      <w:pPr>
        <w:spacing w:after="0" w:line="1" w:lineRule="exact"/>
        <w:rPr>
          <w:rFonts w:ascii="Arial" w:cs="Arial" w:eastAsia="Arial" w:hAnsi="Arial"/>
          <w:sz w:val="22"/>
          <w:szCs w:val="22"/>
          <w:color w:val="BA0C2F"/>
          <w:vertAlign w:val="superscript"/>
        </w:rPr>
      </w:pPr>
    </w:p>
    <w:p>
      <w:pPr>
        <w:ind w:left="800" w:right="420" w:hanging="362"/>
        <w:spacing w:after="0" w:line="203" w:lineRule="auto"/>
        <w:tabs>
          <w:tab w:leader="none" w:pos="800" w:val="left"/>
        </w:tabs>
        <w:numPr>
          <w:ilvl w:val="0"/>
          <w:numId w:val="60"/>
        </w:numPr>
        <w:rPr>
          <w:rFonts w:ascii="Arial" w:cs="Arial" w:eastAsia="Arial" w:hAnsi="Arial"/>
          <w:sz w:val="22"/>
          <w:szCs w:val="22"/>
          <w:color w:val="BA0C2F"/>
          <w:vertAlign w:val="superscript"/>
        </w:rPr>
      </w:pPr>
      <w:r>
        <w:rPr>
          <w:rFonts w:ascii="Arial" w:cs="Arial" w:eastAsia="Arial" w:hAnsi="Arial"/>
          <w:sz w:val="14"/>
          <w:szCs w:val="14"/>
          <w:color w:val="auto"/>
        </w:rPr>
        <w:t>Under the terms of the CIC Severance Plan, “Annual Bonus” is defined as the NEO’s annual bonus under the then-current non-equity incentive compensation plan.</w:t>
      </w:r>
    </w:p>
    <w:p>
      <w:pPr>
        <w:ind w:left="800" w:hanging="362"/>
        <w:spacing w:after="0" w:line="195" w:lineRule="auto"/>
        <w:tabs>
          <w:tab w:leader="none" w:pos="800" w:val="left"/>
        </w:tabs>
        <w:numPr>
          <w:ilvl w:val="0"/>
          <w:numId w:val="60"/>
        </w:numPr>
        <w:rPr>
          <w:rFonts w:ascii="Arial" w:cs="Arial" w:eastAsia="Arial" w:hAnsi="Arial"/>
          <w:sz w:val="22"/>
          <w:szCs w:val="22"/>
          <w:color w:val="BA0C2F"/>
          <w:vertAlign w:val="superscript"/>
        </w:rPr>
      </w:pPr>
      <w:r>
        <w:rPr>
          <w:rFonts w:ascii="Arial" w:cs="Arial" w:eastAsia="Arial" w:hAnsi="Arial"/>
          <w:sz w:val="14"/>
          <w:szCs w:val="14"/>
          <w:color w:val="auto"/>
        </w:rPr>
        <w:t>An NEO must be continuously employed by the Company on the payment date in order to receive a payment. Therefore, if an NEO retires or resigns, any unpaid Cash Award, whether vested or unvested, is forfeited as of their date of termination.</w:t>
      </w:r>
    </w:p>
    <w:p>
      <w:pPr>
        <w:spacing w:after="0" w:line="1"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60"/>
        </w:numPr>
        <w:rPr>
          <w:rFonts w:ascii="Arial" w:cs="Arial" w:eastAsia="Arial" w:hAnsi="Arial"/>
          <w:sz w:val="20"/>
          <w:szCs w:val="20"/>
          <w:color w:val="BA0C2F"/>
          <w:vertAlign w:val="superscript"/>
        </w:rPr>
      </w:pPr>
      <w:r>
        <w:rPr>
          <w:rFonts w:ascii="Arial" w:cs="Arial" w:eastAsia="Arial" w:hAnsi="Arial"/>
          <w:sz w:val="14"/>
          <w:szCs w:val="14"/>
          <w:color w:val="auto"/>
        </w:rPr>
        <w:t>Under the LTCIP and LTCIP award agreements, all Cash Awards are forfeited if the NEO is terminated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3640455</wp:posOffset>
            </wp:positionV>
            <wp:extent cx="6231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20" w:hanging="282"/>
        <w:spacing w:after="0"/>
        <w:tabs>
          <w:tab w:leader="none" w:pos="720" w:val="left"/>
        </w:tabs>
        <w:numPr>
          <w:ilvl w:val="0"/>
          <w:numId w:val="6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666666"/>
        </w:rPr>
        <w:t>EXECUTIVE COMPENSATION TABLES</w:t>
      </w:r>
    </w:p>
    <w:p>
      <w:pPr>
        <w:spacing w:after="0" w:line="138" w:lineRule="exact"/>
        <w:rPr>
          <w:sz w:val="20"/>
          <w:szCs w:val="20"/>
          <w:color w:val="auto"/>
        </w:rPr>
      </w:pPr>
    </w:p>
    <w:p>
      <w:pPr>
        <w:ind w:left="440" w:right="1120"/>
        <w:spacing w:after="0" w:line="277" w:lineRule="auto"/>
        <w:rPr>
          <w:sz w:val="20"/>
          <w:szCs w:val="20"/>
          <w:color w:val="auto"/>
        </w:rPr>
      </w:pPr>
      <w:r>
        <w:rPr>
          <w:rFonts w:ascii="Arial" w:cs="Arial" w:eastAsia="Arial" w:hAnsi="Arial"/>
          <w:sz w:val="29"/>
          <w:szCs w:val="29"/>
          <w:b w:val="1"/>
          <w:bCs w:val="1"/>
          <w:color w:val="auto"/>
        </w:rPr>
        <w:t>ESTIMATE OF POTENTIAL PAYMENTS UPON TERMINATION OR CHANGE OF CONTROL</w:t>
      </w:r>
    </w:p>
    <w:p>
      <w:pPr>
        <w:spacing w:after="0" w:line="1"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2021, and using the closing market price of our ordinary shares as of that date.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2021; these actual payments are described in “2021 Summary Compensation Table” on page 41. A zero (0) or “—” indicates either that there is no amount payable to the NEO, or the amount payable is generally available for both the NEOs and all salaried employees.</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080" w:type="dxa"/>
            <w:vAlign w:val="bottom"/>
          </w:tcPr>
          <w:p>
            <w:pPr>
              <w:jc w:val="center"/>
              <w:ind w:right="3935"/>
              <w:spacing w:after="0"/>
              <w:rPr>
                <w:sz w:val="20"/>
                <w:szCs w:val="20"/>
                <w:color w:val="auto"/>
              </w:rPr>
            </w:pPr>
            <w:r>
              <w:rPr>
                <w:rFonts w:ascii="Arial" w:cs="Arial" w:eastAsia="Arial" w:hAnsi="Arial"/>
                <w:sz w:val="14"/>
                <w:szCs w:val="14"/>
                <w:color w:val="FFFFFF"/>
              </w:rPr>
              <w:t>​​</w:t>
            </w:r>
          </w:p>
        </w:tc>
        <w:tc>
          <w:tcPr>
            <w:tcW w:w="500" w:type="dxa"/>
            <w:vAlign w:val="bottom"/>
          </w:tcPr>
          <w:p>
            <w:pPr>
              <w:ind w:left="420"/>
              <w:spacing w:after="0"/>
              <w:rPr>
                <w:sz w:val="20"/>
                <w:szCs w:val="20"/>
                <w:color w:val="auto"/>
              </w:rPr>
            </w:pPr>
            <w:r>
              <w:rPr>
                <w:rFonts w:ascii="Arial" w:cs="Arial" w:eastAsia="Arial" w:hAnsi="Arial"/>
                <w:sz w:val="14"/>
                <w:szCs w:val="14"/>
                <w:color w:val="FFFFFF"/>
              </w:rPr>
              <w:t>​</w:t>
            </w:r>
          </w:p>
        </w:tc>
        <w:tc>
          <w:tcPr>
            <w:tcW w:w="80" w:type="dxa"/>
            <w:vAlign w:val="bottom"/>
            <w:tcBorders>
              <w:bottom w:val="single" w:sz="8" w:color="auto"/>
            </w:tcBorders>
            <w:shd w:val="clear" w:color="auto" w:fill="BA0C2F"/>
          </w:tcPr>
          <w:p>
            <w:pPr>
              <w:jc w:val="right"/>
              <w:spacing w:after="0"/>
              <w:rPr>
                <w:sz w:val="20"/>
                <w:szCs w:val="20"/>
                <w:color w:val="auto"/>
              </w:rPr>
            </w:pPr>
            <w:r>
              <w:rPr>
                <w:rFonts w:ascii="Arial" w:cs="Arial" w:eastAsia="Arial" w:hAnsi="Arial"/>
                <w:sz w:val="14"/>
                <w:szCs w:val="14"/>
                <w:color w:val="FFFFFF"/>
              </w:rPr>
              <w:t>​</w:t>
            </w:r>
          </w:p>
        </w:tc>
        <w:tc>
          <w:tcPr>
            <w:tcW w:w="360" w:type="dxa"/>
            <w:vAlign w:val="bottom"/>
            <w:tcBorders>
              <w:bottom w:val="single" w:sz="8" w:color="auto"/>
            </w:tcBorders>
            <w:shd w:val="clear" w:color="auto" w:fill="BA0C2F"/>
          </w:tcPr>
          <w:p>
            <w:pPr>
              <w:spacing w:after="0"/>
              <w:rPr>
                <w:sz w:val="18"/>
                <w:szCs w:val="18"/>
                <w:color w:val="auto"/>
              </w:rPr>
            </w:pPr>
          </w:p>
        </w:tc>
        <w:tc>
          <w:tcPr>
            <w:tcW w:w="720" w:type="dxa"/>
            <w:vAlign w:val="bottom"/>
            <w:tcBorders>
              <w:bottom w:val="single" w:sz="8" w:color="auto"/>
            </w:tcBorders>
            <w:shd w:val="clear" w:color="auto" w:fill="BA0C2F"/>
          </w:tcPr>
          <w:p>
            <w:pPr>
              <w:spacing w:after="0"/>
              <w:rPr>
                <w:sz w:val="18"/>
                <w:szCs w:val="18"/>
                <w:color w:val="auto"/>
              </w:rPr>
            </w:pPr>
          </w:p>
        </w:tc>
        <w:tc>
          <w:tcPr>
            <w:tcW w:w="420" w:type="dxa"/>
            <w:vAlign w:val="bottom"/>
            <w:tcBorders>
              <w:bottom w:val="single" w:sz="8" w:color="auto"/>
            </w:tcBorders>
            <w:shd w:val="clear" w:color="auto" w:fill="BA0C2F"/>
          </w:tcPr>
          <w:p>
            <w:pPr>
              <w:spacing w:after="0"/>
              <w:rPr>
                <w:sz w:val="18"/>
                <w:szCs w:val="18"/>
                <w:color w:val="auto"/>
              </w:rPr>
            </w:pPr>
          </w:p>
        </w:tc>
        <w:tc>
          <w:tcPr>
            <w:tcW w:w="420" w:type="dxa"/>
            <w:vAlign w:val="bottom"/>
            <w:tcBorders>
              <w:bottom w:val="single" w:sz="8" w:color="auto"/>
            </w:tcBorders>
            <w:shd w:val="clear" w:color="auto" w:fill="BA0C2F"/>
          </w:tcPr>
          <w:p>
            <w:pPr>
              <w:spacing w:after="0"/>
              <w:rPr>
                <w:sz w:val="18"/>
                <w:szCs w:val="18"/>
                <w:color w:val="auto"/>
              </w:rPr>
            </w:pPr>
          </w:p>
        </w:tc>
        <w:tc>
          <w:tcPr>
            <w:tcW w:w="1300" w:type="dxa"/>
            <w:vAlign w:val="bottom"/>
            <w:tcBorders>
              <w:bottom w:val="single" w:sz="8" w:color="auto"/>
            </w:tcBorders>
            <w:gridSpan w:val="4"/>
            <w:shd w:val="clear" w:color="auto" w:fill="BA0C2F"/>
          </w:tcPr>
          <w:p>
            <w:pPr>
              <w:ind w:left="20"/>
              <w:spacing w:after="0"/>
              <w:rPr>
                <w:sz w:val="20"/>
                <w:szCs w:val="20"/>
                <w:color w:val="auto"/>
              </w:rPr>
            </w:pPr>
            <w:r>
              <w:rPr>
                <w:rFonts w:ascii="Arial" w:cs="Arial" w:eastAsia="Arial" w:hAnsi="Arial"/>
                <w:sz w:val="14"/>
                <w:szCs w:val="14"/>
                <w:color w:val="FFFFFF"/>
              </w:rPr>
              <w:t>Hypothetical Event</w:t>
            </w:r>
          </w:p>
        </w:tc>
        <w:tc>
          <w:tcPr>
            <w:tcW w:w="740" w:type="dxa"/>
            <w:vAlign w:val="bottom"/>
            <w:tcBorders>
              <w:bottom w:val="single" w:sz="8" w:color="auto"/>
            </w:tcBorders>
            <w:shd w:val="clear" w:color="auto" w:fill="BA0C2F"/>
          </w:tcPr>
          <w:p>
            <w:pPr>
              <w:spacing w:after="0"/>
              <w:rPr>
                <w:sz w:val="18"/>
                <w:szCs w:val="18"/>
                <w:color w:val="auto"/>
              </w:rPr>
            </w:pPr>
          </w:p>
        </w:tc>
        <w:tc>
          <w:tcPr>
            <w:tcW w:w="160" w:type="dxa"/>
            <w:vAlign w:val="bottom"/>
            <w:tcBorders>
              <w:bottom w:val="single" w:sz="8" w:color="auto"/>
            </w:tcBorders>
            <w:shd w:val="clear" w:color="auto" w:fill="BA0C2F"/>
          </w:tcPr>
          <w:p>
            <w:pPr>
              <w:spacing w:after="0"/>
              <w:rPr>
                <w:sz w:val="18"/>
                <w:szCs w:val="18"/>
                <w:color w:val="auto"/>
              </w:rPr>
            </w:pPr>
          </w:p>
        </w:tc>
        <w:tc>
          <w:tcPr>
            <w:tcW w:w="220" w:type="dxa"/>
            <w:vAlign w:val="bottom"/>
            <w:tcBorders>
              <w:bottom w:val="single" w:sz="8" w:color="auto"/>
            </w:tcBorders>
            <w:shd w:val="clear" w:color="auto" w:fill="BA0C2F"/>
          </w:tcPr>
          <w:p>
            <w:pPr>
              <w:spacing w:after="0"/>
              <w:rPr>
                <w:sz w:val="18"/>
                <w:szCs w:val="18"/>
                <w:color w:val="auto"/>
              </w:rPr>
            </w:pPr>
          </w:p>
        </w:tc>
        <w:tc>
          <w:tcPr>
            <w:tcW w:w="740" w:type="dxa"/>
            <w:vAlign w:val="bottom"/>
            <w:tcBorders>
              <w:bottom w:val="single" w:sz="8" w:color="auto"/>
            </w:tcBorders>
            <w:shd w:val="clear" w:color="auto" w:fill="BA0C2F"/>
          </w:tcPr>
          <w:p>
            <w:pPr>
              <w:spacing w:after="0"/>
              <w:rPr>
                <w:sz w:val="18"/>
                <w:szCs w:val="18"/>
                <w:color w:val="auto"/>
              </w:rPr>
            </w:pPr>
          </w:p>
        </w:tc>
        <w:tc>
          <w:tcPr>
            <w:tcW w:w="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shd w:val="clear" w:color="auto" w:fill="BA0C2F"/>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Change 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Control with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FFFFFF"/>
              </w:rPr>
              <w:t>Retirement or</w:t>
            </w:r>
          </w:p>
        </w:tc>
        <w:tc>
          <w:tcPr>
            <w:tcW w:w="840" w:type="dxa"/>
            <w:vAlign w:val="bottom"/>
            <w:gridSpan w:val="2"/>
          </w:tcPr>
          <w:p>
            <w:pPr>
              <w:spacing w:after="0"/>
              <w:rPr>
                <w:sz w:val="20"/>
                <w:szCs w:val="20"/>
                <w:color w:val="auto"/>
              </w:rPr>
            </w:pPr>
            <w:r>
              <w:rPr>
                <w:rFonts w:ascii="Arial" w:cs="Arial" w:eastAsia="Arial" w:hAnsi="Arial"/>
                <w:sz w:val="14"/>
                <w:szCs w:val="14"/>
                <w:color w:val="FFFFFF"/>
              </w:rPr>
              <w:t>Termination</w:t>
            </w:r>
          </w:p>
        </w:tc>
        <w:tc>
          <w:tcPr>
            <w:tcW w:w="20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color w:val="FFFFFF"/>
              </w:rPr>
              <w:t>Death or</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b w:val="1"/>
                <w:bCs w:val="1"/>
                <w:color w:val="auto"/>
              </w:rPr>
              <w:t>Girishchandra K. Saligram</w:t>
            </w:r>
          </w:p>
        </w:tc>
        <w:tc>
          <w:tcPr>
            <w:tcW w:w="500" w:type="dxa"/>
            <w:vAlign w:val="bottom"/>
          </w:tcPr>
          <w:p>
            <w:pPr>
              <w:ind w:left="460"/>
              <w:spacing w:after="0"/>
              <w:rPr>
                <w:sz w:val="20"/>
                <w:szCs w:val="20"/>
                <w:color w:val="auto"/>
              </w:rPr>
            </w:pPr>
            <w:r>
              <w:rPr>
                <w:rFonts w:ascii="Arial" w:cs="Arial" w:eastAsia="Arial" w:hAnsi="Arial"/>
                <w:sz w:val="14"/>
                <w:szCs w:val="14"/>
                <w:color w:val="FFFFFF"/>
              </w:rPr>
              <w:t>​</w:t>
            </w:r>
          </w:p>
        </w:tc>
        <w:tc>
          <w:tcPr>
            <w:tcW w:w="80" w:type="dxa"/>
            <w:vAlign w:val="bottom"/>
            <w:shd w:val="clear" w:color="auto" w:fill="BA0C2F"/>
          </w:tcPr>
          <w:p>
            <w:pPr>
              <w:jc w:val="right"/>
              <w:spacing w:after="0"/>
              <w:rPr>
                <w:sz w:val="20"/>
                <w:szCs w:val="20"/>
                <w:color w:val="auto"/>
              </w:rPr>
            </w:pPr>
            <w:r>
              <w:rPr>
                <w:rFonts w:ascii="Arial" w:cs="Arial" w:eastAsia="Arial" w:hAnsi="Arial"/>
                <w:sz w:val="14"/>
                <w:szCs w:val="14"/>
                <w:color w:val="FFFFFF"/>
              </w:rPr>
              <w:t>​</w:t>
            </w:r>
          </w:p>
        </w:tc>
        <w:tc>
          <w:tcPr>
            <w:tcW w:w="1080" w:type="dxa"/>
            <w:vAlign w:val="bottom"/>
            <w:gridSpan w:val="2"/>
          </w:tcPr>
          <w:p>
            <w:pPr>
              <w:ind w:left="80"/>
              <w:spacing w:after="0" w:line="199" w:lineRule="exact"/>
              <w:rPr>
                <w:sz w:val="20"/>
                <w:szCs w:val="20"/>
                <w:color w:val="auto"/>
              </w:rPr>
            </w:pPr>
            <w:r>
              <w:rPr>
                <w:rFonts w:ascii="Arial" w:cs="Arial" w:eastAsia="Arial" w:hAnsi="Arial"/>
                <w:sz w:val="12"/>
                <w:szCs w:val="12"/>
                <w:color w:val="FFFFFF"/>
              </w:rPr>
              <w:t xml:space="preserve">Resignation  </w:t>
            </w:r>
            <w:r>
              <w:rPr>
                <w:rFonts w:ascii="Arial" w:cs="Arial" w:eastAsia="Arial" w:hAnsi="Arial"/>
                <w:sz w:val="22"/>
                <w:szCs w:val="22"/>
                <w:color w:val="FFFFFF"/>
                <w:vertAlign w:val="subscript"/>
              </w:rPr>
              <w:t>​ ​</w:t>
            </w:r>
          </w:p>
        </w:tc>
        <w:tc>
          <w:tcPr>
            <w:tcW w:w="1040" w:type="dxa"/>
            <w:vAlign w:val="bottom"/>
            <w:gridSpan w:val="3"/>
          </w:tcPr>
          <w:p>
            <w:pPr>
              <w:ind w:left="80"/>
              <w:spacing w:after="0" w:line="199" w:lineRule="exact"/>
              <w:rPr>
                <w:sz w:val="20"/>
                <w:szCs w:val="20"/>
                <w:color w:val="auto"/>
              </w:rPr>
            </w:pPr>
            <w:r>
              <w:rPr>
                <w:rFonts w:ascii="Arial" w:cs="Arial" w:eastAsia="Arial" w:hAnsi="Arial"/>
                <w:sz w:val="12"/>
                <w:szCs w:val="12"/>
                <w:color w:val="FFFFFF"/>
              </w:rPr>
              <w:t xml:space="preserve">for Cause  </w:t>
            </w:r>
            <w:r>
              <w:rPr>
                <w:rFonts w:ascii="Arial" w:cs="Arial" w:eastAsia="Arial" w:hAnsi="Arial"/>
                <w:sz w:val="22"/>
                <w:szCs w:val="22"/>
                <w:color w:val="FFFFFF"/>
                <w:vertAlign w:val="subscript"/>
              </w:rPr>
              <w:t>​ ​</w:t>
            </w:r>
          </w:p>
        </w:tc>
        <w:tc>
          <w:tcPr>
            <w:tcW w:w="880" w:type="dxa"/>
            <w:vAlign w:val="bottom"/>
            <w:gridSpan w:val="2"/>
          </w:tcPr>
          <w:p>
            <w:pPr>
              <w:jc w:val="right"/>
              <w:spacing w:after="0" w:line="199" w:lineRule="exact"/>
              <w:rPr>
                <w:sz w:val="20"/>
                <w:szCs w:val="20"/>
                <w:color w:val="auto"/>
              </w:rPr>
            </w:pPr>
            <w:r>
              <w:rPr>
                <w:rFonts w:ascii="Arial" w:cs="Arial" w:eastAsia="Arial" w:hAnsi="Arial"/>
                <w:sz w:val="12"/>
                <w:szCs w:val="12"/>
                <w:color w:val="FFFFFF"/>
              </w:rPr>
              <w:t xml:space="preserve">Disability  </w:t>
            </w:r>
            <w:r>
              <w:rPr>
                <w:rFonts w:ascii="Arial" w:cs="Arial" w:eastAsia="Arial" w:hAnsi="Arial"/>
                <w:sz w:val="22"/>
                <w:szCs w:val="22"/>
                <w:color w:val="FFFFFF"/>
                <w:vertAlign w:val="subscript"/>
              </w:rPr>
              <w:t>​ ​</w:t>
            </w:r>
          </w:p>
        </w:tc>
        <w:tc>
          <w:tcPr>
            <w:tcW w:w="22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FFFFFF"/>
              </w:rPr>
              <w:t>Reason</w:t>
            </w:r>
          </w:p>
        </w:tc>
        <w:tc>
          <w:tcPr>
            <w:tcW w:w="160" w:type="dxa"/>
            <w:vAlign w:val="bottom"/>
          </w:tcPr>
          <w:p>
            <w:pPr>
              <w:jc w:val="right"/>
              <w:spacing w:after="0"/>
              <w:rPr>
                <w:sz w:val="20"/>
                <w:szCs w:val="20"/>
                <w:color w:val="auto"/>
              </w:rPr>
            </w:pPr>
            <w:r>
              <w:rPr>
                <w:rFonts w:ascii="Arial" w:cs="Arial" w:eastAsia="Arial" w:hAnsi="Arial"/>
                <w:sz w:val="14"/>
                <w:szCs w:val="14"/>
                <w:color w:val="FFFFFF"/>
              </w:rPr>
              <w:t>​ ​</w:t>
            </w:r>
          </w:p>
        </w:tc>
        <w:tc>
          <w:tcPr>
            <w:tcW w:w="220" w:type="dxa"/>
            <w:vAlign w:val="bottom"/>
          </w:tcPr>
          <w:p>
            <w:pPr>
              <w:spacing w:after="0"/>
              <w:rPr>
                <w:sz w:val="17"/>
                <w:szCs w:val="17"/>
                <w:color w:val="auto"/>
              </w:rPr>
            </w:pPr>
          </w:p>
        </w:tc>
        <w:tc>
          <w:tcPr>
            <w:tcW w:w="740" w:type="dxa"/>
            <w:vAlign w:val="bottom"/>
          </w:tcPr>
          <w:p>
            <w:pPr>
              <w:jc w:val="center"/>
              <w:ind w:right="130"/>
              <w:spacing w:after="0"/>
              <w:rPr>
                <w:sz w:val="20"/>
                <w:szCs w:val="20"/>
                <w:color w:val="auto"/>
              </w:rPr>
            </w:pPr>
            <w:r>
              <w:rPr>
                <w:rFonts w:ascii="Arial" w:cs="Arial" w:eastAsia="Arial" w:hAnsi="Arial"/>
                <w:sz w:val="14"/>
                <w:szCs w:val="14"/>
                <w:color w:val="FFFFFF"/>
              </w:rPr>
              <w:t>Reason</w:t>
            </w:r>
          </w:p>
        </w:tc>
        <w:tc>
          <w:tcPr>
            <w:tcW w:w="8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Cash Severance</w:t>
            </w:r>
            <w:r>
              <w:rPr>
                <w:rFonts w:ascii="Arial" w:cs="Arial" w:eastAsia="Arial" w:hAnsi="Arial"/>
                <w:sz w:val="17"/>
                <w:szCs w:val="17"/>
                <w:color w:val="auto"/>
                <w:vertAlign w:val="superscript"/>
              </w:rPr>
              <w:t>(1)</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4,084,375</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82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6,109,375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Annual Cash Incentive Compensation</w:t>
            </w:r>
            <w:r>
              <w:rPr>
                <w:rFonts w:ascii="Arial" w:cs="Arial" w:eastAsia="Arial" w:hAnsi="Arial"/>
                <w:sz w:val="17"/>
                <w:szCs w:val="17"/>
                <w:color w:val="auto"/>
                <w:vertAlign w:val="superscript"/>
              </w:rPr>
              <w:t>(2)</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2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Long-Term Cash Incentive Compensation</w:t>
            </w:r>
            <w:r>
              <w:rPr>
                <w:rFonts w:ascii="Arial" w:cs="Arial" w:eastAsia="Arial" w:hAnsi="Arial"/>
                <w:sz w:val="17"/>
                <w:szCs w:val="17"/>
                <w:color w:val="auto"/>
                <w:vertAlign w:val="superscript"/>
              </w:rPr>
              <w:t>(3)</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350,625</w:t>
            </w:r>
            <w:r>
              <w:rPr>
                <w:rFonts w:ascii="Arial" w:cs="Arial" w:eastAsia="Arial" w:hAnsi="Arial"/>
                <w:sz w:val="27"/>
                <w:szCs w:val="27"/>
                <w:color w:val="auto"/>
                <w:vertAlign w:val="subscript"/>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350,625</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350,625</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82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350,625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RSUs — Unvested and Accelerated</w:t>
            </w:r>
            <w:r>
              <w:rPr>
                <w:rFonts w:ascii="Arial" w:cs="Arial" w:eastAsia="Arial" w:hAnsi="Arial"/>
                <w:sz w:val="17"/>
                <w:szCs w:val="17"/>
                <w:color w:val="auto"/>
                <w:vertAlign w:val="superscript"/>
              </w:rPr>
              <w:t>(4)</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10,058,091</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3,768,201</w:t>
            </w:r>
            <w:r>
              <w:rPr>
                <w:rFonts w:ascii="Arial" w:cs="Arial" w:eastAsia="Arial" w:hAnsi="Arial"/>
                <w:sz w:val="27"/>
                <w:szCs w:val="27"/>
                <w:color w:val="auto"/>
                <w:vertAlign w:val="subscript"/>
              </w:rPr>
              <w:t>​​ ​</w:t>
            </w:r>
          </w:p>
        </w:tc>
        <w:tc>
          <w:tcPr>
            <w:tcW w:w="1040" w:type="dxa"/>
            <w:vAlign w:val="bottom"/>
            <w:tcBorders>
              <w:bottom w:val="single" w:sz="8" w:color="666666"/>
            </w:tcBorders>
            <w:gridSpan w:val="4"/>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$ 10,058,091</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PSUs — Unvested and Accelerated</w:t>
            </w:r>
            <w:r>
              <w:rPr>
                <w:rFonts w:ascii="Arial" w:cs="Arial" w:eastAsia="Arial" w:hAnsi="Arial"/>
                <w:sz w:val="17"/>
                <w:szCs w:val="17"/>
                <w:color w:val="auto"/>
                <w:vertAlign w:val="superscript"/>
              </w:rPr>
              <w:t>(5)</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13,851,767</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6,887,699</w:t>
            </w:r>
            <w:r>
              <w:rPr>
                <w:rFonts w:ascii="Arial" w:cs="Arial" w:eastAsia="Arial" w:hAnsi="Arial"/>
                <w:sz w:val="27"/>
                <w:szCs w:val="27"/>
                <w:color w:val="auto"/>
                <w:vertAlign w:val="subscript"/>
              </w:rPr>
              <w:t>​​ ​</w:t>
            </w:r>
          </w:p>
        </w:tc>
        <w:tc>
          <w:tcPr>
            <w:tcW w:w="1040" w:type="dxa"/>
            <w:vAlign w:val="bottom"/>
            <w:tcBorders>
              <w:bottom w:val="single" w:sz="8" w:color="666666"/>
            </w:tcBorders>
            <w:gridSpan w:val="4"/>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$ 27,703,534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Phantom RSUs — Unvested and Accelerated</w:t>
            </w:r>
            <w:r>
              <w:rPr>
                <w:rFonts w:ascii="Arial" w:cs="Arial" w:eastAsia="Arial" w:hAnsi="Arial"/>
                <w:sz w:val="17"/>
                <w:szCs w:val="17"/>
                <w:color w:val="auto"/>
                <w:vertAlign w:val="superscript"/>
              </w:rPr>
              <w:t>(6)</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701,244</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701,244</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2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701,244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WAGE Program PSUs — Unvested and Accelerated</w:t>
            </w:r>
            <w:r>
              <w:rPr>
                <w:rFonts w:ascii="Arial" w:cs="Arial" w:eastAsia="Arial" w:hAnsi="Arial"/>
                <w:sz w:val="17"/>
                <w:szCs w:val="17"/>
                <w:color w:val="auto"/>
                <w:vertAlign w:val="superscript"/>
              </w:rPr>
              <w:t>(7)</w:t>
            </w:r>
          </w:p>
        </w:tc>
        <w:tc>
          <w:tcPr>
            <w:tcW w:w="580" w:type="dxa"/>
            <w:vAlign w:val="bottom"/>
            <w:tcBorders>
              <w:bottom w:val="single" w:sz="8" w:color="666666"/>
            </w:tcBorders>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420" w:type="dxa"/>
            <w:vAlign w:val="bottom"/>
            <w:tcBorders>
              <w:bottom w:val="single" w:sz="8" w:color="666666"/>
            </w:tcBorders>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6,584,304</w:t>
            </w:r>
            <w:r>
              <w:rPr>
                <w:rFonts w:ascii="Arial" w:cs="Arial" w:eastAsia="Arial" w:hAnsi="Arial"/>
                <w:sz w:val="27"/>
                <w:szCs w:val="27"/>
                <w:color w:val="auto"/>
                <w:vertAlign w:val="subscript"/>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9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2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2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Welfare and Other Benefits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60" w:type="dxa"/>
            <w:vAlign w:val="bottom"/>
          </w:tcPr>
          <w:p>
            <w:pPr>
              <w:ind w:left="2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2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420" w:type="dxa"/>
            <w:vAlign w:val="bottom"/>
          </w:tcPr>
          <w:p>
            <w:pPr>
              <w:ind w:left="10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62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88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220" w:type="dxa"/>
            <w:vAlign w:val="bottom"/>
          </w:tcPr>
          <w:p>
            <w:pPr>
              <w:ind w:left="120"/>
              <w:spacing w:after="0" w:line="210" w:lineRule="exact"/>
              <w:rPr>
                <w:sz w:val="20"/>
                <w:szCs w:val="20"/>
                <w:color w:val="auto"/>
              </w:rPr>
            </w:pPr>
            <w:r>
              <w:rPr>
                <w:rFonts w:ascii="Arial" w:cs="Arial" w:eastAsia="Arial" w:hAnsi="Arial"/>
                <w:sz w:val="13"/>
                <w:szCs w:val="13"/>
                <w:color w:val="auto"/>
                <w:w w:val="89"/>
              </w:rPr>
              <w:t>​</w:t>
            </w:r>
            <w:r>
              <w:rPr>
                <w:rFonts w:ascii="Arial" w:cs="Arial" w:eastAsia="Arial" w:hAnsi="Arial"/>
                <w:sz w:val="24"/>
                <w:szCs w:val="24"/>
                <w:color w:val="auto"/>
                <w:w w:val="89"/>
                <w:vertAlign w:val="superscript"/>
              </w:rPr>
              <w:t>$</w:t>
            </w:r>
          </w:p>
        </w:tc>
        <w:tc>
          <w:tcPr>
            <w:tcW w:w="900" w:type="dxa"/>
            <w:vAlign w:val="bottom"/>
            <w:gridSpan w:val="2"/>
          </w:tcPr>
          <w:p>
            <w:pPr>
              <w:jc w:val="right"/>
              <w:spacing w:after="0" w:line="210" w:lineRule="exact"/>
              <w:rPr>
                <w:sz w:val="20"/>
                <w:szCs w:val="20"/>
                <w:color w:val="auto"/>
              </w:rPr>
            </w:pPr>
            <w:r>
              <w:rPr>
                <w:rFonts w:ascii="Arial" w:cs="Arial" w:eastAsia="Arial" w:hAnsi="Arial"/>
                <w:sz w:val="13"/>
                <w:szCs w:val="13"/>
                <w:color w:val="auto"/>
              </w:rPr>
              <w:t>20,331</w:t>
            </w:r>
            <w:r>
              <w:rPr>
                <w:rFonts w:ascii="Arial" w:cs="Arial" w:eastAsia="Arial" w:hAnsi="Arial"/>
                <w:sz w:val="24"/>
                <w:szCs w:val="24"/>
                <w:color w:val="auto"/>
                <w:vertAlign w:val="subscript"/>
              </w:rPr>
              <w:t>​​ ​</w:t>
            </w:r>
          </w:p>
        </w:tc>
        <w:tc>
          <w:tcPr>
            <w:tcW w:w="220" w:type="dxa"/>
            <w:vAlign w:val="bottom"/>
          </w:tcPr>
          <w:p>
            <w:pPr>
              <w:ind w:left="120"/>
              <w:spacing w:after="0" w:line="210" w:lineRule="exact"/>
              <w:rPr>
                <w:sz w:val="20"/>
                <w:szCs w:val="20"/>
                <w:color w:val="auto"/>
              </w:rPr>
            </w:pPr>
            <w:r>
              <w:rPr>
                <w:rFonts w:ascii="Arial" w:cs="Arial" w:eastAsia="Arial" w:hAnsi="Arial"/>
                <w:sz w:val="13"/>
                <w:szCs w:val="13"/>
                <w:color w:val="auto"/>
                <w:w w:val="89"/>
              </w:rPr>
              <w:t>​</w:t>
            </w:r>
            <w:r>
              <w:rPr>
                <w:rFonts w:ascii="Arial" w:cs="Arial" w:eastAsia="Arial" w:hAnsi="Arial"/>
                <w:sz w:val="24"/>
                <w:szCs w:val="24"/>
                <w:color w:val="auto"/>
                <w:w w:val="89"/>
                <w:vertAlign w:val="superscript"/>
              </w:rPr>
              <w:t>$</w:t>
            </w:r>
          </w:p>
        </w:tc>
        <w:tc>
          <w:tcPr>
            <w:tcW w:w="820" w:type="dxa"/>
            <w:vAlign w:val="bottom"/>
            <w:gridSpan w:val="3"/>
          </w:tcPr>
          <w:p>
            <w:pPr>
              <w:jc w:val="right"/>
              <w:spacing w:after="0" w:line="210" w:lineRule="exact"/>
              <w:rPr>
                <w:sz w:val="20"/>
                <w:szCs w:val="20"/>
                <w:color w:val="auto"/>
              </w:rPr>
            </w:pPr>
            <w:r>
              <w:rPr>
                <w:rFonts w:ascii="Arial" w:cs="Arial" w:eastAsia="Arial" w:hAnsi="Arial"/>
                <w:sz w:val="13"/>
                <w:szCs w:val="13"/>
                <w:color w:val="auto"/>
              </w:rPr>
              <w:t>33,884</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55"/>
        </w:trPr>
        <w:tc>
          <w:tcPr>
            <w:tcW w:w="4080" w:type="dxa"/>
            <w:vAlign w:val="bottom"/>
            <w:tcBorders>
              <w:top w:val="single" w:sz="8" w:color="666666"/>
            </w:tcBorders>
          </w:tcPr>
          <w:p>
            <w:pPr>
              <w:ind w:left="40"/>
              <w:spacing w:after="0" w:line="155" w:lineRule="exact"/>
              <w:rPr>
                <w:sz w:val="20"/>
                <w:szCs w:val="20"/>
                <w:color w:val="auto"/>
              </w:rPr>
            </w:pPr>
            <w:r>
              <w:rPr>
                <w:rFonts w:ascii="Arial" w:cs="Arial" w:eastAsia="Arial" w:hAnsi="Arial"/>
                <w:sz w:val="14"/>
                <w:szCs w:val="14"/>
                <w:color w:val="auto"/>
              </w:rPr>
              <w:t>Clawback of Sign-on Bonus and Relocation Allowances</w:t>
            </w:r>
            <w:r>
              <w:rPr>
                <w:rFonts w:ascii="Arial" w:cs="Arial" w:eastAsia="Arial" w:hAnsi="Arial"/>
                <w:sz w:val="17"/>
                <w:szCs w:val="17"/>
                <w:color w:val="auto"/>
                <w:vertAlign w:val="superscript"/>
              </w:rPr>
              <w:t>(8)</w:t>
            </w:r>
          </w:p>
        </w:tc>
        <w:tc>
          <w:tcPr>
            <w:tcW w:w="500" w:type="dxa"/>
            <w:vAlign w:val="bottom"/>
            <w:tcBorders>
              <w:top w:val="single" w:sz="8" w:color="666666"/>
            </w:tcBorders>
          </w:tcPr>
          <w:p>
            <w:pPr>
              <w:spacing w:after="0"/>
              <w:rPr>
                <w:sz w:val="13"/>
                <w:szCs w:val="13"/>
                <w:color w:val="auto"/>
              </w:rPr>
            </w:pPr>
          </w:p>
        </w:tc>
        <w:tc>
          <w:tcPr>
            <w:tcW w:w="80" w:type="dxa"/>
            <w:vAlign w:val="bottom"/>
            <w:tcBorders>
              <w:top w:val="single" w:sz="8" w:color="666666"/>
            </w:tcBorders>
          </w:tcPr>
          <w:p>
            <w:pPr>
              <w:spacing w:after="0"/>
              <w:rPr>
                <w:sz w:val="13"/>
                <w:szCs w:val="13"/>
                <w:color w:val="auto"/>
              </w:rPr>
            </w:pPr>
          </w:p>
        </w:tc>
        <w:tc>
          <w:tcPr>
            <w:tcW w:w="1080" w:type="dxa"/>
            <w:vAlign w:val="bottom"/>
            <w:tcBorders>
              <w:top w:val="single" w:sz="8" w:color="666666"/>
            </w:tcBorders>
            <w:gridSpan w:val="2"/>
            <w:vMerge w:val="restart"/>
          </w:tcPr>
          <w:p>
            <w:pPr>
              <w:ind w:left="220"/>
              <w:spacing w:after="0"/>
              <w:rPr>
                <w:sz w:val="20"/>
                <w:szCs w:val="20"/>
                <w:color w:val="auto"/>
              </w:rPr>
            </w:pPr>
            <w:r>
              <w:rPr>
                <w:rFonts w:ascii="Arial" w:cs="Arial" w:eastAsia="Arial" w:hAnsi="Arial"/>
                <w:sz w:val="14"/>
                <w:szCs w:val="14"/>
                <w:color w:val="auto"/>
              </w:rPr>
              <w:t>$ (200,000)</w:t>
            </w:r>
          </w:p>
        </w:tc>
        <w:tc>
          <w:tcPr>
            <w:tcW w:w="840" w:type="dxa"/>
            <w:vAlign w:val="bottom"/>
            <w:tcBorders>
              <w:top w:val="single" w:sz="8" w:color="666666"/>
            </w:tcBorders>
            <w:gridSpan w:val="2"/>
            <w:vMerge w:val="restart"/>
          </w:tcPr>
          <w:p>
            <w:pPr>
              <w:ind w:left="100"/>
              <w:spacing w:after="0"/>
              <w:rPr>
                <w:sz w:val="20"/>
                <w:szCs w:val="20"/>
                <w:color w:val="auto"/>
              </w:rPr>
            </w:pPr>
            <w:r>
              <w:rPr>
                <w:rFonts w:ascii="Arial" w:cs="Arial" w:eastAsia="Arial" w:hAnsi="Arial"/>
                <w:sz w:val="14"/>
                <w:szCs w:val="14"/>
                <w:color w:val="auto"/>
              </w:rPr>
              <w:t>$ (200,000)</w:t>
            </w:r>
          </w:p>
        </w:tc>
        <w:tc>
          <w:tcPr>
            <w:tcW w:w="20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666666"/>
            </w:tcBorders>
          </w:tcPr>
          <w:p>
            <w:pPr>
              <w:spacing w:after="0"/>
              <w:rPr>
                <w:sz w:val="13"/>
                <w:szCs w:val="13"/>
                <w:color w:val="auto"/>
              </w:rPr>
            </w:pPr>
          </w:p>
        </w:tc>
        <w:tc>
          <w:tcPr>
            <w:tcW w:w="220" w:type="dxa"/>
            <w:vAlign w:val="bottom"/>
            <w:tcBorders>
              <w:top w:val="single" w:sz="8" w:color="666666"/>
            </w:tcBorders>
            <w:vMerge w:val="restart"/>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666666"/>
            </w:tcBorders>
            <w:vMerge w:val="restart"/>
          </w:tcPr>
          <w:p>
            <w:pPr>
              <w:ind w:left="600"/>
              <w:spacing w:after="0"/>
              <w:rPr>
                <w:sz w:val="20"/>
                <w:szCs w:val="20"/>
                <w:color w:val="auto"/>
              </w:rPr>
            </w:pPr>
            <w:r>
              <w:rPr>
                <w:rFonts w:ascii="Arial" w:cs="Arial" w:eastAsia="Arial" w:hAnsi="Arial"/>
                <w:sz w:val="14"/>
                <w:szCs w:val="14"/>
                <w:color w:val="auto"/>
                <w:w w:val="85"/>
              </w:rPr>
              <w:t>—</w:t>
            </w:r>
          </w:p>
        </w:tc>
        <w:tc>
          <w:tcPr>
            <w:tcW w:w="160" w:type="dxa"/>
            <w:vAlign w:val="bottom"/>
            <w:tcBorders>
              <w:top w:val="single" w:sz="8" w:color="666666"/>
            </w:tcBorders>
          </w:tcPr>
          <w:p>
            <w:pPr>
              <w:spacing w:after="0"/>
              <w:rPr>
                <w:sz w:val="13"/>
                <w:szCs w:val="13"/>
                <w:color w:val="auto"/>
              </w:rPr>
            </w:pPr>
          </w:p>
        </w:tc>
        <w:tc>
          <w:tcPr>
            <w:tcW w:w="220" w:type="dxa"/>
            <w:vAlign w:val="bottom"/>
            <w:tcBorders>
              <w:top w:val="single" w:sz="8" w:color="666666"/>
            </w:tcBorders>
            <w:vMerge w:val="restart"/>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666666"/>
            </w:tcBorders>
            <w:vMerge w:val="restart"/>
          </w:tcPr>
          <w:p>
            <w:pPr>
              <w:ind w:left="600"/>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666666"/>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80" w:type="dxa"/>
            <w:vAlign w:val="bottom"/>
            <w:vMerge w:val="restart"/>
          </w:tcPr>
          <w:p>
            <w:pPr>
              <w:jc w:val="center"/>
              <w:ind w:right="3935"/>
              <w:spacing w:after="0" w:line="81" w:lineRule="exact"/>
              <w:rPr>
                <w:sz w:val="20"/>
                <w:szCs w:val="20"/>
                <w:color w:val="auto"/>
              </w:rPr>
            </w:pPr>
            <w:r>
              <w:rPr>
                <w:rFonts w:ascii="Arial" w:cs="Arial" w:eastAsia="Arial" w:hAnsi="Arial"/>
                <w:sz w:val="9"/>
                <w:szCs w:val="9"/>
                <w:color w:val="auto"/>
              </w:rPr>
              <w:t>​</w:t>
            </w:r>
          </w:p>
        </w:tc>
        <w:tc>
          <w:tcPr>
            <w:tcW w:w="58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 ​</w:t>
            </w:r>
          </w:p>
        </w:tc>
        <w:tc>
          <w:tcPr>
            <w:tcW w:w="108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16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 ​</w:t>
            </w:r>
          </w:p>
        </w:tc>
        <w:tc>
          <w:tcPr>
            <w:tcW w:w="2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6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 ​</w:t>
            </w:r>
          </w:p>
        </w:tc>
        <w:tc>
          <w:tcPr>
            <w:tcW w:w="2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4080" w:type="dxa"/>
            <w:vAlign w:val="bottom"/>
            <w:vMerge w:val="continue"/>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360" w:type="dxa"/>
            <w:vAlign w:val="bottom"/>
          </w:tcPr>
          <w:p>
            <w:pPr>
              <w:ind w:left="220"/>
              <w:spacing w:after="0" w:line="54" w:lineRule="exact"/>
              <w:rPr>
                <w:sz w:val="20"/>
                <w:szCs w:val="20"/>
                <w:color w:val="auto"/>
              </w:rPr>
            </w:pPr>
            <w:r>
              <w:rPr>
                <w:rFonts w:ascii="Arial" w:cs="Arial" w:eastAsia="Arial" w:hAnsi="Arial"/>
                <w:sz w:val="6"/>
                <w:szCs w:val="6"/>
                <w:color w:val="auto"/>
              </w:rPr>
              <w:t>​</w:t>
            </w:r>
          </w:p>
        </w:tc>
        <w:tc>
          <w:tcPr>
            <w:tcW w:w="720" w:type="dxa"/>
            <w:vAlign w:val="bottom"/>
          </w:tcPr>
          <w:p>
            <w:pPr>
              <w:jc w:val="right"/>
              <w:spacing w:after="0" w:line="54" w:lineRule="exact"/>
              <w:rPr>
                <w:sz w:val="20"/>
                <w:szCs w:val="20"/>
                <w:color w:val="auto"/>
              </w:rPr>
            </w:pPr>
            <w:r>
              <w:rPr>
                <w:rFonts w:ascii="Arial" w:cs="Arial" w:eastAsia="Arial" w:hAnsi="Arial"/>
                <w:sz w:val="6"/>
                <w:szCs w:val="6"/>
                <w:color w:val="auto"/>
              </w:rPr>
              <w:t>​​ ​</w:t>
            </w:r>
          </w:p>
        </w:tc>
        <w:tc>
          <w:tcPr>
            <w:tcW w:w="4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20" w:type="dxa"/>
            <w:vAlign w:val="bottom"/>
            <w:gridSpan w:val="2"/>
          </w:tcPr>
          <w:p>
            <w:pPr>
              <w:jc w:val="right"/>
              <w:spacing w:after="0" w:line="54" w:lineRule="exact"/>
              <w:rPr>
                <w:sz w:val="20"/>
                <w:szCs w:val="20"/>
                <w:color w:val="auto"/>
              </w:rPr>
            </w:pPr>
            <w:r>
              <w:rPr>
                <w:rFonts w:ascii="Arial" w:cs="Arial" w:eastAsia="Arial" w:hAnsi="Arial"/>
                <w:sz w:val="6"/>
                <w:szCs w:val="6"/>
                <w:color w:val="auto"/>
              </w:rPr>
              <w:t>​​ ​​</w:t>
            </w:r>
          </w:p>
        </w:tc>
        <w:tc>
          <w:tcPr>
            <w:tcW w:w="7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2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2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666666"/>
          </w:tcPr>
          <w:p>
            <w:pPr>
              <w:spacing w:after="0" w:line="20" w:lineRule="exact"/>
              <w:rPr>
                <w:sz w:val="1"/>
                <w:szCs w:val="1"/>
                <w:color w:val="auto"/>
              </w:rPr>
            </w:pPr>
          </w:p>
        </w:tc>
        <w:tc>
          <w:tcPr>
            <w:tcW w:w="500" w:type="dxa"/>
            <w:vAlign w:val="bottom"/>
            <w:shd w:val="clear" w:color="auto" w:fill="666666"/>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c>
          <w:tcPr>
            <w:tcW w:w="360" w:type="dxa"/>
            <w:vAlign w:val="bottom"/>
            <w:shd w:val="clear" w:color="auto" w:fill="666666"/>
          </w:tcPr>
          <w:p>
            <w:pPr>
              <w:spacing w:after="0" w:line="20" w:lineRule="exact"/>
              <w:rPr>
                <w:sz w:val="1"/>
                <w:szCs w:val="1"/>
                <w:color w:val="auto"/>
              </w:rPr>
            </w:pPr>
          </w:p>
        </w:tc>
        <w:tc>
          <w:tcPr>
            <w:tcW w:w="720" w:type="dxa"/>
            <w:vAlign w:val="bottom"/>
            <w:shd w:val="clear" w:color="auto" w:fill="666666"/>
          </w:tcPr>
          <w:p>
            <w:pPr>
              <w:spacing w:after="0" w:line="20" w:lineRule="exact"/>
              <w:rPr>
                <w:sz w:val="1"/>
                <w:szCs w:val="1"/>
                <w:color w:val="auto"/>
              </w:rPr>
            </w:pPr>
          </w:p>
        </w:tc>
        <w:tc>
          <w:tcPr>
            <w:tcW w:w="840" w:type="dxa"/>
            <w:vAlign w:val="bottom"/>
            <w:gridSpan w:val="2"/>
            <w:shd w:val="clear" w:color="auto" w:fill="666666"/>
          </w:tcPr>
          <w:p>
            <w:pPr>
              <w:spacing w:after="0" w:line="20" w:lineRule="exact"/>
              <w:rPr>
                <w:sz w:val="1"/>
                <w:szCs w:val="1"/>
                <w:color w:val="auto"/>
              </w:rPr>
            </w:pPr>
          </w:p>
        </w:tc>
        <w:tc>
          <w:tcPr>
            <w:tcW w:w="200" w:type="dxa"/>
            <w:vAlign w:val="bottom"/>
            <w:shd w:val="clear" w:color="auto" w:fill="666666"/>
          </w:tcPr>
          <w:p>
            <w:pPr>
              <w:spacing w:after="0" w:line="20" w:lineRule="exact"/>
              <w:rPr>
                <w:sz w:val="1"/>
                <w:szCs w:val="1"/>
                <w:color w:val="auto"/>
              </w:rPr>
            </w:pPr>
          </w:p>
        </w:tc>
        <w:tc>
          <w:tcPr>
            <w:tcW w:w="72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960" w:type="dxa"/>
            <w:vAlign w:val="bottom"/>
            <w:gridSpan w:val="2"/>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960" w:type="dxa"/>
            <w:vAlign w:val="bottom"/>
            <w:gridSpan w:val="2"/>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tcPr>
          <w:p>
            <w:pPr>
              <w:ind w:left="40"/>
              <w:spacing w:after="0" w:line="155" w:lineRule="exact"/>
              <w:rPr>
                <w:sz w:val="20"/>
                <w:szCs w:val="20"/>
                <w:color w:val="auto"/>
              </w:rPr>
            </w:pPr>
            <w:r>
              <w:rPr>
                <w:rFonts w:ascii="Arial" w:cs="Arial" w:eastAsia="Arial" w:hAnsi="Arial"/>
                <w:sz w:val="14"/>
                <w:szCs w:val="14"/>
                <w:color w:val="auto"/>
              </w:rPr>
              <w:t>Total</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97"/>
              <w:spacing w:after="0" w:line="155" w:lineRule="exact"/>
              <w:rPr>
                <w:sz w:val="20"/>
                <w:szCs w:val="20"/>
                <w:color w:val="auto"/>
              </w:rPr>
            </w:pPr>
            <w:r>
              <w:rPr>
                <w:rFonts w:ascii="Arial" w:cs="Arial" w:eastAsia="Arial" w:hAnsi="Arial"/>
                <w:sz w:val="14"/>
                <w:szCs w:val="14"/>
                <w:color w:val="auto"/>
              </w:rPr>
              <w:t>150,625</w:t>
            </w:r>
          </w:p>
        </w:tc>
        <w:tc>
          <w:tcPr>
            <w:tcW w:w="8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 (200,000)</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31,546,031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$ 15,812,475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$ 44,956,753</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80" w:type="dxa"/>
            <w:vAlign w:val="bottom"/>
            <w:tcBorders>
              <w:bottom w:val="single" w:sz="8" w:color="666666"/>
            </w:tcBorders>
          </w:tcPr>
          <w:p>
            <w:pPr>
              <w:jc w:val="center"/>
              <w:ind w:right="3935"/>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666666"/>
            </w:tcBorders>
            <w:gridSpan w:val="2"/>
            <w:vMerge w:val="continue"/>
          </w:tcPr>
          <w:p>
            <w:pPr>
              <w:spacing w:after="0"/>
              <w:rPr>
                <w:sz w:val="4"/>
                <w:szCs w:val="4"/>
                <w:color w:val="auto"/>
              </w:rPr>
            </w:pPr>
          </w:p>
        </w:tc>
        <w:tc>
          <w:tcPr>
            <w:tcW w:w="360" w:type="dxa"/>
            <w:vAlign w:val="bottom"/>
            <w:tcBorders>
              <w:bottom w:val="single" w:sz="8" w:color="666666"/>
            </w:tcBorders>
          </w:tcPr>
          <w:p>
            <w:pPr>
              <w:ind w:left="220"/>
              <w:spacing w:after="0" w:line="54"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666666"/>
            </w:tcBorders>
          </w:tcPr>
          <w:p>
            <w:pPr>
              <w:jc w:val="right"/>
              <w:spacing w:after="0" w:line="54" w:lineRule="exact"/>
              <w:rPr>
                <w:sz w:val="20"/>
                <w:szCs w:val="20"/>
                <w:color w:val="auto"/>
              </w:rPr>
            </w:pPr>
            <w:r>
              <w:rPr>
                <w:rFonts w:ascii="Arial" w:cs="Arial" w:eastAsia="Arial" w:hAnsi="Arial"/>
                <w:sz w:val="6"/>
                <w:szCs w:val="6"/>
                <w:color w:val="auto"/>
              </w:rPr>
              <w:t>​​ ​</w:t>
            </w:r>
          </w:p>
        </w:tc>
        <w:tc>
          <w:tcPr>
            <w:tcW w:w="420" w:type="dxa"/>
            <w:vAlign w:val="bottom"/>
            <w:tcBorders>
              <w:bottom w:val="single" w:sz="8" w:color="666666"/>
            </w:tcBorders>
          </w:tcPr>
          <w:p>
            <w:pPr>
              <w:ind w:left="10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666666"/>
            </w:tcBorders>
            <w:gridSpan w:val="2"/>
          </w:tcPr>
          <w:p>
            <w:pPr>
              <w:jc w:val="right"/>
              <w:spacing w:after="0" w:line="54" w:lineRule="exact"/>
              <w:rPr>
                <w:sz w:val="20"/>
                <w:szCs w:val="20"/>
                <w:color w:val="auto"/>
              </w:rPr>
            </w:pPr>
            <w:r>
              <w:rPr>
                <w:rFonts w:ascii="Arial" w:cs="Arial" w:eastAsia="Arial" w:hAnsi="Arial"/>
                <w:sz w:val="6"/>
                <w:szCs w:val="6"/>
                <w:color w:val="auto"/>
              </w:rPr>
              <w:t>​​ ​​</w:t>
            </w:r>
          </w:p>
        </w:tc>
        <w:tc>
          <w:tcPr>
            <w:tcW w:w="720" w:type="dxa"/>
            <w:vAlign w:val="bottom"/>
            <w:tcBorders>
              <w:bottom w:val="single" w:sz="8" w:color="666666"/>
            </w:tcBorders>
          </w:tcPr>
          <w:p>
            <w:pPr>
              <w:spacing w:after="0"/>
              <w:rPr>
                <w:sz w:val="4"/>
                <w:szCs w:val="4"/>
                <w:color w:val="auto"/>
              </w:rPr>
            </w:pPr>
          </w:p>
        </w:tc>
        <w:tc>
          <w:tcPr>
            <w:tcW w:w="160" w:type="dxa"/>
            <w:vAlign w:val="bottom"/>
            <w:tcBorders>
              <w:bottom w:val="single" w:sz="8" w:color="666666"/>
            </w:tcBorders>
            <w:vMerge w:val="continue"/>
          </w:tcPr>
          <w:p>
            <w:pPr>
              <w:spacing w:after="0"/>
              <w:rPr>
                <w:sz w:val="4"/>
                <w:szCs w:val="4"/>
                <w:color w:val="auto"/>
              </w:rPr>
            </w:pPr>
          </w:p>
        </w:tc>
        <w:tc>
          <w:tcPr>
            <w:tcW w:w="220" w:type="dxa"/>
            <w:vAlign w:val="bottom"/>
            <w:tcBorders>
              <w:bottom w:val="single" w:sz="8" w:color="666666"/>
            </w:tcBorders>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666666"/>
            </w:tcBorders>
          </w:tcPr>
          <w:p>
            <w:pPr>
              <w:spacing w:after="0"/>
              <w:rPr>
                <w:sz w:val="4"/>
                <w:szCs w:val="4"/>
                <w:color w:val="auto"/>
              </w:rPr>
            </w:pPr>
          </w:p>
        </w:tc>
        <w:tc>
          <w:tcPr>
            <w:tcW w:w="160" w:type="dxa"/>
            <w:vAlign w:val="bottom"/>
            <w:tcBorders>
              <w:bottom w:val="single" w:sz="8" w:color="666666"/>
            </w:tcBorders>
            <w:vMerge w:val="continue"/>
          </w:tcPr>
          <w:p>
            <w:pPr>
              <w:spacing w:after="0"/>
              <w:rPr>
                <w:sz w:val="4"/>
                <w:szCs w:val="4"/>
                <w:color w:val="auto"/>
              </w:rPr>
            </w:pPr>
          </w:p>
        </w:tc>
        <w:tc>
          <w:tcPr>
            <w:tcW w:w="220" w:type="dxa"/>
            <w:vAlign w:val="bottom"/>
            <w:tcBorders>
              <w:bottom w:val="single" w:sz="8" w:color="666666"/>
            </w:tcBorders>
          </w:tcPr>
          <w:p>
            <w:pPr>
              <w:ind w:left="12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666666"/>
            </w:tcBorders>
          </w:tcPr>
          <w:p>
            <w:pPr>
              <w:spacing w:after="0"/>
              <w:rPr>
                <w:sz w:val="4"/>
                <w:szCs w:val="4"/>
                <w:color w:val="auto"/>
              </w:rPr>
            </w:pPr>
          </w:p>
        </w:tc>
        <w:tc>
          <w:tcPr>
            <w:tcW w:w="80" w:type="dxa"/>
            <w:vAlign w:val="bottom"/>
            <w:tcBorders>
              <w:bottom w:val="single" w:sz="8" w:color="66666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-2262505</wp:posOffset>
            </wp:positionV>
            <wp:extent cx="3265805" cy="659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65805" cy="659765"/>
                    </a:xfrm>
                    <a:prstGeom prst="rect">
                      <a:avLst/>
                    </a:prstGeom>
                    <a:noFill/>
                  </pic:spPr>
                </pic:pic>
              </a:graphicData>
            </a:graphic>
          </wp:anchor>
        </w:drawing>
      </w:r>
    </w:p>
    <w:p>
      <w:pPr>
        <w:spacing w:after="0" w:line="133" w:lineRule="exact"/>
        <w:rPr>
          <w:sz w:val="20"/>
          <w:szCs w:val="20"/>
          <w:color w:val="auto"/>
        </w:rPr>
      </w:pPr>
    </w:p>
    <w:p>
      <w:pPr>
        <w:ind w:left="800" w:right="180" w:hanging="362"/>
        <w:spacing w:after="0" w:line="211" w:lineRule="auto"/>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Under the Executive Severance Plan, an NEO is only eligible for severance payments in the event their employment is terminated by the Company without Cause or by the NEO for Good Reason.</w:t>
      </w:r>
    </w:p>
    <w:p>
      <w:pPr>
        <w:spacing w:after="0" w:line="1" w:lineRule="exact"/>
        <w:rPr>
          <w:rFonts w:ascii="Arial" w:cs="Arial" w:eastAsia="Arial" w:hAnsi="Arial"/>
          <w:sz w:val="22"/>
          <w:szCs w:val="22"/>
          <w:color w:val="BA0C2F"/>
          <w:vertAlign w:val="superscript"/>
        </w:rPr>
      </w:pPr>
    </w:p>
    <w:p>
      <w:pPr>
        <w:ind w:left="800" w:right="340" w:hanging="362"/>
        <w:spacing w:after="0" w:line="195" w:lineRule="auto"/>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Under the STI Plan, an NEO forfeits any rights to a payment under the STI Plan if their employment with the Company terminates for any reason prior to the date on which the payment under the STI Plan for the applicable plan year is actually paid.</w:t>
      </w:r>
    </w:p>
    <w:p>
      <w:pPr>
        <w:spacing w:after="0" w:line="1" w:lineRule="exact"/>
        <w:rPr>
          <w:rFonts w:ascii="Arial" w:cs="Arial" w:eastAsia="Arial" w:hAnsi="Arial"/>
          <w:sz w:val="22"/>
          <w:szCs w:val="22"/>
          <w:color w:val="BA0C2F"/>
          <w:vertAlign w:val="superscript"/>
        </w:rPr>
      </w:pPr>
    </w:p>
    <w:p>
      <w:pPr>
        <w:ind w:left="800" w:right="60" w:hanging="362"/>
        <w:spacing w:after="0"/>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Under the LTCIP, in the event that an NEO terminates their employment without Good Reason (including in the event of retirement or resignation), they are eligible to receive payment for any portion of their award that has vested. Because a portion of the awards vest on December 31, 2021, they are included. However, in the event that the NEOs employment is terminated for Cause, all awards are forfeited, and therefore there would be no payment.</w:t>
      </w:r>
    </w:p>
    <w:p>
      <w:pPr>
        <w:spacing w:after="0" w:line="113" w:lineRule="exact"/>
        <w:rPr>
          <w:rFonts w:ascii="Arial" w:cs="Arial" w:eastAsia="Arial" w:hAnsi="Arial"/>
          <w:sz w:val="22"/>
          <w:szCs w:val="22"/>
          <w:color w:val="BA0C2F"/>
          <w:vertAlign w:val="superscript"/>
        </w:rPr>
      </w:pPr>
    </w:p>
    <w:p>
      <w:pPr>
        <w:ind w:left="800" w:right="40" w:hanging="362"/>
        <w:spacing w:after="0" w:line="214" w:lineRule="auto"/>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In the event of Death or Disability or a Change in Control Termination without Cause or for Good Reason, all unvested RSUs will accelerate and vest. In the event of a Termination without Cause of for Good Reason without a Change in Control, a pro-rated portion of the next unvested tranche will accelerate and vest. Number of shares valued at the closing price on December 31, 2021 which was $27.72.</w:t>
      </w:r>
    </w:p>
    <w:p>
      <w:pPr>
        <w:ind w:left="800" w:right="100" w:hanging="362"/>
        <w:spacing w:after="0" w:line="229" w:lineRule="auto"/>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In the event of Death or Disability, all unvested PSUs will vest at end of performance period based on actual performance. In the event of a Termination without Cause or for Good Reason without a Change in Control, a pro-rated portion of the unvested PSUs will vest at the end of the performance period based on actual performance. In the event of a Termination without Cause or for Good Reason with a Change in Control, all unvested PSUs will vest as of the day of termination based on actual performance through the day of termination. Amounts assume that the performance metrics are achieved at target during the course of the performance period and the award vests and is paid at the end of the applicable performance period for each award. Number of shares valued at the closing price on December 31, 2021 which was $27.72.</w:t>
      </w:r>
    </w:p>
    <w:p>
      <w:pPr>
        <w:spacing w:after="0" w:line="3" w:lineRule="exact"/>
        <w:rPr>
          <w:rFonts w:ascii="Arial" w:cs="Arial" w:eastAsia="Arial" w:hAnsi="Arial"/>
          <w:sz w:val="22"/>
          <w:szCs w:val="22"/>
          <w:color w:val="BA0C2F"/>
          <w:vertAlign w:val="superscript"/>
        </w:rPr>
      </w:pPr>
    </w:p>
    <w:p>
      <w:pPr>
        <w:ind w:left="800" w:right="40" w:hanging="362"/>
        <w:spacing w:after="0" w:line="224" w:lineRule="auto"/>
        <w:tabs>
          <w:tab w:leader="none" w:pos="800" w:val="left"/>
        </w:tabs>
        <w:numPr>
          <w:ilvl w:val="0"/>
          <w:numId w:val="62"/>
        </w:numPr>
        <w:rPr>
          <w:rFonts w:ascii="Arial" w:cs="Arial" w:eastAsia="Arial" w:hAnsi="Arial"/>
          <w:sz w:val="22"/>
          <w:szCs w:val="22"/>
          <w:color w:val="BA0C2F"/>
          <w:vertAlign w:val="superscript"/>
        </w:rPr>
      </w:pPr>
      <w:r>
        <w:rPr>
          <w:rFonts w:ascii="Arial" w:cs="Arial" w:eastAsia="Arial" w:hAnsi="Arial"/>
          <w:sz w:val="14"/>
          <w:szCs w:val="14"/>
          <w:color w:val="auto"/>
        </w:rPr>
        <w:t>In the event of Death or Disability or a Change in Control Termination without Cause or for Good Reason, all unvested Phantom RSUs will accelerate and vest. In the event of a Termination without Cause of for Good Reason without a Change in Control, a pro-rated portion of the next unvested tranche of Phantom RSUs will accelerate and vest. Based on the decision of the Committee that all Phantom RSUs will be settled all in cash, cumulative cash payout is subject to the relevant predetermined amount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983615</wp:posOffset>
            </wp:positionV>
            <wp:extent cx="6231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147955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EXECUTIVE COMPENSATION TABLES</w:t>
      </w:r>
    </w:p>
    <w:p>
      <w:pPr>
        <w:spacing w:after="0" w:line="163" w:lineRule="exact"/>
        <w:rPr>
          <w:sz w:val="20"/>
          <w:szCs w:val="20"/>
          <w:color w:val="auto"/>
        </w:rPr>
      </w:pPr>
    </w:p>
    <w:p>
      <w:pPr>
        <w:ind w:left="800" w:right="60" w:hanging="362"/>
        <w:spacing w:after="0" w:line="231" w:lineRule="auto"/>
        <w:tabs>
          <w:tab w:leader="none" w:pos="800" w:val="left"/>
        </w:tabs>
        <w:numPr>
          <w:ilvl w:val="0"/>
          <w:numId w:val="63"/>
        </w:numPr>
        <w:rPr>
          <w:rFonts w:ascii="Arial" w:cs="Arial" w:eastAsia="Arial" w:hAnsi="Arial"/>
          <w:sz w:val="22"/>
          <w:szCs w:val="22"/>
          <w:color w:val="BA0C2F"/>
          <w:vertAlign w:val="superscript"/>
        </w:rPr>
      </w:pPr>
      <w:r>
        <w:rPr>
          <w:rFonts w:ascii="Arial" w:cs="Arial" w:eastAsia="Arial" w:hAnsi="Arial"/>
          <w:sz w:val="14"/>
          <w:szCs w:val="14"/>
          <w:color w:val="auto"/>
        </w:rPr>
        <w:t>Awards vest at the end of the performance period based on the actual achievement of the relevant performance metrics. Amounts assume vesting at Target and values the shares at the closing price on December 31, 2021 which was $27.72. In the case of Termination without Cause or for Good Reason, there is no amount reflected because those awards are only prorated after January 1, 2024. In the case of a Change in Control with a termination without Cause or for Good Reason, there is no amount reflected, because the relevant metric as of the deemed date of termination had not been achieved.</w:t>
      </w:r>
    </w:p>
    <w:p>
      <w:pPr>
        <w:spacing w:after="0" w:line="1" w:lineRule="exact"/>
        <w:rPr>
          <w:rFonts w:ascii="Arial" w:cs="Arial" w:eastAsia="Arial" w:hAnsi="Arial"/>
          <w:sz w:val="22"/>
          <w:szCs w:val="22"/>
          <w:color w:val="BA0C2F"/>
          <w:vertAlign w:val="superscript"/>
        </w:rPr>
      </w:pPr>
    </w:p>
    <w:p>
      <w:pPr>
        <w:ind w:left="800" w:right="40" w:hanging="362"/>
        <w:spacing w:after="0" w:line="235" w:lineRule="auto"/>
        <w:tabs>
          <w:tab w:leader="none" w:pos="800" w:val="left"/>
        </w:tabs>
        <w:numPr>
          <w:ilvl w:val="0"/>
          <w:numId w:val="63"/>
        </w:numPr>
        <w:rPr>
          <w:rFonts w:ascii="Arial" w:cs="Arial" w:eastAsia="Arial" w:hAnsi="Arial"/>
          <w:sz w:val="22"/>
          <w:szCs w:val="22"/>
          <w:color w:val="BA0C2F"/>
          <w:vertAlign w:val="superscript"/>
        </w:rPr>
      </w:pPr>
      <w:r>
        <w:rPr>
          <w:rFonts w:ascii="Arial" w:cs="Arial" w:eastAsia="Arial" w:hAnsi="Arial"/>
          <w:sz w:val="14"/>
          <w:szCs w:val="14"/>
          <w:color w:val="auto"/>
        </w:rPr>
        <w:t>For Mr. Saligram, amount represents the cash portion of his sign-on bonus paid upon commencement of employment that must be partially repaid if his employment is terminated other than for an involuntary termination without Cause, a voluntary resignation for Good Reason, or a termination due to death or disability after the first 12 months and before 24 months of payment. For Mr. Jennings, amount represents the portions of his cash sign-on bonus and relocation allowance that must be partially repaid if he voluntarily resigns or is involuntarily terminated for cause after 12 months and before 24 months of payment. For Mr. Weatherholt, the amount represents the portion of his cash sign-on bonus that must be partially repaid if he voluntarily resigns or is involuntarily terminated for cause after 12 months and before 24 months of payment.</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740" w:type="dxa"/>
            <w:vAlign w:val="bottom"/>
          </w:tcPr>
          <w:p>
            <w:pPr>
              <w:jc w:val="center"/>
              <w:ind w:right="3595"/>
              <w:spacing w:after="0"/>
              <w:rPr>
                <w:sz w:val="20"/>
                <w:szCs w:val="20"/>
                <w:color w:val="auto"/>
              </w:rPr>
            </w:pPr>
            <w:r>
              <w:rPr>
                <w:rFonts w:ascii="Arial" w:cs="Arial" w:eastAsia="Arial" w:hAnsi="Arial"/>
                <w:sz w:val="14"/>
                <w:szCs w:val="14"/>
                <w:color w:val="FFFFFF"/>
              </w:rPr>
              <w:t>​​</w:t>
            </w:r>
          </w:p>
        </w:tc>
        <w:tc>
          <w:tcPr>
            <w:tcW w:w="220" w:type="dxa"/>
            <w:vAlign w:val="bottom"/>
          </w:tcPr>
          <w:p>
            <w:pPr>
              <w:ind w:left="100"/>
              <w:spacing w:after="0"/>
              <w:rPr>
                <w:sz w:val="20"/>
                <w:szCs w:val="20"/>
                <w:color w:val="auto"/>
              </w:rPr>
            </w:pPr>
            <w:r>
              <w:rPr>
                <w:rFonts w:ascii="Arial" w:cs="Arial" w:eastAsia="Arial" w:hAnsi="Arial"/>
                <w:sz w:val="14"/>
                <w:szCs w:val="14"/>
                <w:color w:val="FFFFFF"/>
              </w:rPr>
              <w:t>​</w:t>
            </w:r>
          </w:p>
        </w:tc>
        <w:tc>
          <w:tcPr>
            <w:tcW w:w="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20" w:type="dxa"/>
            <w:vAlign w:val="bottom"/>
            <w:tcBorders>
              <w:bottom w:val="single" w:sz="8" w:color="auto"/>
            </w:tcBorders>
            <w:shd w:val="clear" w:color="auto" w:fill="BA0C2F"/>
          </w:tcPr>
          <w:p>
            <w:pPr>
              <w:spacing w:after="0"/>
              <w:rPr>
                <w:sz w:val="18"/>
                <w:szCs w:val="18"/>
                <w:color w:val="auto"/>
              </w:rPr>
            </w:pPr>
          </w:p>
        </w:tc>
        <w:tc>
          <w:tcPr>
            <w:tcW w:w="80" w:type="dxa"/>
            <w:vAlign w:val="bottom"/>
            <w:tcBorders>
              <w:bottom w:val="single" w:sz="8" w:color="auto"/>
            </w:tcBorders>
            <w:shd w:val="clear" w:color="auto" w:fill="BA0C2F"/>
          </w:tcPr>
          <w:p>
            <w:pPr>
              <w:spacing w:after="0"/>
              <w:rPr>
                <w:sz w:val="18"/>
                <w:szCs w:val="18"/>
                <w:color w:val="auto"/>
              </w:rPr>
            </w:pPr>
          </w:p>
        </w:tc>
        <w:tc>
          <w:tcPr>
            <w:tcW w:w="80" w:type="dxa"/>
            <w:vAlign w:val="bottom"/>
            <w:tcBorders>
              <w:bottom w:val="single" w:sz="8" w:color="auto"/>
            </w:tcBorders>
            <w:shd w:val="clear" w:color="auto" w:fill="BA0C2F"/>
          </w:tcPr>
          <w:p>
            <w:pPr>
              <w:spacing w:after="0"/>
              <w:rPr>
                <w:sz w:val="18"/>
                <w:szCs w:val="18"/>
                <w:color w:val="auto"/>
              </w:rPr>
            </w:pPr>
          </w:p>
        </w:tc>
        <w:tc>
          <w:tcPr>
            <w:tcW w:w="320" w:type="dxa"/>
            <w:vAlign w:val="bottom"/>
            <w:tcBorders>
              <w:bottom w:val="single" w:sz="8" w:color="auto"/>
            </w:tcBorders>
            <w:shd w:val="clear" w:color="auto" w:fill="BA0C2F"/>
          </w:tcPr>
          <w:p>
            <w:pPr>
              <w:spacing w:after="0"/>
              <w:rPr>
                <w:sz w:val="18"/>
                <w:szCs w:val="18"/>
                <w:color w:val="auto"/>
              </w:rPr>
            </w:pPr>
          </w:p>
        </w:tc>
        <w:tc>
          <w:tcPr>
            <w:tcW w:w="580" w:type="dxa"/>
            <w:vAlign w:val="bottom"/>
            <w:tcBorders>
              <w:bottom w:val="single" w:sz="8" w:color="auto"/>
            </w:tcBorders>
            <w:shd w:val="clear" w:color="auto" w:fill="BA0C2F"/>
          </w:tcPr>
          <w:p>
            <w:pPr>
              <w:spacing w:after="0"/>
              <w:rPr>
                <w:sz w:val="18"/>
                <w:szCs w:val="18"/>
                <w:color w:val="auto"/>
              </w:rPr>
            </w:pPr>
          </w:p>
        </w:tc>
        <w:tc>
          <w:tcPr>
            <w:tcW w:w="140" w:type="dxa"/>
            <w:vAlign w:val="bottom"/>
            <w:tcBorders>
              <w:bottom w:val="single" w:sz="8" w:color="auto"/>
            </w:tcBorders>
            <w:shd w:val="clear" w:color="auto" w:fill="BA0C2F"/>
          </w:tcPr>
          <w:p>
            <w:pPr>
              <w:spacing w:after="0"/>
              <w:rPr>
                <w:sz w:val="18"/>
                <w:szCs w:val="18"/>
                <w:color w:val="auto"/>
              </w:rPr>
            </w:pPr>
          </w:p>
        </w:tc>
        <w:tc>
          <w:tcPr>
            <w:tcW w:w="160" w:type="dxa"/>
            <w:vAlign w:val="bottom"/>
            <w:tcBorders>
              <w:bottom w:val="single" w:sz="8" w:color="auto"/>
            </w:tcBorders>
            <w:shd w:val="clear" w:color="auto" w:fill="BA0C2F"/>
          </w:tcPr>
          <w:p>
            <w:pPr>
              <w:spacing w:after="0"/>
              <w:rPr>
                <w:sz w:val="18"/>
                <w:szCs w:val="18"/>
                <w:color w:val="auto"/>
              </w:rPr>
            </w:pPr>
          </w:p>
        </w:tc>
        <w:tc>
          <w:tcPr>
            <w:tcW w:w="380" w:type="dxa"/>
            <w:vAlign w:val="bottom"/>
            <w:tcBorders>
              <w:bottom w:val="single" w:sz="8" w:color="auto"/>
            </w:tcBorders>
            <w:shd w:val="clear" w:color="auto" w:fill="BA0C2F"/>
          </w:tcPr>
          <w:p>
            <w:pPr>
              <w:spacing w:after="0"/>
              <w:rPr>
                <w:sz w:val="18"/>
                <w:szCs w:val="18"/>
                <w:color w:val="auto"/>
              </w:rPr>
            </w:pPr>
          </w:p>
        </w:tc>
        <w:tc>
          <w:tcPr>
            <w:tcW w:w="400" w:type="dxa"/>
            <w:vAlign w:val="bottom"/>
            <w:tcBorders>
              <w:bottom w:val="single" w:sz="8" w:color="auto"/>
            </w:tcBorders>
            <w:shd w:val="clear" w:color="auto" w:fill="BA0C2F"/>
          </w:tcPr>
          <w:p>
            <w:pPr>
              <w:spacing w:after="0"/>
              <w:rPr>
                <w:sz w:val="18"/>
                <w:szCs w:val="18"/>
                <w:color w:val="auto"/>
              </w:rPr>
            </w:pPr>
          </w:p>
        </w:tc>
        <w:tc>
          <w:tcPr>
            <w:tcW w:w="140" w:type="dxa"/>
            <w:vAlign w:val="bottom"/>
            <w:tcBorders>
              <w:bottom w:val="single" w:sz="8" w:color="auto"/>
            </w:tcBorders>
            <w:shd w:val="clear" w:color="auto" w:fill="BA0C2F"/>
          </w:tcPr>
          <w:p>
            <w:pPr>
              <w:spacing w:after="0"/>
              <w:rPr>
                <w:sz w:val="18"/>
                <w:szCs w:val="18"/>
                <w:color w:val="auto"/>
              </w:rPr>
            </w:pPr>
          </w:p>
        </w:tc>
        <w:tc>
          <w:tcPr>
            <w:tcW w:w="1220" w:type="dxa"/>
            <w:vAlign w:val="bottom"/>
            <w:tcBorders>
              <w:bottom w:val="single" w:sz="8" w:color="auto"/>
            </w:tcBorders>
            <w:gridSpan w:val="5"/>
            <w:shd w:val="clear" w:color="auto" w:fill="BA0C2F"/>
          </w:tcPr>
          <w:p>
            <w:pPr>
              <w:jc w:val="right"/>
              <w:spacing w:after="0"/>
              <w:rPr>
                <w:sz w:val="20"/>
                <w:szCs w:val="20"/>
                <w:color w:val="auto"/>
              </w:rPr>
            </w:pPr>
            <w:r>
              <w:rPr>
                <w:rFonts w:ascii="Arial" w:cs="Arial" w:eastAsia="Arial" w:hAnsi="Arial"/>
                <w:sz w:val="14"/>
                <w:szCs w:val="14"/>
                <w:color w:val="FFFFFF"/>
              </w:rPr>
              <w:t>Hypothetical Event</w:t>
            </w:r>
          </w:p>
        </w:tc>
        <w:tc>
          <w:tcPr>
            <w:tcW w:w="360" w:type="dxa"/>
            <w:vAlign w:val="bottom"/>
            <w:tcBorders>
              <w:bottom w:val="single" w:sz="8" w:color="auto"/>
            </w:tcBorders>
            <w:shd w:val="clear" w:color="auto" w:fill="BA0C2F"/>
          </w:tcPr>
          <w:p>
            <w:pPr>
              <w:spacing w:after="0"/>
              <w:rPr>
                <w:sz w:val="18"/>
                <w:szCs w:val="18"/>
                <w:color w:val="auto"/>
              </w:rPr>
            </w:pPr>
          </w:p>
        </w:tc>
        <w:tc>
          <w:tcPr>
            <w:tcW w:w="580" w:type="dxa"/>
            <w:vAlign w:val="bottom"/>
            <w:tcBorders>
              <w:bottom w:val="single" w:sz="8" w:color="auto"/>
            </w:tcBorders>
            <w:shd w:val="clear" w:color="auto" w:fill="BA0C2F"/>
          </w:tcPr>
          <w:p>
            <w:pPr>
              <w:spacing w:after="0"/>
              <w:rPr>
                <w:sz w:val="18"/>
                <w:szCs w:val="18"/>
                <w:color w:val="auto"/>
              </w:rPr>
            </w:pPr>
          </w:p>
        </w:tc>
        <w:tc>
          <w:tcPr>
            <w:tcW w:w="18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300" w:type="dxa"/>
            <w:vAlign w:val="bottom"/>
            <w:tcBorders>
              <w:bottom w:val="single" w:sz="8" w:color="auto"/>
            </w:tcBorders>
            <w:shd w:val="clear" w:color="auto" w:fill="BA0C2F"/>
          </w:tcPr>
          <w:p>
            <w:pPr>
              <w:spacing w:after="0"/>
              <w:rPr>
                <w:sz w:val="18"/>
                <w:szCs w:val="18"/>
                <w:color w:val="auto"/>
              </w:rPr>
            </w:pPr>
          </w:p>
        </w:tc>
        <w:tc>
          <w:tcPr>
            <w:tcW w:w="660" w:type="dxa"/>
            <w:vAlign w:val="bottom"/>
            <w:tcBorders>
              <w:bottom w:val="single" w:sz="8" w:color="auto"/>
            </w:tcBorders>
            <w:shd w:val="clear" w:color="auto" w:fill="BA0C2F"/>
          </w:tcPr>
          <w:p>
            <w:pPr>
              <w:spacing w:after="0"/>
              <w:rPr>
                <w:sz w:val="18"/>
                <w:szCs w:val="18"/>
                <w:color w:val="auto"/>
              </w:rPr>
            </w:pPr>
          </w:p>
        </w:tc>
        <w:tc>
          <w:tcPr>
            <w:tcW w:w="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shd w:val="clear" w:color="auto" w:fill="BA0C2F"/>
          </w:tcPr>
          <w:p>
            <w:pPr>
              <w:spacing w:after="0"/>
              <w:rPr>
                <w:sz w:val="15"/>
                <w:szCs w:val="15"/>
                <w:color w:val="auto"/>
              </w:rPr>
            </w:pPr>
          </w:p>
        </w:tc>
        <w:tc>
          <w:tcPr>
            <w:tcW w:w="20" w:type="dxa"/>
            <w:vAlign w:val="bottom"/>
            <w:shd w:val="clear" w:color="auto" w:fill="BA0C2F"/>
          </w:tcPr>
          <w:p>
            <w:pPr>
              <w:spacing w:after="0"/>
              <w:rPr>
                <w:sz w:val="15"/>
                <w:szCs w:val="15"/>
                <w:color w:val="auto"/>
              </w:rPr>
            </w:pPr>
          </w:p>
        </w:tc>
        <w:tc>
          <w:tcPr>
            <w:tcW w:w="80" w:type="dxa"/>
            <w:vAlign w:val="bottom"/>
            <w:shd w:val="clear" w:color="auto" w:fill="BA0C2F"/>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Change 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2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Control with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2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FFFFFF"/>
              </w:rPr>
              <w:t>Termination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2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shd w:val="clear" w:color="auto" w:fill="BA0C2F"/>
          </w:tcPr>
          <w:p>
            <w:pPr>
              <w:spacing w:after="0"/>
              <w:rPr>
                <w:sz w:val="14"/>
                <w:szCs w:val="14"/>
                <w:color w:val="auto"/>
              </w:rPr>
            </w:pPr>
          </w:p>
        </w:tc>
        <w:tc>
          <w:tcPr>
            <w:tcW w:w="2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FFFFFF"/>
              </w:rPr>
              <w:t>Retirement or</w:t>
            </w:r>
          </w:p>
        </w:tc>
        <w:tc>
          <w:tcPr>
            <w:tcW w:w="14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color w:val="FFFFFF"/>
              </w:rPr>
              <w:t>Termination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4"/>
                <w:szCs w:val="14"/>
                <w:color w:val="FFFFFF"/>
              </w:rPr>
              <w:t>Death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b w:val="1"/>
                <w:bCs w:val="1"/>
                <w:color w:val="auto"/>
              </w:rPr>
              <w:t>H. Keith Jennings</w:t>
            </w:r>
          </w:p>
        </w:tc>
        <w:tc>
          <w:tcPr>
            <w:tcW w:w="220" w:type="dxa"/>
            <w:vAlign w:val="bottom"/>
          </w:tcPr>
          <w:p>
            <w:pPr>
              <w:ind w:left="160"/>
              <w:spacing w:after="0"/>
              <w:rPr>
                <w:sz w:val="20"/>
                <w:szCs w:val="20"/>
                <w:color w:val="auto"/>
              </w:rPr>
            </w:pPr>
            <w:r>
              <w:rPr>
                <w:rFonts w:ascii="Arial" w:cs="Arial" w:eastAsia="Arial" w:hAnsi="Arial"/>
                <w:sz w:val="14"/>
                <w:szCs w:val="14"/>
                <w:color w:val="FFFFFF"/>
              </w:rPr>
              <w:t>​</w:t>
            </w:r>
          </w:p>
        </w:tc>
        <w:tc>
          <w:tcPr>
            <w:tcW w:w="60" w:type="dxa"/>
            <w:vAlign w:val="bottom"/>
            <w:shd w:val="clear" w:color="auto" w:fill="BA0C2F"/>
          </w:tcPr>
          <w:p>
            <w:pPr>
              <w:spacing w:after="0"/>
              <w:rPr>
                <w:sz w:val="17"/>
                <w:szCs w:val="17"/>
                <w:color w:val="auto"/>
              </w:rPr>
            </w:pPr>
          </w:p>
        </w:tc>
        <w:tc>
          <w:tcPr>
            <w:tcW w:w="100" w:type="dxa"/>
            <w:vAlign w:val="bottom"/>
            <w:gridSpan w:val="2"/>
            <w:shd w:val="clear" w:color="auto" w:fill="BA0C2F"/>
          </w:tcPr>
          <w:p>
            <w:pPr>
              <w:jc w:val="right"/>
              <w:spacing w:after="0"/>
              <w:rPr>
                <w:sz w:val="20"/>
                <w:szCs w:val="20"/>
                <w:color w:val="auto"/>
              </w:rPr>
            </w:pPr>
            <w:r>
              <w:rPr>
                <w:rFonts w:ascii="Arial" w:cs="Arial" w:eastAsia="Arial" w:hAnsi="Arial"/>
                <w:sz w:val="14"/>
                <w:szCs w:val="14"/>
                <w:color w:val="FFFFFF"/>
              </w:rPr>
              <w:t>​</w:t>
            </w:r>
          </w:p>
        </w:tc>
        <w:tc>
          <w:tcPr>
            <w:tcW w:w="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FFFFFF"/>
              </w:rPr>
              <w:t>Resignation</w:t>
            </w:r>
          </w:p>
        </w:tc>
        <w:tc>
          <w:tcPr>
            <w:tcW w:w="140" w:type="dxa"/>
            <w:vAlign w:val="bottom"/>
          </w:tcPr>
          <w:p>
            <w:pPr>
              <w:jc w:val="right"/>
              <w:ind w:right="49"/>
              <w:spacing w:after="0"/>
              <w:rPr>
                <w:sz w:val="20"/>
                <w:szCs w:val="20"/>
                <w:color w:val="auto"/>
              </w:rPr>
            </w:pPr>
            <w:r>
              <w:rPr>
                <w:rFonts w:ascii="Arial" w:cs="Arial" w:eastAsia="Arial" w:hAnsi="Arial"/>
                <w:sz w:val="14"/>
                <w:szCs w:val="14"/>
                <w:color w:val="FFFFFF"/>
              </w:rPr>
              <w:t>​</w:t>
            </w:r>
          </w:p>
        </w:tc>
        <w:tc>
          <w:tcPr>
            <w:tcW w:w="160" w:type="dxa"/>
            <w:vAlign w:val="bottom"/>
          </w:tcPr>
          <w:p>
            <w:pPr>
              <w:jc w:val="right"/>
              <w:ind w:right="28"/>
              <w:spacing w:after="0"/>
              <w:rPr>
                <w:sz w:val="20"/>
                <w:szCs w:val="20"/>
                <w:color w:val="auto"/>
              </w:rPr>
            </w:pPr>
            <w:r>
              <w:rPr>
                <w:rFonts w:ascii="Arial" w:cs="Arial" w:eastAsia="Arial" w:hAnsi="Arial"/>
                <w:sz w:val="14"/>
                <w:szCs w:val="14"/>
                <w:color w:val="FFFFFF"/>
              </w:rPr>
              <w:t>​</w:t>
            </w:r>
          </w:p>
        </w:tc>
        <w:tc>
          <w:tcPr>
            <w:tcW w:w="780" w:type="dxa"/>
            <w:vAlign w:val="bottom"/>
            <w:gridSpan w:val="2"/>
          </w:tcPr>
          <w:p>
            <w:pPr>
              <w:ind w:left="20"/>
              <w:spacing w:after="0"/>
              <w:rPr>
                <w:sz w:val="20"/>
                <w:szCs w:val="20"/>
                <w:color w:val="auto"/>
              </w:rPr>
            </w:pPr>
            <w:r>
              <w:rPr>
                <w:rFonts w:ascii="Arial" w:cs="Arial" w:eastAsia="Arial" w:hAnsi="Arial"/>
                <w:sz w:val="14"/>
                <w:szCs w:val="14"/>
                <w:color w:val="FFFFFF"/>
              </w:rPr>
              <w:t>for Cause</w:t>
            </w:r>
          </w:p>
        </w:tc>
        <w:tc>
          <w:tcPr>
            <w:tcW w:w="140" w:type="dxa"/>
            <w:vAlign w:val="bottom"/>
          </w:tcPr>
          <w:p>
            <w:pPr>
              <w:jc w:val="right"/>
              <w:ind w:right="49"/>
              <w:spacing w:after="0"/>
              <w:rPr>
                <w:sz w:val="20"/>
                <w:szCs w:val="20"/>
                <w:color w:val="auto"/>
              </w:rPr>
            </w:pPr>
            <w:r>
              <w:rPr>
                <w:rFonts w:ascii="Arial" w:cs="Arial" w:eastAsia="Arial" w:hAnsi="Arial"/>
                <w:sz w:val="14"/>
                <w:szCs w:val="14"/>
                <w:color w:val="FFFFFF"/>
              </w:rPr>
              <w:t>​</w:t>
            </w:r>
          </w:p>
        </w:tc>
        <w:tc>
          <w:tcPr>
            <w:tcW w:w="180" w:type="dxa"/>
            <w:vAlign w:val="bottom"/>
          </w:tcPr>
          <w:p>
            <w:pPr>
              <w:jc w:val="center"/>
              <w:ind w:right="30"/>
              <w:spacing w:after="0"/>
              <w:rPr>
                <w:sz w:val="20"/>
                <w:szCs w:val="20"/>
                <w:color w:val="auto"/>
              </w:rPr>
            </w:pPr>
            <w:r>
              <w:rPr>
                <w:rFonts w:ascii="Arial" w:cs="Arial" w:eastAsia="Arial" w:hAnsi="Arial"/>
                <w:sz w:val="14"/>
                <w:szCs w:val="14"/>
                <w:color w:val="FFFFFF"/>
              </w:rPr>
              <w:t>​</w:t>
            </w:r>
          </w:p>
        </w:tc>
        <w:tc>
          <w:tcPr>
            <w:tcW w:w="740" w:type="dxa"/>
            <w:vAlign w:val="bottom"/>
            <w:gridSpan w:val="2"/>
          </w:tcPr>
          <w:p>
            <w:pPr>
              <w:jc w:val="right"/>
              <w:ind w:right="70"/>
              <w:spacing w:after="0"/>
              <w:rPr>
                <w:sz w:val="20"/>
                <w:szCs w:val="20"/>
                <w:color w:val="auto"/>
              </w:rPr>
            </w:pPr>
            <w:r>
              <w:rPr>
                <w:rFonts w:ascii="Arial" w:cs="Arial" w:eastAsia="Arial" w:hAnsi="Arial"/>
                <w:sz w:val="14"/>
                <w:szCs w:val="14"/>
                <w:color w:val="FFFFFF"/>
              </w:rPr>
              <w:t>Disability</w:t>
            </w:r>
          </w:p>
        </w:tc>
        <w:tc>
          <w:tcPr>
            <w:tcW w:w="160" w:type="dxa"/>
            <w:vAlign w:val="bottom"/>
          </w:tcPr>
          <w:p>
            <w:pPr>
              <w:jc w:val="right"/>
              <w:spacing w:after="0"/>
              <w:rPr>
                <w:sz w:val="20"/>
                <w:szCs w:val="20"/>
                <w:color w:val="auto"/>
              </w:rPr>
            </w:pPr>
            <w:r>
              <w:rPr>
                <w:rFonts w:ascii="Arial" w:cs="Arial" w:eastAsia="Arial" w:hAnsi="Arial"/>
                <w:sz w:val="14"/>
                <w:szCs w:val="14"/>
                <w:color w:val="FFFFFF"/>
              </w:rPr>
              <w:t>​</w:t>
            </w:r>
          </w:p>
        </w:tc>
        <w:tc>
          <w:tcPr>
            <w:tcW w:w="140" w:type="dxa"/>
            <w:vAlign w:val="bottom"/>
          </w:tcPr>
          <w:p>
            <w:pPr>
              <w:jc w:val="right"/>
              <w:spacing w:after="0"/>
              <w:rPr>
                <w:sz w:val="20"/>
                <w:szCs w:val="20"/>
                <w:color w:val="auto"/>
              </w:rPr>
            </w:pPr>
            <w:r>
              <w:rPr>
                <w:rFonts w:ascii="Arial" w:cs="Arial" w:eastAsia="Arial" w:hAnsi="Arial"/>
                <w:sz w:val="14"/>
                <w:szCs w:val="14"/>
                <w:color w:val="FFFFFF"/>
              </w:rPr>
              <w:t>​</w:t>
            </w: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Reason</w:t>
            </w:r>
          </w:p>
        </w:tc>
        <w:tc>
          <w:tcPr>
            <w:tcW w:w="18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jc w:val="right"/>
              <w:spacing w:after="0"/>
              <w:rPr>
                <w:sz w:val="20"/>
                <w:szCs w:val="20"/>
                <w:color w:val="auto"/>
              </w:rPr>
            </w:pPr>
            <w:r>
              <w:rPr>
                <w:rFonts w:ascii="Arial" w:cs="Arial" w:eastAsia="Arial" w:hAnsi="Arial"/>
                <w:sz w:val="14"/>
                <w:szCs w:val="14"/>
                <w:color w:val="FFFFFF"/>
              </w:rPr>
              <w:t>​</w:t>
            </w: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Reason</w:t>
            </w:r>
          </w:p>
        </w:tc>
        <w:tc>
          <w:tcPr>
            <w:tcW w:w="8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Cash Severance</w:t>
            </w:r>
            <w:r>
              <w:rPr>
                <w:rFonts w:ascii="Arial" w:cs="Arial" w:eastAsia="Arial" w:hAnsi="Arial"/>
                <w:sz w:val="17"/>
                <w:szCs w:val="17"/>
                <w:color w:val="auto"/>
                <w:vertAlign w:val="superscript"/>
              </w:rPr>
              <w:t>(1)</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$ 1,500,000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2,500,000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Annual Cash Incentive Compensation</w:t>
            </w:r>
            <w:r>
              <w:rPr>
                <w:rFonts w:ascii="Arial" w:cs="Arial" w:eastAsia="Arial" w:hAnsi="Arial"/>
                <w:sz w:val="17"/>
                <w:szCs w:val="17"/>
                <w:color w:val="auto"/>
                <w:vertAlign w:val="superscript"/>
              </w:rPr>
              <w:t>(2)</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Long-Term Cash Incentive Compensation</w:t>
            </w:r>
            <w:r>
              <w:rPr>
                <w:rFonts w:ascii="Arial" w:cs="Arial" w:eastAsia="Arial" w:hAnsi="Arial"/>
                <w:sz w:val="17"/>
                <w:szCs w:val="17"/>
                <w:color w:val="auto"/>
                <w:vertAlign w:val="superscript"/>
              </w:rPr>
              <w:t>(3)</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14"/>
                <w:szCs w:val="14"/>
                <w:color w:val="auto"/>
              </w:rPr>
              <w:t>162,500</w:t>
            </w:r>
            <w:r>
              <w:rPr>
                <w:rFonts w:ascii="Arial" w:cs="Arial" w:eastAsia="Arial" w:hAnsi="Arial"/>
                <w:sz w:val="27"/>
                <w:szCs w:val="27"/>
                <w:color w:val="auto"/>
                <w:vertAlign w:val="subscript"/>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162,500</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162,500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162,500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RSUs — Unvested and Accelerated</w:t>
            </w:r>
            <w:r>
              <w:rPr>
                <w:rFonts w:ascii="Arial" w:cs="Arial" w:eastAsia="Arial" w:hAnsi="Arial"/>
                <w:sz w:val="17"/>
                <w:szCs w:val="17"/>
                <w:color w:val="auto"/>
                <w:vertAlign w:val="superscript"/>
              </w:rPr>
              <w:t>(4)</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3,209,865</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$ 1,587,330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3,209,865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PSUs — Unvested and Accelerated</w:t>
            </w:r>
            <w:r>
              <w:rPr>
                <w:rFonts w:ascii="Arial" w:cs="Arial" w:eastAsia="Arial" w:hAnsi="Arial"/>
                <w:sz w:val="17"/>
                <w:szCs w:val="17"/>
                <w:color w:val="auto"/>
                <w:vertAlign w:val="superscript"/>
              </w:rPr>
              <w:t>(5)</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5,349,766</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$ 2,660,122</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$ 10,699,532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Phantom RSUs — Unvested and Accelerated</w:t>
            </w:r>
            <w:r>
              <w:rPr>
                <w:rFonts w:ascii="Arial" w:cs="Arial" w:eastAsia="Arial" w:hAnsi="Arial"/>
                <w:sz w:val="17"/>
                <w:szCs w:val="17"/>
                <w:color w:val="auto"/>
                <w:vertAlign w:val="superscript"/>
              </w:rPr>
              <w:t>(6)</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649,998</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649,998</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649,998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WAGE Program PSUs — Unvested and Accelerated</w:t>
            </w:r>
            <w:r>
              <w:rPr>
                <w:rFonts w:ascii="Arial" w:cs="Arial" w:eastAsia="Arial" w:hAnsi="Arial"/>
                <w:sz w:val="17"/>
                <w:szCs w:val="17"/>
                <w:color w:val="auto"/>
                <w:vertAlign w:val="superscript"/>
              </w:rPr>
              <w:t>(7)</w:t>
            </w:r>
          </w:p>
        </w:tc>
        <w:tc>
          <w:tcPr>
            <w:tcW w:w="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66666"/>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40" w:type="dxa"/>
            <w:vAlign w:val="bottom"/>
            <w:tcBorders>
              <w:bottom w:val="single" w:sz="8" w:color="666666"/>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8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0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2,633,705</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Welfare and Other Benefits</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ind w:left="1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20" w:type="dxa"/>
            <w:vAlign w:val="bottom"/>
            <w:gridSpan w:val="2"/>
          </w:tcPr>
          <w:p>
            <w:pPr>
              <w:jc w:val="right"/>
              <w:ind w:right="49"/>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40" w:type="dxa"/>
            <w:vAlign w:val="bottom"/>
            <w:gridSpan w:val="2"/>
          </w:tcPr>
          <w:p>
            <w:pPr>
              <w:jc w:val="right"/>
              <w:ind w:right="49"/>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80" w:type="dxa"/>
            <w:vAlign w:val="bottom"/>
          </w:tcPr>
          <w:p>
            <w:pPr>
              <w:jc w:val="right"/>
              <w:spacing w:after="0" w:line="210"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100" w:type="dxa"/>
            <w:vAlign w:val="bottom"/>
          </w:tcPr>
          <w:p>
            <w:pPr>
              <w:spacing w:after="0"/>
              <w:rPr>
                <w:sz w:val="18"/>
                <w:szCs w:val="18"/>
                <w:color w:val="auto"/>
              </w:rPr>
            </w:pPr>
          </w:p>
        </w:tc>
        <w:tc>
          <w:tcPr>
            <w:tcW w:w="80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1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60" w:type="dxa"/>
            <w:vAlign w:val="bottom"/>
            <w:gridSpan w:val="2"/>
          </w:tcPr>
          <w:p>
            <w:pPr>
              <w:jc w:val="right"/>
              <w:spacing w:after="0" w:line="210" w:lineRule="exact"/>
              <w:rPr>
                <w:sz w:val="20"/>
                <w:szCs w:val="20"/>
                <w:color w:val="auto"/>
              </w:rPr>
            </w:pPr>
            <w:r>
              <w:rPr>
                <w:rFonts w:ascii="Arial" w:cs="Arial" w:eastAsia="Arial" w:hAnsi="Arial"/>
                <w:sz w:val="13"/>
                <w:szCs w:val="13"/>
                <w:color w:val="auto"/>
              </w:rPr>
              <w:t>13,554</w:t>
            </w:r>
            <w:r>
              <w:rPr>
                <w:rFonts w:ascii="Arial" w:cs="Arial" w:eastAsia="Arial" w:hAnsi="Arial"/>
                <w:sz w:val="24"/>
                <w:szCs w:val="24"/>
                <w:color w:val="auto"/>
                <w:vertAlign w:val="subscript"/>
              </w:rPr>
              <w:t>​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40" w:type="dxa"/>
            <w:vAlign w:val="bottom"/>
            <w:gridSpan w:val="3"/>
          </w:tcPr>
          <w:p>
            <w:pPr>
              <w:jc w:val="right"/>
              <w:spacing w:after="0" w:line="210" w:lineRule="exact"/>
              <w:rPr>
                <w:sz w:val="20"/>
                <w:szCs w:val="20"/>
                <w:color w:val="auto"/>
              </w:rPr>
            </w:pPr>
            <w:r>
              <w:rPr>
                <w:rFonts w:ascii="Arial" w:cs="Arial" w:eastAsia="Arial" w:hAnsi="Arial"/>
                <w:sz w:val="13"/>
                <w:szCs w:val="13"/>
                <w:color w:val="auto"/>
              </w:rPr>
              <w:t>27,108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55"/>
        </w:trPr>
        <w:tc>
          <w:tcPr>
            <w:tcW w:w="3740" w:type="dxa"/>
            <w:vAlign w:val="bottom"/>
            <w:tcBorders>
              <w:top w:val="single" w:sz="8" w:color="666666"/>
            </w:tcBorders>
          </w:tcPr>
          <w:p>
            <w:pPr>
              <w:ind w:left="40"/>
              <w:spacing w:after="0" w:line="155" w:lineRule="exact"/>
              <w:rPr>
                <w:sz w:val="20"/>
                <w:szCs w:val="20"/>
                <w:color w:val="auto"/>
              </w:rPr>
            </w:pPr>
            <w:r>
              <w:rPr>
                <w:rFonts w:ascii="Arial" w:cs="Arial" w:eastAsia="Arial" w:hAnsi="Arial"/>
                <w:sz w:val="14"/>
                <w:szCs w:val="14"/>
                <w:color w:val="auto"/>
              </w:rPr>
              <w:t>Clawback of Sign-on Bonus and Relocation Allowances</w:t>
            </w:r>
            <w:r>
              <w:rPr>
                <w:rFonts w:ascii="Arial" w:cs="Arial" w:eastAsia="Arial" w:hAnsi="Arial"/>
                <w:sz w:val="17"/>
                <w:szCs w:val="17"/>
                <w:color w:val="auto"/>
                <w:vertAlign w:val="superscript"/>
              </w:rPr>
              <w:t>(8)</w:t>
            </w:r>
          </w:p>
        </w:tc>
        <w:tc>
          <w:tcPr>
            <w:tcW w:w="220" w:type="dxa"/>
            <w:vAlign w:val="bottom"/>
            <w:tcBorders>
              <w:top w:val="single" w:sz="8" w:color="666666"/>
            </w:tcBorders>
          </w:tcPr>
          <w:p>
            <w:pPr>
              <w:spacing w:after="0"/>
              <w:rPr>
                <w:sz w:val="13"/>
                <w:szCs w:val="13"/>
                <w:color w:val="auto"/>
              </w:rPr>
            </w:pPr>
          </w:p>
        </w:tc>
        <w:tc>
          <w:tcPr>
            <w:tcW w:w="60" w:type="dxa"/>
            <w:vAlign w:val="bottom"/>
            <w:tcBorders>
              <w:top w:val="single" w:sz="8" w:color="666666"/>
            </w:tcBorders>
          </w:tcPr>
          <w:p>
            <w:pPr>
              <w:spacing w:after="0"/>
              <w:rPr>
                <w:sz w:val="13"/>
                <w:szCs w:val="13"/>
                <w:color w:val="auto"/>
              </w:rPr>
            </w:pPr>
          </w:p>
        </w:tc>
        <w:tc>
          <w:tcPr>
            <w:tcW w:w="20" w:type="dxa"/>
            <w:vAlign w:val="bottom"/>
            <w:tcBorders>
              <w:top w:val="single" w:sz="8" w:color="666666"/>
            </w:tcBorders>
          </w:tcPr>
          <w:p>
            <w:pPr>
              <w:spacing w:after="0"/>
              <w:rPr>
                <w:sz w:val="13"/>
                <w:szCs w:val="13"/>
                <w:color w:val="auto"/>
              </w:rPr>
            </w:pPr>
          </w:p>
        </w:tc>
        <w:tc>
          <w:tcPr>
            <w:tcW w:w="80" w:type="dxa"/>
            <w:vAlign w:val="bottom"/>
            <w:tcBorders>
              <w:top w:val="single" w:sz="8" w:color="666666"/>
            </w:tcBorders>
          </w:tcPr>
          <w:p>
            <w:pPr>
              <w:spacing w:after="0"/>
              <w:rPr>
                <w:sz w:val="13"/>
                <w:szCs w:val="13"/>
                <w:color w:val="auto"/>
              </w:rPr>
            </w:pPr>
          </w:p>
        </w:tc>
        <w:tc>
          <w:tcPr>
            <w:tcW w:w="80" w:type="dxa"/>
            <w:vAlign w:val="bottom"/>
            <w:tcBorders>
              <w:top w:val="single" w:sz="8" w:color="666666"/>
            </w:tcBorders>
          </w:tcPr>
          <w:p>
            <w:pPr>
              <w:spacing w:after="0"/>
              <w:rPr>
                <w:sz w:val="13"/>
                <w:szCs w:val="13"/>
                <w:color w:val="auto"/>
              </w:rPr>
            </w:pPr>
          </w:p>
        </w:tc>
        <w:tc>
          <w:tcPr>
            <w:tcW w:w="900" w:type="dxa"/>
            <w:vAlign w:val="bottom"/>
            <w:tcBorders>
              <w:top w:val="single" w:sz="8" w:color="666666"/>
            </w:tcBorders>
            <w:gridSpan w:val="2"/>
            <w:vMerge w:val="restart"/>
          </w:tcPr>
          <w:p>
            <w:pPr>
              <w:ind w:left="140"/>
              <w:spacing w:after="0"/>
              <w:rPr>
                <w:sz w:val="20"/>
                <w:szCs w:val="20"/>
                <w:color w:val="auto"/>
              </w:rPr>
            </w:pPr>
            <w:r>
              <w:rPr>
                <w:rFonts w:ascii="Arial" w:cs="Arial" w:eastAsia="Arial" w:hAnsi="Arial"/>
                <w:sz w:val="14"/>
                <w:szCs w:val="14"/>
                <w:color w:val="auto"/>
              </w:rPr>
              <w:t>$ (325,000)</w:t>
            </w:r>
          </w:p>
        </w:tc>
        <w:tc>
          <w:tcPr>
            <w:tcW w:w="140" w:type="dxa"/>
            <w:vAlign w:val="bottom"/>
            <w:tcBorders>
              <w:top w:val="single" w:sz="8" w:color="666666"/>
            </w:tcBorders>
          </w:tcPr>
          <w:p>
            <w:pPr>
              <w:spacing w:after="0"/>
              <w:rPr>
                <w:sz w:val="13"/>
                <w:szCs w:val="13"/>
                <w:color w:val="auto"/>
              </w:rPr>
            </w:pPr>
          </w:p>
        </w:tc>
        <w:tc>
          <w:tcPr>
            <w:tcW w:w="160" w:type="dxa"/>
            <w:vAlign w:val="bottom"/>
            <w:tcBorders>
              <w:top w:val="single" w:sz="8" w:color="666666"/>
            </w:tcBorders>
          </w:tcPr>
          <w:p>
            <w:pPr>
              <w:spacing w:after="0"/>
              <w:rPr>
                <w:sz w:val="13"/>
                <w:szCs w:val="13"/>
                <w:color w:val="auto"/>
              </w:rPr>
            </w:pPr>
          </w:p>
        </w:tc>
        <w:tc>
          <w:tcPr>
            <w:tcW w:w="780" w:type="dxa"/>
            <w:vAlign w:val="bottom"/>
            <w:tcBorders>
              <w:top w:val="single" w:sz="8" w:color="666666"/>
            </w:tcBorders>
            <w:gridSpan w:val="2"/>
            <w:vMerge w:val="restart"/>
          </w:tcPr>
          <w:p>
            <w:pPr>
              <w:ind w:left="40"/>
              <w:spacing w:after="0"/>
              <w:rPr>
                <w:sz w:val="20"/>
                <w:szCs w:val="20"/>
                <w:color w:val="auto"/>
              </w:rPr>
            </w:pPr>
            <w:r>
              <w:rPr>
                <w:rFonts w:ascii="Arial" w:cs="Arial" w:eastAsia="Arial" w:hAnsi="Arial"/>
                <w:sz w:val="14"/>
                <w:szCs w:val="14"/>
                <w:color w:val="auto"/>
              </w:rPr>
              <w:t>$ (325,000)</w:t>
            </w:r>
          </w:p>
        </w:tc>
        <w:tc>
          <w:tcPr>
            <w:tcW w:w="140" w:type="dxa"/>
            <w:vAlign w:val="bottom"/>
            <w:tcBorders>
              <w:top w:val="single" w:sz="8" w:color="666666"/>
            </w:tcBorders>
          </w:tcPr>
          <w:p>
            <w:pPr>
              <w:spacing w:after="0"/>
              <w:rPr>
                <w:sz w:val="13"/>
                <w:szCs w:val="13"/>
                <w:color w:val="auto"/>
              </w:rPr>
            </w:pPr>
          </w:p>
        </w:tc>
        <w:tc>
          <w:tcPr>
            <w:tcW w:w="18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666666"/>
            </w:tcBorders>
          </w:tcPr>
          <w:p>
            <w:pPr>
              <w:spacing w:after="0"/>
              <w:rPr>
                <w:sz w:val="13"/>
                <w:szCs w:val="13"/>
                <w:color w:val="auto"/>
              </w:rPr>
            </w:pPr>
          </w:p>
        </w:tc>
        <w:tc>
          <w:tcPr>
            <w:tcW w:w="64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666666"/>
            </w:tcBorders>
          </w:tcPr>
          <w:p>
            <w:pPr>
              <w:spacing w:after="0"/>
              <w:rPr>
                <w:sz w:val="13"/>
                <w:szCs w:val="13"/>
                <w:color w:val="auto"/>
              </w:rPr>
            </w:pPr>
          </w:p>
        </w:tc>
        <w:tc>
          <w:tcPr>
            <w:tcW w:w="140" w:type="dxa"/>
            <w:vAlign w:val="bottom"/>
            <w:tcBorders>
              <w:top w:val="single" w:sz="8" w:color="666666"/>
            </w:tcBorders>
          </w:tcPr>
          <w:p>
            <w:pPr>
              <w:spacing w:after="0"/>
              <w:rPr>
                <w:sz w:val="13"/>
                <w:szCs w:val="13"/>
                <w:color w:val="auto"/>
              </w:rPr>
            </w:pPr>
          </w:p>
        </w:tc>
        <w:tc>
          <w:tcPr>
            <w:tcW w:w="360" w:type="dxa"/>
            <w:vAlign w:val="bottom"/>
            <w:tcBorders>
              <w:top w:val="single" w:sz="8" w:color="666666"/>
            </w:tcBorders>
            <w:vMerge w:val="restart"/>
          </w:tcPr>
          <w:p>
            <w:pPr>
              <w:ind w:left="20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666666"/>
            </w:tcBorders>
            <w:vMerge w:val="restart"/>
          </w:tcPr>
          <w:p>
            <w:pPr>
              <w:ind w:left="440"/>
              <w:spacing w:after="0"/>
              <w:rPr>
                <w:sz w:val="20"/>
                <w:szCs w:val="20"/>
                <w:color w:val="auto"/>
              </w:rPr>
            </w:pPr>
            <w:r>
              <w:rPr>
                <w:rFonts w:ascii="Arial" w:cs="Arial" w:eastAsia="Arial" w:hAnsi="Arial"/>
                <w:sz w:val="14"/>
                <w:szCs w:val="14"/>
                <w:color w:val="auto"/>
                <w:w w:val="85"/>
              </w:rPr>
              <w:t>—</w:t>
            </w:r>
          </w:p>
        </w:tc>
        <w:tc>
          <w:tcPr>
            <w:tcW w:w="180" w:type="dxa"/>
            <w:vAlign w:val="bottom"/>
            <w:tcBorders>
              <w:top w:val="single" w:sz="8" w:color="666666"/>
            </w:tcBorders>
          </w:tcPr>
          <w:p>
            <w:pPr>
              <w:spacing w:after="0"/>
              <w:rPr>
                <w:sz w:val="13"/>
                <w:szCs w:val="13"/>
                <w:color w:val="auto"/>
              </w:rPr>
            </w:pPr>
          </w:p>
        </w:tc>
        <w:tc>
          <w:tcPr>
            <w:tcW w:w="120" w:type="dxa"/>
            <w:vAlign w:val="bottom"/>
            <w:tcBorders>
              <w:top w:val="single" w:sz="8" w:color="666666"/>
            </w:tcBorders>
          </w:tcPr>
          <w:p>
            <w:pPr>
              <w:spacing w:after="0"/>
              <w:rPr>
                <w:sz w:val="13"/>
                <w:szCs w:val="13"/>
                <w:color w:val="auto"/>
              </w:rPr>
            </w:pPr>
          </w:p>
        </w:tc>
        <w:tc>
          <w:tcPr>
            <w:tcW w:w="300" w:type="dxa"/>
            <w:vAlign w:val="bottom"/>
            <w:tcBorders>
              <w:top w:val="single" w:sz="8" w:color="666666"/>
            </w:tcBorders>
            <w:vMerge w:val="restart"/>
          </w:tcPr>
          <w:p>
            <w:pPr>
              <w:ind w:left="1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666666"/>
            </w:tcBorders>
            <w:vMerge w:val="restart"/>
          </w:tcPr>
          <w:p>
            <w:pPr>
              <w:ind w:left="520"/>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666666"/>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jc w:val="center"/>
              <w:ind w:right="3595"/>
              <w:spacing w:after="0" w:line="81" w:lineRule="exact"/>
              <w:rPr>
                <w:sz w:val="20"/>
                <w:szCs w:val="20"/>
                <w:color w:val="auto"/>
              </w:rPr>
            </w:pPr>
            <w:r>
              <w:rPr>
                <w:rFonts w:ascii="Arial" w:cs="Arial" w:eastAsia="Arial" w:hAnsi="Arial"/>
                <w:sz w:val="9"/>
                <w:szCs w:val="9"/>
                <w:color w:val="auto"/>
              </w:rPr>
              <w:t>​</w:t>
            </w:r>
          </w:p>
        </w:tc>
        <w:tc>
          <w:tcPr>
            <w:tcW w:w="460" w:type="dxa"/>
            <w:vAlign w:val="bottom"/>
            <w:gridSpan w:val="5"/>
            <w:vMerge w:val="restart"/>
          </w:tcPr>
          <w:p>
            <w:pPr>
              <w:jc w:val="right"/>
              <w:ind w:right="48"/>
              <w:spacing w:after="0" w:line="81" w:lineRule="exact"/>
              <w:rPr>
                <w:sz w:val="20"/>
                <w:szCs w:val="20"/>
                <w:color w:val="auto"/>
              </w:rPr>
            </w:pPr>
            <w:r>
              <w:rPr>
                <w:rFonts w:ascii="Arial" w:cs="Arial" w:eastAsia="Arial" w:hAnsi="Arial"/>
                <w:sz w:val="9"/>
                <w:szCs w:val="9"/>
                <w:color w:val="auto"/>
              </w:rPr>
              <w:t>​  ​</w:t>
            </w: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30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 ​  ​</w:t>
            </w:r>
          </w:p>
        </w:tc>
        <w:tc>
          <w:tcPr>
            <w:tcW w:w="3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0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 ​  ​</w:t>
            </w:r>
          </w:p>
        </w:tc>
        <w:tc>
          <w:tcPr>
            <w:tcW w:w="3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3740" w:type="dxa"/>
            <w:vAlign w:val="bottom"/>
            <w:vMerge w:val="continue"/>
          </w:tcPr>
          <w:p>
            <w:pPr>
              <w:spacing w:after="0"/>
              <w:rPr>
                <w:sz w:val="4"/>
                <w:szCs w:val="4"/>
                <w:color w:val="auto"/>
              </w:rPr>
            </w:pPr>
          </w:p>
        </w:tc>
        <w:tc>
          <w:tcPr>
            <w:tcW w:w="460" w:type="dxa"/>
            <w:vAlign w:val="bottom"/>
            <w:gridSpan w:val="5"/>
            <w:vMerge w:val="continue"/>
          </w:tcPr>
          <w:p>
            <w:pPr>
              <w:spacing w:after="0"/>
              <w:rPr>
                <w:sz w:val="4"/>
                <w:szCs w:val="4"/>
                <w:color w:val="auto"/>
              </w:rPr>
            </w:pPr>
          </w:p>
        </w:tc>
        <w:tc>
          <w:tcPr>
            <w:tcW w:w="32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880" w:type="dxa"/>
            <w:vAlign w:val="bottom"/>
            <w:gridSpan w:val="3"/>
          </w:tcPr>
          <w:p>
            <w:pPr>
              <w:jc w:val="right"/>
              <w:ind w:right="28"/>
              <w:spacing w:after="0" w:line="54" w:lineRule="exact"/>
              <w:rPr>
                <w:sz w:val="20"/>
                <w:szCs w:val="20"/>
                <w:color w:val="auto"/>
              </w:rPr>
            </w:pPr>
            <w:r>
              <w:rPr>
                <w:rFonts w:ascii="Arial" w:cs="Arial" w:eastAsia="Arial" w:hAnsi="Arial"/>
                <w:sz w:val="6"/>
                <w:szCs w:val="6"/>
                <w:color w:val="auto"/>
              </w:rPr>
              <w:t>​ ​  ​</w:t>
            </w:r>
          </w:p>
        </w:tc>
        <w:tc>
          <w:tcPr>
            <w:tcW w:w="3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20" w:type="dxa"/>
            <w:vAlign w:val="bottom"/>
            <w:gridSpan w:val="3"/>
          </w:tcPr>
          <w:p>
            <w:pPr>
              <w:jc w:val="right"/>
              <w:spacing w:after="0" w:line="54" w:lineRule="exact"/>
              <w:rPr>
                <w:sz w:val="20"/>
                <w:szCs w:val="20"/>
                <w:color w:val="auto"/>
              </w:rPr>
            </w:pPr>
            <w:r>
              <w:rPr>
                <w:rFonts w:ascii="Arial" w:cs="Arial" w:eastAsia="Arial" w:hAnsi="Arial"/>
                <w:sz w:val="6"/>
                <w:szCs w:val="6"/>
                <w:color w:val="auto"/>
              </w:rPr>
              <w:t>​ ​  ​ ​</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666666"/>
          </w:tcPr>
          <w:p>
            <w:pPr>
              <w:spacing w:after="0" w:line="20" w:lineRule="exact"/>
              <w:rPr>
                <w:sz w:val="1"/>
                <w:szCs w:val="1"/>
                <w:color w:val="auto"/>
              </w:rPr>
            </w:pPr>
          </w:p>
        </w:tc>
        <w:tc>
          <w:tcPr>
            <w:tcW w:w="220" w:type="dxa"/>
            <w:vAlign w:val="bottom"/>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c>
          <w:tcPr>
            <w:tcW w:w="900" w:type="dxa"/>
            <w:vAlign w:val="bottom"/>
            <w:gridSpan w:val="2"/>
            <w:shd w:val="clear" w:color="auto" w:fill="666666"/>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780" w:type="dxa"/>
            <w:vAlign w:val="bottom"/>
            <w:gridSpan w:val="2"/>
            <w:shd w:val="clear" w:color="auto" w:fill="666666"/>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c>
          <w:tcPr>
            <w:tcW w:w="920" w:type="dxa"/>
            <w:vAlign w:val="bottom"/>
            <w:gridSpan w:val="3"/>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c>
          <w:tcPr>
            <w:tcW w:w="940" w:type="dxa"/>
            <w:vAlign w:val="bottom"/>
            <w:gridSpan w:val="2"/>
            <w:shd w:val="clear" w:color="auto" w:fill="666666"/>
          </w:tcPr>
          <w:p>
            <w:pPr>
              <w:spacing w:after="0" w:line="20" w:lineRule="exact"/>
              <w:rPr>
                <w:sz w:val="1"/>
                <w:szCs w:val="1"/>
                <w:color w:val="auto"/>
              </w:rPr>
            </w:pPr>
          </w:p>
        </w:tc>
        <w:tc>
          <w:tcPr>
            <w:tcW w:w="180" w:type="dxa"/>
            <w:vAlign w:val="bottom"/>
            <w:shd w:val="clear" w:color="auto" w:fill="666666"/>
          </w:tcPr>
          <w:p>
            <w:pPr>
              <w:spacing w:after="0" w:line="20" w:lineRule="exact"/>
              <w:rPr>
                <w:sz w:val="1"/>
                <w:szCs w:val="1"/>
                <w:color w:val="auto"/>
              </w:rPr>
            </w:pPr>
          </w:p>
        </w:tc>
        <w:tc>
          <w:tcPr>
            <w:tcW w:w="120" w:type="dxa"/>
            <w:vAlign w:val="bottom"/>
            <w:shd w:val="clear" w:color="auto" w:fill="666666"/>
          </w:tcPr>
          <w:p>
            <w:pPr>
              <w:spacing w:after="0" w:line="20" w:lineRule="exact"/>
              <w:rPr>
                <w:sz w:val="1"/>
                <w:szCs w:val="1"/>
                <w:color w:val="auto"/>
              </w:rPr>
            </w:pPr>
          </w:p>
        </w:tc>
        <w:tc>
          <w:tcPr>
            <w:tcW w:w="960" w:type="dxa"/>
            <w:vAlign w:val="bottom"/>
            <w:gridSpan w:val="2"/>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ind w:left="40"/>
              <w:spacing w:after="0" w:line="155" w:lineRule="exact"/>
              <w:rPr>
                <w:sz w:val="20"/>
                <w:szCs w:val="20"/>
                <w:color w:val="auto"/>
              </w:rPr>
            </w:pPr>
            <w:r>
              <w:rPr>
                <w:rFonts w:ascii="Arial" w:cs="Arial" w:eastAsia="Arial" w:hAnsi="Arial"/>
                <w:sz w:val="14"/>
                <w:szCs w:val="14"/>
                <w:color w:val="auto"/>
              </w:rPr>
              <w:t>Total</w:t>
            </w:r>
          </w:p>
        </w:tc>
        <w:tc>
          <w:tcPr>
            <w:tcW w:w="460" w:type="dxa"/>
            <w:vAlign w:val="bottom"/>
            <w:gridSpan w:val="5"/>
            <w:vMerge w:val="restart"/>
          </w:tcPr>
          <w:p>
            <w:pPr>
              <w:jc w:val="right"/>
              <w:ind w:right="48"/>
              <w:spacing w:after="0"/>
              <w:rPr>
                <w:sz w:val="20"/>
                <w:szCs w:val="20"/>
                <w:color w:val="auto"/>
              </w:rPr>
            </w:pPr>
            <w:r>
              <w:rPr>
                <w:rFonts w:ascii="Arial" w:cs="Arial" w:eastAsia="Arial" w:hAnsi="Arial"/>
                <w:sz w:val="14"/>
                <w:szCs w:val="14"/>
                <w:color w:val="auto"/>
              </w:rPr>
              <w:t>​  ​</w:t>
            </w:r>
          </w:p>
        </w:tc>
        <w:tc>
          <w:tcPr>
            <w:tcW w:w="90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 (162,500)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 (325,000)</w:t>
            </w:r>
          </w:p>
        </w:tc>
        <w:tc>
          <w:tcPr>
            <w:tcW w:w="140" w:type="dxa"/>
            <w:vAlign w:val="bottom"/>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$12,005,834</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94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97"/>
              </w:rPr>
              <w:t>$ 6,573,504</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9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$ 17,249,003</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740" w:type="dxa"/>
            <w:vAlign w:val="bottom"/>
          </w:tcPr>
          <w:p>
            <w:pPr>
              <w:jc w:val="center"/>
              <w:ind w:right="3595"/>
              <w:spacing w:after="0" w:line="54" w:lineRule="exact"/>
              <w:rPr>
                <w:sz w:val="20"/>
                <w:szCs w:val="20"/>
                <w:color w:val="auto"/>
              </w:rPr>
            </w:pPr>
            <w:r>
              <w:rPr>
                <w:rFonts w:ascii="Arial" w:cs="Arial" w:eastAsia="Arial" w:hAnsi="Arial"/>
                <w:sz w:val="6"/>
                <w:szCs w:val="6"/>
                <w:color w:val="auto"/>
              </w:rPr>
              <w:t>​</w:t>
            </w:r>
          </w:p>
        </w:tc>
        <w:tc>
          <w:tcPr>
            <w:tcW w:w="460" w:type="dxa"/>
            <w:vAlign w:val="bottom"/>
            <w:gridSpan w:val="5"/>
            <w:vMerge w:val="continue"/>
          </w:tcPr>
          <w:p>
            <w:pPr>
              <w:spacing w:after="0"/>
              <w:rPr>
                <w:sz w:val="4"/>
                <w:szCs w:val="4"/>
                <w:color w:val="auto"/>
              </w:rPr>
            </w:pPr>
          </w:p>
        </w:tc>
        <w:tc>
          <w:tcPr>
            <w:tcW w:w="320" w:type="dxa"/>
            <w:vAlign w:val="bottom"/>
          </w:tcPr>
          <w:p>
            <w:pPr>
              <w:ind w:left="140"/>
              <w:spacing w:after="0" w:line="54" w:lineRule="exact"/>
              <w:rPr>
                <w:sz w:val="20"/>
                <w:szCs w:val="20"/>
                <w:color w:val="auto"/>
              </w:rPr>
            </w:pPr>
            <w:r>
              <w:rPr>
                <w:rFonts w:ascii="Arial" w:cs="Arial" w:eastAsia="Arial" w:hAnsi="Arial"/>
                <w:sz w:val="6"/>
                <w:szCs w:val="6"/>
                <w:color w:val="auto"/>
              </w:rPr>
              <w:t>​</w:t>
            </w:r>
          </w:p>
        </w:tc>
        <w:tc>
          <w:tcPr>
            <w:tcW w:w="880" w:type="dxa"/>
            <w:vAlign w:val="bottom"/>
            <w:gridSpan w:val="3"/>
          </w:tcPr>
          <w:p>
            <w:pPr>
              <w:jc w:val="right"/>
              <w:ind w:right="28"/>
              <w:spacing w:after="0" w:line="54" w:lineRule="exact"/>
              <w:rPr>
                <w:sz w:val="20"/>
                <w:szCs w:val="20"/>
                <w:color w:val="auto"/>
              </w:rPr>
            </w:pPr>
            <w:r>
              <w:rPr>
                <w:rFonts w:ascii="Arial" w:cs="Arial" w:eastAsia="Arial" w:hAnsi="Arial"/>
                <w:sz w:val="6"/>
                <w:szCs w:val="6"/>
                <w:color w:val="auto"/>
              </w:rPr>
              <w:t>​ ​  ​</w:t>
            </w:r>
          </w:p>
        </w:tc>
        <w:tc>
          <w:tcPr>
            <w:tcW w:w="3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720" w:type="dxa"/>
            <w:vAlign w:val="bottom"/>
            <w:gridSpan w:val="3"/>
          </w:tcPr>
          <w:p>
            <w:pPr>
              <w:jc w:val="right"/>
              <w:spacing w:after="0" w:line="54" w:lineRule="exact"/>
              <w:rPr>
                <w:sz w:val="20"/>
                <w:szCs w:val="20"/>
                <w:color w:val="auto"/>
              </w:rPr>
            </w:pPr>
            <w:r>
              <w:rPr>
                <w:rFonts w:ascii="Arial" w:cs="Arial" w:eastAsia="Arial" w:hAnsi="Arial"/>
                <w:sz w:val="6"/>
                <w:szCs w:val="6"/>
                <w:color w:val="auto"/>
              </w:rPr>
              <w:t>​ ​  ​ ​</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3740" w:type="dxa"/>
            <w:vAlign w:val="bottom"/>
            <w:tcBorders>
              <w:top w:val="single" w:sz="8" w:color="666666"/>
            </w:tcBorders>
          </w:tcPr>
          <w:p>
            <w:pPr>
              <w:ind w:left="220"/>
              <w:spacing w:after="0"/>
              <w:rPr>
                <w:sz w:val="20"/>
                <w:szCs w:val="20"/>
                <w:color w:val="auto"/>
              </w:rPr>
            </w:pPr>
            <w:r>
              <w:rPr>
                <w:rFonts w:ascii="Arial" w:cs="Arial" w:eastAsia="Arial" w:hAnsi="Arial"/>
                <w:sz w:val="14"/>
                <w:szCs w:val="14"/>
                <w:color w:val="auto"/>
              </w:rPr>
              <w:t>For footnotes, see table for Mr. Saligram, above.</w:t>
            </w:r>
          </w:p>
        </w:tc>
        <w:tc>
          <w:tcPr>
            <w:tcW w:w="220" w:type="dxa"/>
            <w:vAlign w:val="bottom"/>
            <w:tcBorders>
              <w:top w:val="single" w:sz="8" w:color="666666"/>
            </w:tcBorders>
          </w:tcPr>
          <w:p>
            <w:pPr>
              <w:spacing w:after="0"/>
              <w:rPr>
                <w:sz w:val="24"/>
                <w:szCs w:val="24"/>
                <w:color w:val="auto"/>
              </w:rPr>
            </w:pPr>
          </w:p>
        </w:tc>
        <w:tc>
          <w:tcPr>
            <w:tcW w:w="60" w:type="dxa"/>
            <w:vAlign w:val="bottom"/>
            <w:tcBorders>
              <w:top w:val="single" w:sz="8" w:color="666666"/>
            </w:tcBorders>
          </w:tcPr>
          <w:p>
            <w:pPr>
              <w:spacing w:after="0"/>
              <w:rPr>
                <w:sz w:val="24"/>
                <w:szCs w:val="24"/>
                <w:color w:val="auto"/>
              </w:rPr>
            </w:pPr>
          </w:p>
        </w:tc>
        <w:tc>
          <w:tcPr>
            <w:tcW w:w="20" w:type="dxa"/>
            <w:vAlign w:val="bottom"/>
            <w:tcBorders>
              <w:top w:val="single" w:sz="8" w:color="666666"/>
            </w:tcBorders>
          </w:tcPr>
          <w:p>
            <w:pPr>
              <w:spacing w:after="0"/>
              <w:rPr>
                <w:sz w:val="24"/>
                <w:szCs w:val="24"/>
                <w:color w:val="auto"/>
              </w:rPr>
            </w:pPr>
          </w:p>
        </w:tc>
        <w:tc>
          <w:tcPr>
            <w:tcW w:w="80" w:type="dxa"/>
            <w:vAlign w:val="bottom"/>
            <w:tcBorders>
              <w:top w:val="single" w:sz="8" w:color="666666"/>
            </w:tcBorders>
          </w:tcPr>
          <w:p>
            <w:pPr>
              <w:spacing w:after="0"/>
              <w:rPr>
                <w:sz w:val="24"/>
                <w:szCs w:val="24"/>
                <w:color w:val="auto"/>
              </w:rPr>
            </w:pPr>
          </w:p>
        </w:tc>
        <w:tc>
          <w:tcPr>
            <w:tcW w:w="80" w:type="dxa"/>
            <w:vAlign w:val="bottom"/>
            <w:tcBorders>
              <w:top w:val="single" w:sz="8" w:color="666666"/>
            </w:tcBorders>
          </w:tcPr>
          <w:p>
            <w:pPr>
              <w:spacing w:after="0"/>
              <w:rPr>
                <w:sz w:val="24"/>
                <w:szCs w:val="24"/>
                <w:color w:val="auto"/>
              </w:rPr>
            </w:pPr>
          </w:p>
        </w:tc>
        <w:tc>
          <w:tcPr>
            <w:tcW w:w="320" w:type="dxa"/>
            <w:vAlign w:val="bottom"/>
            <w:tcBorders>
              <w:top w:val="single" w:sz="8" w:color="666666"/>
            </w:tcBorders>
          </w:tcPr>
          <w:p>
            <w:pPr>
              <w:spacing w:after="0"/>
              <w:rPr>
                <w:sz w:val="24"/>
                <w:szCs w:val="24"/>
                <w:color w:val="auto"/>
              </w:rPr>
            </w:pPr>
          </w:p>
        </w:tc>
        <w:tc>
          <w:tcPr>
            <w:tcW w:w="580" w:type="dxa"/>
            <w:vAlign w:val="bottom"/>
            <w:tcBorders>
              <w:top w:val="single" w:sz="8" w:color="666666"/>
            </w:tcBorders>
          </w:tcPr>
          <w:p>
            <w:pPr>
              <w:spacing w:after="0"/>
              <w:rPr>
                <w:sz w:val="24"/>
                <w:szCs w:val="24"/>
                <w:color w:val="auto"/>
              </w:rPr>
            </w:pPr>
          </w:p>
        </w:tc>
        <w:tc>
          <w:tcPr>
            <w:tcW w:w="140" w:type="dxa"/>
            <w:vAlign w:val="bottom"/>
            <w:tcBorders>
              <w:top w:val="single" w:sz="8" w:color="666666"/>
            </w:tcBorders>
          </w:tcPr>
          <w:p>
            <w:pPr>
              <w:spacing w:after="0"/>
              <w:rPr>
                <w:sz w:val="24"/>
                <w:szCs w:val="24"/>
                <w:color w:val="auto"/>
              </w:rPr>
            </w:pPr>
          </w:p>
        </w:tc>
        <w:tc>
          <w:tcPr>
            <w:tcW w:w="160" w:type="dxa"/>
            <w:vAlign w:val="bottom"/>
            <w:tcBorders>
              <w:top w:val="single" w:sz="8" w:color="666666"/>
            </w:tcBorders>
          </w:tcPr>
          <w:p>
            <w:pPr>
              <w:spacing w:after="0"/>
              <w:rPr>
                <w:sz w:val="24"/>
                <w:szCs w:val="24"/>
                <w:color w:val="auto"/>
              </w:rPr>
            </w:pPr>
          </w:p>
        </w:tc>
        <w:tc>
          <w:tcPr>
            <w:tcW w:w="380" w:type="dxa"/>
            <w:vAlign w:val="bottom"/>
            <w:tcBorders>
              <w:top w:val="single" w:sz="8" w:color="666666"/>
            </w:tcBorders>
          </w:tcPr>
          <w:p>
            <w:pPr>
              <w:spacing w:after="0"/>
              <w:rPr>
                <w:sz w:val="24"/>
                <w:szCs w:val="24"/>
                <w:color w:val="auto"/>
              </w:rPr>
            </w:pPr>
          </w:p>
        </w:tc>
        <w:tc>
          <w:tcPr>
            <w:tcW w:w="400" w:type="dxa"/>
            <w:vAlign w:val="bottom"/>
            <w:tcBorders>
              <w:top w:val="single" w:sz="8" w:color="666666"/>
            </w:tcBorders>
          </w:tcPr>
          <w:p>
            <w:pPr>
              <w:spacing w:after="0"/>
              <w:rPr>
                <w:sz w:val="24"/>
                <w:szCs w:val="24"/>
                <w:color w:val="auto"/>
              </w:rPr>
            </w:pPr>
          </w:p>
        </w:tc>
        <w:tc>
          <w:tcPr>
            <w:tcW w:w="140" w:type="dxa"/>
            <w:vAlign w:val="bottom"/>
            <w:tcBorders>
              <w:top w:val="single" w:sz="8" w:color="666666"/>
            </w:tcBorders>
          </w:tcPr>
          <w:p>
            <w:pPr>
              <w:spacing w:after="0"/>
              <w:rPr>
                <w:sz w:val="24"/>
                <w:szCs w:val="24"/>
                <w:color w:val="auto"/>
              </w:rPr>
            </w:pPr>
          </w:p>
        </w:tc>
        <w:tc>
          <w:tcPr>
            <w:tcW w:w="180" w:type="dxa"/>
            <w:vAlign w:val="bottom"/>
            <w:tcBorders>
              <w:top w:val="single" w:sz="8" w:color="666666"/>
            </w:tcBorders>
          </w:tcPr>
          <w:p>
            <w:pPr>
              <w:spacing w:after="0"/>
              <w:rPr>
                <w:sz w:val="24"/>
                <w:szCs w:val="24"/>
                <w:color w:val="auto"/>
              </w:rPr>
            </w:pPr>
          </w:p>
        </w:tc>
        <w:tc>
          <w:tcPr>
            <w:tcW w:w="100" w:type="dxa"/>
            <w:vAlign w:val="bottom"/>
            <w:tcBorders>
              <w:top w:val="single" w:sz="8" w:color="666666"/>
            </w:tcBorders>
          </w:tcPr>
          <w:p>
            <w:pPr>
              <w:spacing w:after="0"/>
              <w:rPr>
                <w:sz w:val="24"/>
                <w:szCs w:val="24"/>
                <w:color w:val="auto"/>
              </w:rPr>
            </w:pPr>
          </w:p>
        </w:tc>
        <w:tc>
          <w:tcPr>
            <w:tcW w:w="640" w:type="dxa"/>
            <w:vAlign w:val="bottom"/>
            <w:tcBorders>
              <w:top w:val="single" w:sz="8" w:color="666666"/>
            </w:tcBorders>
          </w:tcPr>
          <w:p>
            <w:pPr>
              <w:spacing w:after="0"/>
              <w:rPr>
                <w:sz w:val="24"/>
                <w:szCs w:val="24"/>
                <w:color w:val="auto"/>
              </w:rPr>
            </w:pPr>
          </w:p>
        </w:tc>
        <w:tc>
          <w:tcPr>
            <w:tcW w:w="160" w:type="dxa"/>
            <w:vAlign w:val="bottom"/>
            <w:tcBorders>
              <w:top w:val="single" w:sz="8" w:color="666666"/>
            </w:tcBorders>
          </w:tcPr>
          <w:p>
            <w:pPr>
              <w:spacing w:after="0"/>
              <w:rPr>
                <w:sz w:val="24"/>
                <w:szCs w:val="24"/>
                <w:color w:val="auto"/>
              </w:rPr>
            </w:pPr>
          </w:p>
        </w:tc>
        <w:tc>
          <w:tcPr>
            <w:tcW w:w="140" w:type="dxa"/>
            <w:vAlign w:val="bottom"/>
            <w:tcBorders>
              <w:top w:val="single" w:sz="8" w:color="666666"/>
            </w:tcBorders>
          </w:tcPr>
          <w:p>
            <w:pPr>
              <w:spacing w:after="0"/>
              <w:rPr>
                <w:sz w:val="24"/>
                <w:szCs w:val="24"/>
                <w:color w:val="auto"/>
              </w:rPr>
            </w:pPr>
          </w:p>
        </w:tc>
        <w:tc>
          <w:tcPr>
            <w:tcW w:w="360" w:type="dxa"/>
            <w:vAlign w:val="bottom"/>
            <w:tcBorders>
              <w:top w:val="single" w:sz="8" w:color="666666"/>
            </w:tcBorders>
          </w:tcPr>
          <w:p>
            <w:pPr>
              <w:spacing w:after="0"/>
              <w:rPr>
                <w:sz w:val="24"/>
                <w:szCs w:val="24"/>
                <w:color w:val="auto"/>
              </w:rPr>
            </w:pPr>
          </w:p>
        </w:tc>
        <w:tc>
          <w:tcPr>
            <w:tcW w:w="580" w:type="dxa"/>
            <w:vAlign w:val="bottom"/>
            <w:tcBorders>
              <w:top w:val="single" w:sz="8" w:color="666666"/>
            </w:tcBorders>
          </w:tcPr>
          <w:p>
            <w:pPr>
              <w:spacing w:after="0"/>
              <w:rPr>
                <w:sz w:val="24"/>
                <w:szCs w:val="24"/>
                <w:color w:val="auto"/>
              </w:rPr>
            </w:pPr>
          </w:p>
        </w:tc>
        <w:tc>
          <w:tcPr>
            <w:tcW w:w="180" w:type="dxa"/>
            <w:vAlign w:val="bottom"/>
            <w:tcBorders>
              <w:top w:val="single" w:sz="8" w:color="666666"/>
            </w:tcBorders>
          </w:tcPr>
          <w:p>
            <w:pPr>
              <w:spacing w:after="0"/>
              <w:rPr>
                <w:sz w:val="24"/>
                <w:szCs w:val="24"/>
                <w:color w:val="auto"/>
              </w:rPr>
            </w:pPr>
          </w:p>
        </w:tc>
        <w:tc>
          <w:tcPr>
            <w:tcW w:w="120" w:type="dxa"/>
            <w:vAlign w:val="bottom"/>
            <w:tcBorders>
              <w:top w:val="single" w:sz="8" w:color="666666"/>
            </w:tcBorders>
          </w:tcPr>
          <w:p>
            <w:pPr>
              <w:spacing w:after="0"/>
              <w:rPr>
                <w:sz w:val="24"/>
                <w:szCs w:val="24"/>
                <w:color w:val="auto"/>
              </w:rPr>
            </w:pPr>
          </w:p>
        </w:tc>
        <w:tc>
          <w:tcPr>
            <w:tcW w:w="300" w:type="dxa"/>
            <w:vAlign w:val="bottom"/>
            <w:tcBorders>
              <w:top w:val="single" w:sz="8" w:color="666666"/>
            </w:tcBorders>
          </w:tcPr>
          <w:p>
            <w:pPr>
              <w:spacing w:after="0"/>
              <w:rPr>
                <w:sz w:val="24"/>
                <w:szCs w:val="24"/>
                <w:color w:val="auto"/>
              </w:rPr>
            </w:pPr>
          </w:p>
        </w:tc>
        <w:tc>
          <w:tcPr>
            <w:tcW w:w="660" w:type="dxa"/>
            <w:vAlign w:val="bottom"/>
            <w:tcBorders>
              <w:top w:val="single" w:sz="8" w:color="666666"/>
            </w:tcBorders>
          </w:tcPr>
          <w:p>
            <w:pPr>
              <w:spacing w:after="0"/>
              <w:rPr>
                <w:sz w:val="24"/>
                <w:szCs w:val="24"/>
                <w:color w:val="auto"/>
              </w:rPr>
            </w:pPr>
          </w:p>
        </w:tc>
        <w:tc>
          <w:tcPr>
            <w:tcW w:w="60" w:type="dxa"/>
            <w:vAlign w:val="bottom"/>
            <w:tcBorders>
              <w:top w:val="single" w:sz="8" w:color="66666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6"/>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40" w:type="dxa"/>
            <w:vAlign w:val="bottom"/>
          </w:tcPr>
          <w:p>
            <w:pPr>
              <w:jc w:val="center"/>
              <w:ind w:right="3595"/>
              <w:spacing w:after="0"/>
              <w:rPr>
                <w:sz w:val="20"/>
                <w:szCs w:val="20"/>
                <w:color w:val="auto"/>
              </w:rPr>
            </w:pPr>
            <w:r>
              <w:rPr>
                <w:rFonts w:ascii="Arial" w:cs="Arial" w:eastAsia="Arial" w:hAnsi="Arial"/>
                <w:sz w:val="14"/>
                <w:szCs w:val="14"/>
                <w:color w:val="FFFFFF"/>
              </w:rPr>
              <w:t>​​</w:t>
            </w:r>
          </w:p>
        </w:tc>
        <w:tc>
          <w:tcPr>
            <w:tcW w:w="280" w:type="dxa"/>
            <w:vAlign w:val="bottom"/>
            <w:gridSpan w:val="2"/>
          </w:tcPr>
          <w:p>
            <w:pPr>
              <w:ind w:left="1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60" w:type="dxa"/>
            <w:vAlign w:val="bottom"/>
            <w:tcBorders>
              <w:bottom w:val="single" w:sz="8" w:color="auto"/>
            </w:tcBorders>
            <w:gridSpan w:val="2"/>
            <w:shd w:val="clear" w:color="auto" w:fill="BA0C2F"/>
          </w:tcPr>
          <w:p>
            <w:pPr>
              <w:jc w:val="right"/>
              <w:ind w:right="48"/>
              <w:spacing w:after="0"/>
              <w:rPr>
                <w:sz w:val="20"/>
                <w:szCs w:val="20"/>
                <w:color w:val="auto"/>
              </w:rPr>
            </w:pPr>
            <w:r>
              <w:rPr>
                <w:rFonts w:ascii="Arial" w:cs="Arial" w:eastAsia="Arial" w:hAnsi="Arial"/>
                <w:sz w:val="14"/>
                <w:szCs w:val="14"/>
                <w:color w:val="FFFFFF"/>
              </w:rPr>
              <w:t>​</w:t>
            </w:r>
          </w:p>
        </w:tc>
        <w:tc>
          <w:tcPr>
            <w:tcW w:w="320" w:type="dxa"/>
            <w:vAlign w:val="bottom"/>
            <w:tcBorders>
              <w:bottom w:val="single" w:sz="8" w:color="auto"/>
            </w:tcBorders>
            <w:shd w:val="clear" w:color="auto" w:fill="BA0C2F"/>
          </w:tcPr>
          <w:p>
            <w:pPr>
              <w:spacing w:after="0"/>
              <w:rPr>
                <w:sz w:val="18"/>
                <w:szCs w:val="18"/>
                <w:color w:val="auto"/>
              </w:rPr>
            </w:pPr>
          </w:p>
        </w:tc>
        <w:tc>
          <w:tcPr>
            <w:tcW w:w="580" w:type="dxa"/>
            <w:vAlign w:val="bottom"/>
            <w:tcBorders>
              <w:bottom w:val="single" w:sz="8" w:color="auto"/>
            </w:tcBorders>
            <w:shd w:val="clear" w:color="auto" w:fill="BA0C2F"/>
          </w:tcPr>
          <w:p>
            <w:pPr>
              <w:spacing w:after="0"/>
              <w:rPr>
                <w:sz w:val="18"/>
                <w:szCs w:val="18"/>
                <w:color w:val="auto"/>
              </w:rPr>
            </w:pPr>
          </w:p>
        </w:tc>
        <w:tc>
          <w:tcPr>
            <w:tcW w:w="140" w:type="dxa"/>
            <w:vAlign w:val="bottom"/>
            <w:tcBorders>
              <w:bottom w:val="single" w:sz="8" w:color="auto"/>
            </w:tcBorders>
            <w:shd w:val="clear" w:color="auto" w:fill="BA0C2F"/>
          </w:tcPr>
          <w:p>
            <w:pPr>
              <w:spacing w:after="0"/>
              <w:rPr>
                <w:sz w:val="18"/>
                <w:szCs w:val="18"/>
                <w:color w:val="auto"/>
              </w:rPr>
            </w:pPr>
          </w:p>
        </w:tc>
        <w:tc>
          <w:tcPr>
            <w:tcW w:w="160" w:type="dxa"/>
            <w:vAlign w:val="bottom"/>
            <w:tcBorders>
              <w:bottom w:val="single" w:sz="8" w:color="auto"/>
            </w:tcBorders>
            <w:shd w:val="clear" w:color="auto" w:fill="BA0C2F"/>
          </w:tcPr>
          <w:p>
            <w:pPr>
              <w:spacing w:after="0"/>
              <w:rPr>
                <w:sz w:val="18"/>
                <w:szCs w:val="18"/>
                <w:color w:val="auto"/>
              </w:rPr>
            </w:pPr>
          </w:p>
        </w:tc>
        <w:tc>
          <w:tcPr>
            <w:tcW w:w="380" w:type="dxa"/>
            <w:vAlign w:val="bottom"/>
            <w:tcBorders>
              <w:bottom w:val="single" w:sz="8" w:color="auto"/>
            </w:tcBorders>
            <w:shd w:val="clear" w:color="auto" w:fill="BA0C2F"/>
          </w:tcPr>
          <w:p>
            <w:pPr>
              <w:spacing w:after="0"/>
              <w:rPr>
                <w:sz w:val="18"/>
                <w:szCs w:val="18"/>
                <w:color w:val="auto"/>
              </w:rPr>
            </w:pPr>
          </w:p>
        </w:tc>
        <w:tc>
          <w:tcPr>
            <w:tcW w:w="400" w:type="dxa"/>
            <w:vAlign w:val="bottom"/>
            <w:tcBorders>
              <w:bottom w:val="single" w:sz="8" w:color="auto"/>
            </w:tcBorders>
            <w:shd w:val="clear" w:color="auto" w:fill="BA0C2F"/>
          </w:tcPr>
          <w:p>
            <w:pPr>
              <w:spacing w:after="0"/>
              <w:rPr>
                <w:sz w:val="18"/>
                <w:szCs w:val="18"/>
                <w:color w:val="auto"/>
              </w:rPr>
            </w:pPr>
          </w:p>
        </w:tc>
        <w:tc>
          <w:tcPr>
            <w:tcW w:w="140" w:type="dxa"/>
            <w:vAlign w:val="bottom"/>
            <w:tcBorders>
              <w:bottom w:val="single" w:sz="8" w:color="auto"/>
            </w:tcBorders>
            <w:shd w:val="clear" w:color="auto" w:fill="BA0C2F"/>
          </w:tcPr>
          <w:p>
            <w:pPr>
              <w:spacing w:after="0"/>
              <w:rPr>
                <w:sz w:val="18"/>
                <w:szCs w:val="18"/>
                <w:color w:val="auto"/>
              </w:rPr>
            </w:pPr>
          </w:p>
        </w:tc>
        <w:tc>
          <w:tcPr>
            <w:tcW w:w="1580" w:type="dxa"/>
            <w:vAlign w:val="bottom"/>
            <w:tcBorders>
              <w:bottom w:val="single" w:sz="8" w:color="auto"/>
            </w:tcBorders>
            <w:gridSpan w:val="6"/>
            <w:shd w:val="clear" w:color="auto" w:fill="BA0C2F"/>
          </w:tcPr>
          <w:p>
            <w:pPr>
              <w:ind w:left="60"/>
              <w:spacing w:after="0"/>
              <w:rPr>
                <w:sz w:val="20"/>
                <w:szCs w:val="20"/>
                <w:color w:val="auto"/>
              </w:rPr>
            </w:pPr>
            <w:r>
              <w:rPr>
                <w:rFonts w:ascii="Arial" w:cs="Arial" w:eastAsia="Arial" w:hAnsi="Arial"/>
                <w:sz w:val="14"/>
                <w:szCs w:val="14"/>
                <w:color w:val="FFFFFF"/>
              </w:rPr>
              <w:t>Hypothetical Event</w:t>
            </w:r>
          </w:p>
        </w:tc>
        <w:tc>
          <w:tcPr>
            <w:tcW w:w="580" w:type="dxa"/>
            <w:vAlign w:val="bottom"/>
            <w:tcBorders>
              <w:bottom w:val="single" w:sz="8" w:color="auto"/>
            </w:tcBorders>
            <w:shd w:val="clear" w:color="auto" w:fill="BA0C2F"/>
          </w:tcPr>
          <w:p>
            <w:pPr>
              <w:spacing w:after="0"/>
              <w:rPr>
                <w:sz w:val="18"/>
                <w:szCs w:val="18"/>
                <w:color w:val="auto"/>
              </w:rPr>
            </w:pPr>
          </w:p>
        </w:tc>
        <w:tc>
          <w:tcPr>
            <w:tcW w:w="18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300" w:type="dxa"/>
            <w:vAlign w:val="bottom"/>
            <w:tcBorders>
              <w:bottom w:val="single" w:sz="8" w:color="auto"/>
            </w:tcBorders>
            <w:shd w:val="clear" w:color="auto" w:fill="BA0C2F"/>
          </w:tcPr>
          <w:p>
            <w:pPr>
              <w:spacing w:after="0"/>
              <w:rPr>
                <w:sz w:val="18"/>
                <w:szCs w:val="18"/>
                <w:color w:val="auto"/>
              </w:rPr>
            </w:pPr>
          </w:p>
        </w:tc>
        <w:tc>
          <w:tcPr>
            <w:tcW w:w="660" w:type="dxa"/>
            <w:vAlign w:val="bottom"/>
            <w:tcBorders>
              <w:bottom w:val="single" w:sz="8" w:color="auto"/>
            </w:tcBorders>
            <w:shd w:val="clear" w:color="auto" w:fill="BA0C2F"/>
          </w:tcPr>
          <w:p>
            <w:pPr>
              <w:spacing w:after="0"/>
              <w:rPr>
                <w:sz w:val="18"/>
                <w:szCs w:val="18"/>
                <w:color w:val="auto"/>
              </w:rPr>
            </w:pPr>
          </w:p>
        </w:tc>
        <w:tc>
          <w:tcPr>
            <w:tcW w:w="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BA0C2F"/>
          </w:tcPr>
          <w:p>
            <w:pPr>
              <w:spacing w:after="0"/>
              <w:rPr>
                <w:sz w:val="15"/>
                <w:szCs w:val="15"/>
                <w:color w:val="auto"/>
              </w:rPr>
            </w:pPr>
          </w:p>
        </w:tc>
        <w:tc>
          <w:tcPr>
            <w:tcW w:w="80" w:type="dxa"/>
            <w:vAlign w:val="bottom"/>
            <w:shd w:val="clear" w:color="auto" w:fill="BA0C2F"/>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Change 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Control with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without Cause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80" w:type="dxa"/>
            <w:vAlign w:val="bottom"/>
            <w:shd w:val="clear" w:color="auto" w:fill="BA0C2F"/>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FFFFFF"/>
              </w:rPr>
              <w:t>Retirement or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FFFFFF"/>
              </w:rPr>
              <w:t>Termination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4"/>
                <w:szCs w:val="14"/>
                <w:color w:val="FFFFFF"/>
              </w:rPr>
              <w:t>Death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or with Good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b w:val="1"/>
                <w:bCs w:val="1"/>
                <w:color w:val="auto"/>
              </w:rPr>
              <w:t>Scott C. Weatherholt</w:t>
            </w:r>
          </w:p>
        </w:tc>
        <w:tc>
          <w:tcPr>
            <w:tcW w:w="220" w:type="dxa"/>
            <w:vAlign w:val="bottom"/>
          </w:tcPr>
          <w:p>
            <w:pPr>
              <w:spacing w:after="0"/>
              <w:rPr>
                <w:sz w:val="17"/>
                <w:szCs w:val="17"/>
                <w:color w:val="auto"/>
              </w:rPr>
            </w:pPr>
          </w:p>
        </w:tc>
        <w:tc>
          <w:tcPr>
            <w:tcW w:w="60" w:type="dxa"/>
            <w:vAlign w:val="bottom"/>
          </w:tcPr>
          <w:p>
            <w:pPr>
              <w:ind w:left="2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7"/>
                <w:szCs w:val="17"/>
                <w:color w:val="auto"/>
              </w:rPr>
            </w:pPr>
          </w:p>
        </w:tc>
        <w:tc>
          <w:tcPr>
            <w:tcW w:w="80" w:type="dxa"/>
            <w:vAlign w:val="bottom"/>
            <w:shd w:val="clear" w:color="auto" w:fill="BA0C2F"/>
          </w:tcPr>
          <w:p>
            <w:pPr>
              <w:spacing w:after="0"/>
              <w:rPr>
                <w:sz w:val="17"/>
                <w:szCs w:val="17"/>
                <w:color w:val="auto"/>
              </w:rPr>
            </w:pPr>
          </w:p>
        </w:tc>
        <w:tc>
          <w:tcPr>
            <w:tcW w:w="80" w:type="dxa"/>
            <w:vAlign w:val="bottom"/>
            <w:shd w:val="clear" w:color="auto" w:fill="BA0C2F"/>
          </w:tcPr>
          <w:p>
            <w:pPr>
              <w:spacing w:after="0"/>
              <w:rPr>
                <w:sz w:val="20"/>
                <w:szCs w:val="20"/>
                <w:color w:val="auto"/>
              </w:rPr>
            </w:pPr>
            <w:r>
              <w:rPr>
                <w:rFonts w:ascii="Arial" w:cs="Arial" w:eastAsia="Arial" w:hAnsi="Arial"/>
                <w:sz w:val="14"/>
                <w:szCs w:val="14"/>
                <w:color w:val="FFFFFF"/>
              </w:rPr>
              <w:t>​</w:t>
            </w:r>
          </w:p>
        </w:tc>
        <w:tc>
          <w:tcPr>
            <w:tcW w:w="900" w:type="dxa"/>
            <w:vAlign w:val="bottom"/>
            <w:gridSpan w:val="2"/>
          </w:tcPr>
          <w:p>
            <w:pPr>
              <w:ind w:left="80"/>
              <w:spacing w:after="0"/>
              <w:rPr>
                <w:sz w:val="20"/>
                <w:szCs w:val="20"/>
                <w:color w:val="auto"/>
              </w:rPr>
            </w:pPr>
            <w:r>
              <w:rPr>
                <w:rFonts w:ascii="Arial" w:cs="Arial" w:eastAsia="Arial" w:hAnsi="Arial"/>
                <w:sz w:val="14"/>
                <w:szCs w:val="14"/>
                <w:color w:val="FFFFFF"/>
              </w:rPr>
              <w:t>Resignation</w:t>
            </w:r>
          </w:p>
        </w:tc>
        <w:tc>
          <w:tcPr>
            <w:tcW w:w="140" w:type="dxa"/>
            <w:vAlign w:val="bottom"/>
          </w:tcPr>
          <w:p>
            <w:pPr>
              <w:jc w:val="right"/>
              <w:spacing w:after="0"/>
              <w:rPr>
                <w:sz w:val="20"/>
                <w:szCs w:val="20"/>
                <w:color w:val="auto"/>
              </w:rPr>
            </w:pPr>
            <w:r>
              <w:rPr>
                <w:rFonts w:ascii="Arial" w:cs="Arial" w:eastAsia="Arial" w:hAnsi="Arial"/>
                <w:sz w:val="14"/>
                <w:szCs w:val="14"/>
                <w:color w:val="FFFFFF"/>
              </w:rPr>
              <w:t>​</w:t>
            </w:r>
          </w:p>
        </w:tc>
        <w:tc>
          <w:tcPr>
            <w:tcW w:w="160" w:type="dxa"/>
            <w:vAlign w:val="bottom"/>
          </w:tcPr>
          <w:p>
            <w:pPr>
              <w:jc w:val="right"/>
              <w:spacing w:after="0"/>
              <w:rPr>
                <w:sz w:val="20"/>
                <w:szCs w:val="20"/>
                <w:color w:val="auto"/>
              </w:rPr>
            </w:pPr>
            <w:r>
              <w:rPr>
                <w:rFonts w:ascii="Arial" w:cs="Arial" w:eastAsia="Arial" w:hAnsi="Arial"/>
                <w:sz w:val="14"/>
                <w:szCs w:val="14"/>
                <w:color w:val="FFFFFF"/>
              </w:rPr>
              <w:t>​</w:t>
            </w:r>
          </w:p>
        </w:tc>
        <w:tc>
          <w:tcPr>
            <w:tcW w:w="780" w:type="dxa"/>
            <w:vAlign w:val="bottom"/>
            <w:gridSpan w:val="2"/>
          </w:tcPr>
          <w:p>
            <w:pPr>
              <w:ind w:left="100"/>
              <w:spacing w:after="0"/>
              <w:rPr>
                <w:sz w:val="20"/>
                <w:szCs w:val="20"/>
                <w:color w:val="auto"/>
              </w:rPr>
            </w:pPr>
            <w:r>
              <w:rPr>
                <w:rFonts w:ascii="Arial" w:cs="Arial" w:eastAsia="Arial" w:hAnsi="Arial"/>
                <w:sz w:val="14"/>
                <w:szCs w:val="14"/>
                <w:color w:val="FFFFFF"/>
              </w:rPr>
              <w:t>for Cause</w:t>
            </w:r>
          </w:p>
        </w:tc>
        <w:tc>
          <w:tcPr>
            <w:tcW w:w="140" w:type="dxa"/>
            <w:vAlign w:val="bottom"/>
          </w:tcPr>
          <w:p>
            <w:pPr>
              <w:jc w:val="right"/>
              <w:spacing w:after="0"/>
              <w:rPr>
                <w:sz w:val="20"/>
                <w:szCs w:val="20"/>
                <w:color w:val="auto"/>
              </w:rPr>
            </w:pPr>
            <w:r>
              <w:rPr>
                <w:rFonts w:ascii="Arial" w:cs="Arial" w:eastAsia="Arial" w:hAnsi="Arial"/>
                <w:sz w:val="14"/>
                <w:szCs w:val="14"/>
                <w:color w:val="FFFFFF"/>
              </w:rPr>
              <w:t>​</w:t>
            </w:r>
          </w:p>
        </w:tc>
        <w:tc>
          <w:tcPr>
            <w:tcW w:w="180" w:type="dxa"/>
            <w:vAlign w:val="bottom"/>
          </w:tcPr>
          <w:p>
            <w:pPr>
              <w:jc w:val="right"/>
              <w:spacing w:after="0"/>
              <w:rPr>
                <w:sz w:val="20"/>
                <w:szCs w:val="20"/>
                <w:color w:val="auto"/>
              </w:rPr>
            </w:pPr>
            <w:r>
              <w:rPr>
                <w:rFonts w:ascii="Arial" w:cs="Arial" w:eastAsia="Arial" w:hAnsi="Arial"/>
                <w:sz w:val="14"/>
                <w:szCs w:val="14"/>
                <w:color w:val="FFFFFF"/>
              </w:rPr>
              <w:t>​</w:t>
            </w:r>
          </w:p>
        </w:tc>
        <w:tc>
          <w:tcPr>
            <w:tcW w:w="740" w:type="dxa"/>
            <w:vAlign w:val="bottom"/>
            <w:gridSpan w:val="2"/>
          </w:tcPr>
          <w:p>
            <w:pPr>
              <w:jc w:val="right"/>
              <w:ind w:right="30"/>
              <w:spacing w:after="0"/>
              <w:rPr>
                <w:sz w:val="20"/>
                <w:szCs w:val="20"/>
                <w:color w:val="auto"/>
              </w:rPr>
            </w:pPr>
            <w:r>
              <w:rPr>
                <w:rFonts w:ascii="Arial" w:cs="Arial" w:eastAsia="Arial" w:hAnsi="Arial"/>
                <w:sz w:val="14"/>
                <w:szCs w:val="14"/>
                <w:color w:val="FFFFFF"/>
              </w:rPr>
              <w:t>Disability</w:t>
            </w:r>
          </w:p>
        </w:tc>
        <w:tc>
          <w:tcPr>
            <w:tcW w:w="160" w:type="dxa"/>
            <w:vAlign w:val="bottom"/>
          </w:tcPr>
          <w:p>
            <w:pPr>
              <w:jc w:val="right"/>
              <w:spacing w:after="0"/>
              <w:rPr>
                <w:sz w:val="20"/>
                <w:szCs w:val="20"/>
                <w:color w:val="auto"/>
              </w:rPr>
            </w:pPr>
            <w:r>
              <w:rPr>
                <w:rFonts w:ascii="Arial" w:cs="Arial" w:eastAsia="Arial" w:hAnsi="Arial"/>
                <w:sz w:val="14"/>
                <w:szCs w:val="14"/>
                <w:color w:val="FFFFFF"/>
              </w:rPr>
              <w:t>​</w:t>
            </w:r>
          </w:p>
        </w:tc>
        <w:tc>
          <w:tcPr>
            <w:tcW w:w="140" w:type="dxa"/>
            <w:vAlign w:val="bottom"/>
          </w:tcPr>
          <w:p>
            <w:pPr>
              <w:jc w:val="right"/>
              <w:spacing w:after="0"/>
              <w:rPr>
                <w:sz w:val="20"/>
                <w:szCs w:val="20"/>
                <w:color w:val="auto"/>
              </w:rPr>
            </w:pPr>
            <w:r>
              <w:rPr>
                <w:rFonts w:ascii="Arial" w:cs="Arial" w:eastAsia="Arial" w:hAnsi="Arial"/>
                <w:sz w:val="14"/>
                <w:szCs w:val="14"/>
                <w:color w:val="FFFFFF"/>
              </w:rPr>
              <w:t>​</w:t>
            </w:r>
          </w:p>
        </w:tc>
        <w:tc>
          <w:tcPr>
            <w:tcW w:w="940" w:type="dxa"/>
            <w:vAlign w:val="bottom"/>
            <w:gridSpan w:val="2"/>
          </w:tcPr>
          <w:p>
            <w:pPr>
              <w:jc w:val="center"/>
              <w:spacing w:after="0"/>
              <w:rPr>
                <w:sz w:val="20"/>
                <w:szCs w:val="20"/>
                <w:color w:val="auto"/>
              </w:rPr>
            </w:pPr>
            <w:r>
              <w:rPr>
                <w:rFonts w:ascii="Arial" w:cs="Arial" w:eastAsia="Arial" w:hAnsi="Arial"/>
                <w:sz w:val="14"/>
                <w:szCs w:val="14"/>
                <w:color w:val="FFFFFF"/>
              </w:rPr>
              <w:t>Reason</w:t>
            </w:r>
          </w:p>
        </w:tc>
        <w:tc>
          <w:tcPr>
            <w:tcW w:w="18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jc w:val="right"/>
              <w:spacing w:after="0"/>
              <w:rPr>
                <w:sz w:val="20"/>
                <w:szCs w:val="20"/>
                <w:color w:val="auto"/>
              </w:rPr>
            </w:pPr>
            <w:r>
              <w:rPr>
                <w:rFonts w:ascii="Arial" w:cs="Arial" w:eastAsia="Arial" w:hAnsi="Arial"/>
                <w:sz w:val="14"/>
                <w:szCs w:val="14"/>
                <w:color w:val="FFFFFF"/>
              </w:rPr>
              <w:t>​</w:t>
            </w:r>
          </w:p>
        </w:tc>
        <w:tc>
          <w:tcPr>
            <w:tcW w:w="960" w:type="dxa"/>
            <w:vAlign w:val="bottom"/>
            <w:gridSpan w:val="2"/>
          </w:tcPr>
          <w:p>
            <w:pPr>
              <w:jc w:val="center"/>
              <w:spacing w:after="0"/>
              <w:rPr>
                <w:sz w:val="20"/>
                <w:szCs w:val="20"/>
                <w:color w:val="auto"/>
              </w:rPr>
            </w:pPr>
            <w:r>
              <w:rPr>
                <w:rFonts w:ascii="Arial" w:cs="Arial" w:eastAsia="Arial" w:hAnsi="Arial"/>
                <w:sz w:val="14"/>
                <w:szCs w:val="14"/>
                <w:color w:val="FFFFFF"/>
              </w:rPr>
              <w:t>Reason</w:t>
            </w:r>
          </w:p>
        </w:tc>
        <w:tc>
          <w:tcPr>
            <w:tcW w:w="8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Cash Severance</w:t>
            </w:r>
            <w:r>
              <w:rPr>
                <w:rFonts w:ascii="Arial" w:cs="Arial" w:eastAsia="Arial" w:hAnsi="Arial"/>
                <w:sz w:val="17"/>
                <w:szCs w:val="17"/>
                <w:color w:val="auto"/>
                <w:vertAlign w:val="superscript"/>
              </w:rPr>
              <w:t>(1)</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$ 1,190,000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$ 1,997,500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Annual Cash Incentive Compensation</w:t>
            </w:r>
            <w:r>
              <w:rPr>
                <w:rFonts w:ascii="Arial" w:cs="Arial" w:eastAsia="Arial" w:hAnsi="Arial"/>
                <w:sz w:val="17"/>
                <w:szCs w:val="17"/>
                <w:color w:val="auto"/>
                <w:vertAlign w:val="superscript"/>
              </w:rPr>
              <w:t>(2)</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Long-Term Cash Incentive Compensation</w:t>
            </w:r>
            <w:r>
              <w:rPr>
                <w:rFonts w:ascii="Arial" w:cs="Arial" w:eastAsia="Arial" w:hAnsi="Arial"/>
                <w:sz w:val="17"/>
                <w:szCs w:val="17"/>
                <w:color w:val="auto"/>
                <w:vertAlign w:val="superscript"/>
              </w:rPr>
              <w:t>(3)</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99,875</w:t>
            </w:r>
            <w:r>
              <w:rPr>
                <w:rFonts w:ascii="Arial" w:cs="Arial" w:eastAsia="Arial" w:hAnsi="Arial"/>
                <w:sz w:val="27"/>
                <w:szCs w:val="27"/>
                <w:color w:val="auto"/>
                <w:vertAlign w:val="subscript"/>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99,875</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99,875</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99,875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RSUs — Unvested and Accelerated</w:t>
            </w:r>
            <w:r>
              <w:rPr>
                <w:rFonts w:ascii="Arial" w:cs="Arial" w:eastAsia="Arial" w:hAnsi="Arial"/>
                <w:sz w:val="17"/>
                <w:szCs w:val="17"/>
                <w:color w:val="auto"/>
                <w:vertAlign w:val="superscript"/>
              </w:rPr>
              <w:t>(4)</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08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$2,066,859</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$ 1,015,384</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$ 2,066,859</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PSUs — Unvested and Accelerated</w:t>
            </w:r>
            <w:r>
              <w:rPr>
                <w:rFonts w:ascii="Arial" w:cs="Arial" w:eastAsia="Arial" w:hAnsi="Arial"/>
                <w:sz w:val="17"/>
                <w:szCs w:val="17"/>
                <w:color w:val="auto"/>
                <w:vertAlign w:val="superscript"/>
              </w:rPr>
              <w:t>(5)</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08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$3,288,036</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66666"/>
            </w:tcBorders>
            <w:gridSpan w:val="3"/>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$ 1,634,953</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$ 3,288,036</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Phantom RSUs — Unvested and Accelerated</w:t>
            </w:r>
            <w:r>
              <w:rPr>
                <w:rFonts w:ascii="Arial" w:cs="Arial" w:eastAsia="Arial" w:hAnsi="Arial"/>
                <w:sz w:val="17"/>
                <w:szCs w:val="17"/>
                <w:color w:val="auto"/>
                <w:vertAlign w:val="superscript"/>
              </w:rPr>
              <w:t>(6)</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28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399,504</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399,504</w:t>
            </w:r>
            <w:r>
              <w:rPr>
                <w:rFonts w:ascii="Arial" w:cs="Arial" w:eastAsia="Arial" w:hAnsi="Arial"/>
                <w:sz w:val="27"/>
                <w:szCs w:val="27"/>
                <w:color w:val="auto"/>
                <w:vertAlign w:val="subscript"/>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399,504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WAGE Program PSUs — Unvested and Accelerated</w:t>
            </w:r>
            <w:r>
              <w:rPr>
                <w:rFonts w:ascii="Arial" w:cs="Arial" w:eastAsia="Arial" w:hAnsi="Arial"/>
                <w:sz w:val="17"/>
                <w:szCs w:val="17"/>
                <w:color w:val="auto"/>
                <w:vertAlign w:val="superscript"/>
              </w:rPr>
              <w:t>(7)</w:t>
            </w:r>
          </w:p>
        </w:tc>
        <w:tc>
          <w:tcPr>
            <w:tcW w:w="220" w:type="dxa"/>
            <w:vAlign w:val="bottom"/>
            <w:tcBorders>
              <w:bottom w:val="single" w:sz="8" w:color="666666"/>
            </w:tcBorders>
          </w:tcPr>
          <w:p>
            <w:pPr>
              <w:spacing w:after="0"/>
              <w:rPr>
                <w:sz w:val="20"/>
                <w:szCs w:val="20"/>
                <w:color w:val="auto"/>
              </w:rPr>
            </w:pPr>
          </w:p>
        </w:tc>
        <w:tc>
          <w:tcPr>
            <w:tcW w:w="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p>
        </w:tc>
        <w:tc>
          <w:tcPr>
            <w:tcW w:w="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66666"/>
            </w:tcBorders>
          </w:tcPr>
          <w:p>
            <w:pPr>
              <w:ind w:left="22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08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$1,679,000</w:t>
            </w:r>
            <w:r>
              <w:rPr>
                <w:rFonts w:ascii="Arial" w:cs="Arial" w:eastAsia="Arial" w:hAnsi="Arial"/>
                <w:sz w:val="27"/>
                <w:szCs w:val="27"/>
                <w:color w:val="auto"/>
                <w:vertAlign w:val="subscript"/>
              </w:rPr>
              <w:t>​ ​</w:t>
            </w:r>
          </w:p>
        </w:tc>
        <w:tc>
          <w:tcPr>
            <w:tcW w:w="1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1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7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Welfare and Other Benefits</w:t>
            </w:r>
          </w:p>
        </w:tc>
        <w:tc>
          <w:tcPr>
            <w:tcW w:w="22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2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4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280" w:type="dxa"/>
            <w:vAlign w:val="bottom"/>
            <w:gridSpan w:val="2"/>
          </w:tcPr>
          <w:p>
            <w:pPr>
              <w:jc w:val="right"/>
              <w:spacing w:after="0" w:line="210"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80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18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60" w:type="dxa"/>
            <w:vAlign w:val="bottom"/>
            <w:gridSpan w:val="2"/>
          </w:tcPr>
          <w:p>
            <w:pPr>
              <w:jc w:val="right"/>
              <w:spacing w:after="0" w:line="210" w:lineRule="exact"/>
              <w:rPr>
                <w:sz w:val="20"/>
                <w:szCs w:val="20"/>
                <w:color w:val="auto"/>
              </w:rPr>
            </w:pPr>
            <w:r>
              <w:rPr>
                <w:rFonts w:ascii="Arial" w:cs="Arial" w:eastAsia="Arial" w:hAnsi="Arial"/>
                <w:sz w:val="13"/>
                <w:szCs w:val="13"/>
                <w:color w:val="auto"/>
              </w:rPr>
              <w:t>13,554</w:t>
            </w:r>
            <w:r>
              <w:rPr>
                <w:rFonts w:ascii="Arial" w:cs="Arial" w:eastAsia="Arial" w:hAnsi="Arial"/>
                <w:sz w:val="24"/>
                <w:szCs w:val="24"/>
                <w:color w:val="auto"/>
                <w:vertAlign w:val="subscript"/>
              </w:rPr>
              <w:t>​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40" w:type="dxa"/>
            <w:vAlign w:val="bottom"/>
            <w:gridSpan w:val="3"/>
          </w:tcPr>
          <w:p>
            <w:pPr>
              <w:jc w:val="right"/>
              <w:spacing w:after="0" w:line="210" w:lineRule="exact"/>
              <w:rPr>
                <w:sz w:val="20"/>
                <w:szCs w:val="20"/>
                <w:color w:val="auto"/>
              </w:rPr>
            </w:pPr>
            <w:r>
              <w:rPr>
                <w:rFonts w:ascii="Arial" w:cs="Arial" w:eastAsia="Arial" w:hAnsi="Arial"/>
                <w:sz w:val="13"/>
                <w:szCs w:val="13"/>
                <w:color w:val="auto"/>
              </w:rPr>
              <w:t>27,108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56"/>
        </w:trPr>
        <w:tc>
          <w:tcPr>
            <w:tcW w:w="3740" w:type="dxa"/>
            <w:vAlign w:val="bottom"/>
            <w:tcBorders>
              <w:top w:val="single" w:sz="8" w:color="666666"/>
            </w:tcBorders>
          </w:tcPr>
          <w:p>
            <w:pPr>
              <w:ind w:left="40"/>
              <w:spacing w:after="0" w:line="155" w:lineRule="exact"/>
              <w:rPr>
                <w:sz w:val="20"/>
                <w:szCs w:val="20"/>
                <w:color w:val="auto"/>
              </w:rPr>
            </w:pPr>
            <w:r>
              <w:rPr>
                <w:rFonts w:ascii="Arial" w:cs="Arial" w:eastAsia="Arial" w:hAnsi="Arial"/>
                <w:sz w:val="14"/>
                <w:szCs w:val="14"/>
                <w:color w:val="auto"/>
              </w:rPr>
              <w:t>Clawback of Sign-on Bonus and Relocation Allowances</w:t>
            </w:r>
            <w:r>
              <w:rPr>
                <w:rFonts w:ascii="Arial" w:cs="Arial" w:eastAsia="Arial" w:hAnsi="Arial"/>
                <w:sz w:val="17"/>
                <w:szCs w:val="17"/>
                <w:color w:val="auto"/>
                <w:vertAlign w:val="superscript"/>
              </w:rPr>
              <w:t>(8)</w:t>
            </w:r>
          </w:p>
        </w:tc>
        <w:tc>
          <w:tcPr>
            <w:tcW w:w="220" w:type="dxa"/>
            <w:vAlign w:val="bottom"/>
            <w:tcBorders>
              <w:top w:val="single" w:sz="8" w:color="666666"/>
            </w:tcBorders>
          </w:tcPr>
          <w:p>
            <w:pPr>
              <w:spacing w:after="0"/>
              <w:rPr>
                <w:sz w:val="13"/>
                <w:szCs w:val="13"/>
                <w:color w:val="auto"/>
              </w:rPr>
            </w:pPr>
          </w:p>
        </w:tc>
        <w:tc>
          <w:tcPr>
            <w:tcW w:w="60" w:type="dxa"/>
            <w:vAlign w:val="bottom"/>
            <w:tcBorders>
              <w:top w:val="single" w:sz="8" w:color="666666"/>
            </w:tcBorders>
          </w:tcPr>
          <w:p>
            <w:pPr>
              <w:spacing w:after="0"/>
              <w:rPr>
                <w:sz w:val="13"/>
                <w:szCs w:val="13"/>
                <w:color w:val="auto"/>
              </w:rPr>
            </w:pPr>
          </w:p>
        </w:tc>
        <w:tc>
          <w:tcPr>
            <w:tcW w:w="20" w:type="dxa"/>
            <w:vAlign w:val="bottom"/>
            <w:tcBorders>
              <w:top w:val="single" w:sz="8" w:color="666666"/>
            </w:tcBorders>
          </w:tcPr>
          <w:p>
            <w:pPr>
              <w:spacing w:after="0"/>
              <w:rPr>
                <w:sz w:val="13"/>
                <w:szCs w:val="13"/>
                <w:color w:val="auto"/>
              </w:rPr>
            </w:pPr>
          </w:p>
        </w:tc>
        <w:tc>
          <w:tcPr>
            <w:tcW w:w="80" w:type="dxa"/>
            <w:vAlign w:val="bottom"/>
            <w:tcBorders>
              <w:top w:val="single" w:sz="8" w:color="666666"/>
            </w:tcBorders>
          </w:tcPr>
          <w:p>
            <w:pPr>
              <w:spacing w:after="0"/>
              <w:rPr>
                <w:sz w:val="13"/>
                <w:szCs w:val="13"/>
                <w:color w:val="auto"/>
              </w:rPr>
            </w:pPr>
          </w:p>
        </w:tc>
        <w:tc>
          <w:tcPr>
            <w:tcW w:w="80" w:type="dxa"/>
            <w:vAlign w:val="bottom"/>
            <w:tcBorders>
              <w:top w:val="single" w:sz="8" w:color="666666"/>
            </w:tcBorders>
          </w:tcPr>
          <w:p>
            <w:pPr>
              <w:spacing w:after="0"/>
              <w:rPr>
                <w:sz w:val="13"/>
                <w:szCs w:val="13"/>
                <w:color w:val="auto"/>
              </w:rPr>
            </w:pPr>
          </w:p>
        </w:tc>
        <w:tc>
          <w:tcPr>
            <w:tcW w:w="1040" w:type="dxa"/>
            <w:vAlign w:val="bottom"/>
            <w:tcBorders>
              <w:top w:val="single" w:sz="8" w:color="666666"/>
            </w:tcBorders>
            <w:gridSpan w:val="3"/>
            <w:vMerge w:val="restart"/>
          </w:tcPr>
          <w:p>
            <w:pPr>
              <w:ind w:left="220"/>
              <w:spacing w:after="0"/>
              <w:rPr>
                <w:sz w:val="20"/>
                <w:szCs w:val="20"/>
                <w:color w:val="auto"/>
              </w:rPr>
            </w:pPr>
            <w:r>
              <w:rPr>
                <w:rFonts w:ascii="Arial" w:cs="Arial" w:eastAsia="Arial" w:hAnsi="Arial"/>
                <w:sz w:val="14"/>
                <w:szCs w:val="14"/>
                <w:color w:val="auto"/>
              </w:rPr>
              <w:t>$ (100,000)</w:t>
            </w:r>
          </w:p>
        </w:tc>
        <w:tc>
          <w:tcPr>
            <w:tcW w:w="160" w:type="dxa"/>
            <w:vAlign w:val="bottom"/>
            <w:tcBorders>
              <w:top w:val="single" w:sz="8" w:color="666666"/>
            </w:tcBorders>
          </w:tcPr>
          <w:p>
            <w:pPr>
              <w:spacing w:after="0"/>
              <w:rPr>
                <w:sz w:val="13"/>
                <w:szCs w:val="13"/>
                <w:color w:val="auto"/>
              </w:rPr>
            </w:pPr>
          </w:p>
        </w:tc>
        <w:tc>
          <w:tcPr>
            <w:tcW w:w="920" w:type="dxa"/>
            <w:vAlign w:val="bottom"/>
            <w:tcBorders>
              <w:top w:val="single" w:sz="8" w:color="666666"/>
            </w:tcBorders>
            <w:gridSpan w:val="3"/>
            <w:vMerge w:val="restart"/>
          </w:tcPr>
          <w:p>
            <w:pPr>
              <w:ind w:left="120"/>
              <w:spacing w:after="0"/>
              <w:rPr>
                <w:sz w:val="20"/>
                <w:szCs w:val="20"/>
                <w:color w:val="auto"/>
              </w:rPr>
            </w:pPr>
            <w:r>
              <w:rPr>
                <w:rFonts w:ascii="Arial" w:cs="Arial" w:eastAsia="Arial" w:hAnsi="Arial"/>
                <w:sz w:val="14"/>
                <w:szCs w:val="14"/>
                <w:color w:val="auto"/>
              </w:rPr>
              <w:t>$ (100,000)</w:t>
            </w:r>
          </w:p>
        </w:tc>
        <w:tc>
          <w:tcPr>
            <w:tcW w:w="180" w:type="dxa"/>
            <w:vAlign w:val="bottom"/>
            <w:tcBorders>
              <w:top w:val="single" w:sz="8" w:color="666666"/>
            </w:tcBorders>
          </w:tcPr>
          <w:p>
            <w:pPr>
              <w:spacing w:after="0"/>
              <w:rPr>
                <w:sz w:val="13"/>
                <w:szCs w:val="13"/>
                <w:color w:val="auto"/>
              </w:rPr>
            </w:pPr>
          </w:p>
        </w:tc>
        <w:tc>
          <w:tcPr>
            <w:tcW w:w="10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666666"/>
            </w:tcBorders>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666666"/>
            </w:tcBorders>
          </w:tcPr>
          <w:p>
            <w:pPr>
              <w:spacing w:after="0"/>
              <w:rPr>
                <w:sz w:val="13"/>
                <w:szCs w:val="13"/>
                <w:color w:val="auto"/>
              </w:rPr>
            </w:pPr>
          </w:p>
        </w:tc>
        <w:tc>
          <w:tcPr>
            <w:tcW w:w="140" w:type="dxa"/>
            <w:vAlign w:val="bottom"/>
            <w:tcBorders>
              <w:top w:val="single" w:sz="8" w:color="666666"/>
            </w:tcBorders>
          </w:tcPr>
          <w:p>
            <w:pPr>
              <w:spacing w:after="0"/>
              <w:rPr>
                <w:sz w:val="13"/>
                <w:szCs w:val="13"/>
                <w:color w:val="auto"/>
              </w:rPr>
            </w:pPr>
          </w:p>
        </w:tc>
        <w:tc>
          <w:tcPr>
            <w:tcW w:w="360" w:type="dxa"/>
            <w:vAlign w:val="bottom"/>
            <w:tcBorders>
              <w:top w:val="single" w:sz="8" w:color="666666"/>
            </w:tcBorders>
            <w:vMerge w:val="restart"/>
          </w:tcPr>
          <w:p>
            <w:pPr>
              <w:ind w:left="20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666666"/>
            </w:tcBorders>
            <w:vMerge w:val="restart"/>
          </w:tcPr>
          <w:p>
            <w:pPr>
              <w:ind w:left="440"/>
              <w:spacing w:after="0"/>
              <w:rPr>
                <w:sz w:val="20"/>
                <w:szCs w:val="20"/>
                <w:color w:val="auto"/>
              </w:rPr>
            </w:pPr>
            <w:r>
              <w:rPr>
                <w:rFonts w:ascii="Arial" w:cs="Arial" w:eastAsia="Arial" w:hAnsi="Arial"/>
                <w:sz w:val="14"/>
                <w:szCs w:val="14"/>
                <w:color w:val="auto"/>
                <w:w w:val="85"/>
              </w:rPr>
              <w:t>—</w:t>
            </w:r>
          </w:p>
        </w:tc>
        <w:tc>
          <w:tcPr>
            <w:tcW w:w="180" w:type="dxa"/>
            <w:vAlign w:val="bottom"/>
            <w:tcBorders>
              <w:top w:val="single" w:sz="8" w:color="666666"/>
            </w:tcBorders>
          </w:tcPr>
          <w:p>
            <w:pPr>
              <w:spacing w:after="0"/>
              <w:rPr>
                <w:sz w:val="13"/>
                <w:szCs w:val="13"/>
                <w:color w:val="auto"/>
              </w:rPr>
            </w:pPr>
          </w:p>
        </w:tc>
        <w:tc>
          <w:tcPr>
            <w:tcW w:w="120" w:type="dxa"/>
            <w:vAlign w:val="bottom"/>
            <w:tcBorders>
              <w:top w:val="single" w:sz="8" w:color="666666"/>
            </w:tcBorders>
          </w:tcPr>
          <w:p>
            <w:pPr>
              <w:spacing w:after="0"/>
              <w:rPr>
                <w:sz w:val="13"/>
                <w:szCs w:val="13"/>
                <w:color w:val="auto"/>
              </w:rPr>
            </w:pPr>
          </w:p>
        </w:tc>
        <w:tc>
          <w:tcPr>
            <w:tcW w:w="300" w:type="dxa"/>
            <w:vAlign w:val="bottom"/>
            <w:tcBorders>
              <w:top w:val="single" w:sz="8" w:color="666666"/>
            </w:tcBorders>
            <w:vMerge w:val="restart"/>
          </w:tcPr>
          <w:p>
            <w:pPr>
              <w:ind w:left="2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666666"/>
            </w:tcBorders>
            <w:vMerge w:val="restart"/>
          </w:tcPr>
          <w:p>
            <w:pPr>
              <w:ind w:left="520"/>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666666"/>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740" w:type="dxa"/>
            <w:vAlign w:val="bottom"/>
            <w:vMerge w:val="restart"/>
          </w:tcPr>
          <w:p>
            <w:pPr>
              <w:jc w:val="center"/>
              <w:ind w:right="3595"/>
              <w:spacing w:after="0" w:line="81"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2"/>
                <w:szCs w:val="2"/>
                <w:color w:val="auto"/>
              </w:rPr>
            </w:pPr>
          </w:p>
        </w:tc>
        <w:tc>
          <w:tcPr>
            <w:tcW w:w="240" w:type="dxa"/>
            <w:vAlign w:val="bottom"/>
            <w:gridSpan w:val="4"/>
            <w:vMerge w:val="restart"/>
          </w:tcPr>
          <w:p>
            <w:pPr>
              <w:ind w:left="20"/>
              <w:spacing w:after="0" w:line="81" w:lineRule="exact"/>
              <w:rPr>
                <w:sz w:val="20"/>
                <w:szCs w:val="20"/>
                <w:color w:val="auto"/>
              </w:rPr>
            </w:pPr>
            <w:r>
              <w:rPr>
                <w:rFonts w:ascii="Arial" w:cs="Arial" w:eastAsia="Arial" w:hAnsi="Arial"/>
                <w:sz w:val="9"/>
                <w:szCs w:val="9"/>
                <w:color w:val="auto"/>
              </w:rPr>
              <w:t>​  ​</w:t>
            </w: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0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 ​  ​</w:t>
            </w:r>
          </w:p>
        </w:tc>
        <w:tc>
          <w:tcPr>
            <w:tcW w:w="3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0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 ​  ​</w:t>
            </w:r>
          </w:p>
        </w:tc>
        <w:tc>
          <w:tcPr>
            <w:tcW w:w="3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3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4"/>
            <w:vMerge w:val="continue"/>
          </w:tcPr>
          <w:p>
            <w:pPr>
              <w:spacing w:after="0"/>
              <w:rPr>
                <w:sz w:val="4"/>
                <w:szCs w:val="4"/>
                <w:color w:val="auto"/>
              </w:rPr>
            </w:pPr>
          </w:p>
        </w:tc>
        <w:tc>
          <w:tcPr>
            <w:tcW w:w="320" w:type="dxa"/>
            <w:vAlign w:val="bottom"/>
          </w:tcPr>
          <w:p>
            <w:pPr>
              <w:ind w:left="22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00" w:type="dxa"/>
            <w:vAlign w:val="bottom"/>
            <w:gridSpan w:val="2"/>
          </w:tcPr>
          <w:p>
            <w:pPr>
              <w:jc w:val="right"/>
              <w:spacing w:after="0" w:line="54" w:lineRule="exact"/>
              <w:rPr>
                <w:sz w:val="20"/>
                <w:szCs w:val="20"/>
                <w:color w:val="auto"/>
              </w:rPr>
            </w:pPr>
            <w:r>
              <w:rPr>
                <w:rFonts w:ascii="Arial" w:cs="Arial" w:eastAsia="Arial" w:hAnsi="Arial"/>
                <w:sz w:val="6"/>
                <w:szCs w:val="6"/>
                <w:color w:val="auto"/>
              </w:rPr>
              <w:t>​ ​  ​</w:t>
            </w:r>
          </w:p>
        </w:tc>
        <w:tc>
          <w:tcPr>
            <w:tcW w:w="38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400" w:type="dxa"/>
            <w:vAlign w:val="bottom"/>
          </w:tcPr>
          <w:p>
            <w:pPr>
              <w:spacing w:after="0"/>
              <w:rPr>
                <w:sz w:val="4"/>
                <w:szCs w:val="4"/>
                <w:color w:val="auto"/>
              </w:rPr>
            </w:pPr>
          </w:p>
        </w:tc>
        <w:tc>
          <w:tcPr>
            <w:tcW w:w="420" w:type="dxa"/>
            <w:vAlign w:val="bottom"/>
            <w:gridSpan w:val="3"/>
          </w:tcPr>
          <w:p>
            <w:pPr>
              <w:jc w:val="center"/>
              <w:spacing w:after="0" w:line="54" w:lineRule="exact"/>
              <w:rPr>
                <w:sz w:val="20"/>
                <w:szCs w:val="20"/>
                <w:color w:val="auto"/>
              </w:rPr>
            </w:pPr>
            <w:r>
              <w:rPr>
                <w:rFonts w:ascii="Arial" w:cs="Arial" w:eastAsia="Arial" w:hAnsi="Arial"/>
                <w:sz w:val="6"/>
                <w:szCs w:val="6"/>
                <w:color w:val="auto"/>
              </w:rPr>
              <w:t>​ ​  ​ ​</w:t>
            </w:r>
          </w:p>
        </w:tc>
        <w:tc>
          <w:tcPr>
            <w:tcW w:w="6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00" w:type="dxa"/>
            <w:vAlign w:val="bottom"/>
          </w:tcPr>
          <w:p>
            <w:pPr>
              <w:ind w:left="200"/>
              <w:spacing w:after="0" w:line="54"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666666"/>
          </w:tcPr>
          <w:p>
            <w:pPr>
              <w:spacing w:after="0" w:line="20" w:lineRule="exact"/>
              <w:rPr>
                <w:sz w:val="1"/>
                <w:szCs w:val="1"/>
                <w:color w:val="auto"/>
              </w:rPr>
            </w:pPr>
          </w:p>
        </w:tc>
        <w:tc>
          <w:tcPr>
            <w:tcW w:w="220" w:type="dxa"/>
            <w:vAlign w:val="bottom"/>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c>
          <w:tcPr>
            <w:tcW w:w="80" w:type="dxa"/>
            <w:vAlign w:val="bottom"/>
            <w:shd w:val="clear" w:color="auto" w:fill="666666"/>
          </w:tcPr>
          <w:p>
            <w:pPr>
              <w:spacing w:after="0" w:line="20" w:lineRule="exact"/>
              <w:rPr>
                <w:sz w:val="1"/>
                <w:szCs w:val="1"/>
                <w:color w:val="auto"/>
              </w:rPr>
            </w:pPr>
          </w:p>
        </w:tc>
        <w:tc>
          <w:tcPr>
            <w:tcW w:w="320" w:type="dxa"/>
            <w:vAlign w:val="bottom"/>
            <w:shd w:val="clear" w:color="auto" w:fill="666666"/>
          </w:tcPr>
          <w:p>
            <w:pPr>
              <w:spacing w:after="0" w:line="20" w:lineRule="exact"/>
              <w:rPr>
                <w:sz w:val="1"/>
                <w:szCs w:val="1"/>
                <w:color w:val="auto"/>
              </w:rPr>
            </w:pPr>
          </w:p>
        </w:tc>
        <w:tc>
          <w:tcPr>
            <w:tcW w:w="720" w:type="dxa"/>
            <w:vAlign w:val="bottom"/>
            <w:gridSpan w:val="2"/>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920" w:type="dxa"/>
            <w:vAlign w:val="bottom"/>
            <w:gridSpan w:val="3"/>
            <w:shd w:val="clear" w:color="auto" w:fill="666666"/>
          </w:tcPr>
          <w:p>
            <w:pPr>
              <w:spacing w:after="0" w:line="20" w:lineRule="exact"/>
              <w:rPr>
                <w:sz w:val="1"/>
                <w:szCs w:val="1"/>
                <w:color w:val="auto"/>
              </w:rPr>
            </w:pPr>
          </w:p>
        </w:tc>
        <w:tc>
          <w:tcPr>
            <w:tcW w:w="180" w:type="dxa"/>
            <w:vAlign w:val="bottom"/>
            <w:shd w:val="clear" w:color="auto" w:fill="666666"/>
          </w:tcPr>
          <w:p>
            <w:pPr>
              <w:spacing w:after="0" w:line="20" w:lineRule="exact"/>
              <w:rPr>
                <w:sz w:val="1"/>
                <w:szCs w:val="1"/>
                <w:color w:val="auto"/>
              </w:rPr>
            </w:pPr>
          </w:p>
        </w:tc>
        <w:tc>
          <w:tcPr>
            <w:tcW w:w="740" w:type="dxa"/>
            <w:vAlign w:val="bottom"/>
            <w:gridSpan w:val="2"/>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c>
          <w:tcPr>
            <w:tcW w:w="940" w:type="dxa"/>
            <w:vAlign w:val="bottom"/>
            <w:gridSpan w:val="2"/>
            <w:shd w:val="clear" w:color="auto" w:fill="666666"/>
          </w:tcPr>
          <w:p>
            <w:pPr>
              <w:spacing w:after="0" w:line="20" w:lineRule="exact"/>
              <w:rPr>
                <w:sz w:val="1"/>
                <w:szCs w:val="1"/>
                <w:color w:val="auto"/>
              </w:rPr>
            </w:pPr>
          </w:p>
        </w:tc>
        <w:tc>
          <w:tcPr>
            <w:tcW w:w="180" w:type="dxa"/>
            <w:vAlign w:val="bottom"/>
            <w:shd w:val="clear" w:color="auto" w:fill="666666"/>
          </w:tcPr>
          <w:p>
            <w:pPr>
              <w:spacing w:after="0" w:line="20" w:lineRule="exact"/>
              <w:rPr>
                <w:sz w:val="1"/>
                <w:szCs w:val="1"/>
                <w:color w:val="auto"/>
              </w:rPr>
            </w:pPr>
          </w:p>
        </w:tc>
        <w:tc>
          <w:tcPr>
            <w:tcW w:w="120" w:type="dxa"/>
            <w:vAlign w:val="bottom"/>
            <w:shd w:val="clear" w:color="auto" w:fill="666666"/>
          </w:tcPr>
          <w:p>
            <w:pPr>
              <w:spacing w:after="0" w:line="20" w:lineRule="exact"/>
              <w:rPr>
                <w:sz w:val="1"/>
                <w:szCs w:val="1"/>
                <w:color w:val="auto"/>
              </w:rPr>
            </w:pPr>
          </w:p>
        </w:tc>
        <w:tc>
          <w:tcPr>
            <w:tcW w:w="960" w:type="dxa"/>
            <w:vAlign w:val="bottom"/>
            <w:gridSpan w:val="2"/>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tcPr>
          <w:p>
            <w:pPr>
              <w:ind w:left="40"/>
              <w:spacing w:after="0" w:line="155"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3"/>
                <w:szCs w:val="13"/>
                <w:color w:val="auto"/>
              </w:rPr>
            </w:pPr>
          </w:p>
        </w:tc>
        <w:tc>
          <w:tcPr>
            <w:tcW w:w="240" w:type="dxa"/>
            <w:vAlign w:val="bottom"/>
            <w:gridSpan w:val="4"/>
            <w:vMerge w:val="restart"/>
          </w:tcPr>
          <w:p>
            <w:pPr>
              <w:ind w:left="20"/>
              <w:spacing w:after="0"/>
              <w:rPr>
                <w:sz w:val="20"/>
                <w:szCs w:val="20"/>
                <w:color w:val="auto"/>
              </w:rPr>
            </w:pPr>
            <w:r>
              <w:rPr>
                <w:rFonts w:ascii="Arial" w:cs="Arial" w:eastAsia="Arial" w:hAnsi="Arial"/>
                <w:sz w:val="14"/>
                <w:szCs w:val="14"/>
                <w:color w:val="auto"/>
              </w:rPr>
              <w:t>​  ​</w:t>
            </w:r>
          </w:p>
        </w:tc>
        <w:tc>
          <w:tcPr>
            <w:tcW w:w="32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3"/>
                <w:szCs w:val="13"/>
                <w:color w:val="auto"/>
              </w:rPr>
            </w:pPr>
          </w:p>
        </w:tc>
        <w:tc>
          <w:tcPr>
            <w:tcW w:w="92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 (100,000)</w:t>
            </w:r>
          </w:p>
        </w:tc>
        <w:tc>
          <w:tcPr>
            <w:tcW w:w="18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$7,533,274</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94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97"/>
              </w:rPr>
              <w:t>$ 4,353,270</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color w:val="auto"/>
                <w:w w:val="97"/>
              </w:rPr>
              <w:t>$ 7,878,882</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666666"/>
            </w:tcBorders>
          </w:tcPr>
          <w:p>
            <w:pPr>
              <w:jc w:val="center"/>
              <w:ind w:right="3595"/>
              <w:spacing w:after="0" w:line="54" w:lineRule="exact"/>
              <w:rPr>
                <w:sz w:val="20"/>
                <w:szCs w:val="20"/>
                <w:color w:val="auto"/>
              </w:rPr>
            </w:pPr>
            <w:r>
              <w:rPr>
                <w:rFonts w:ascii="Arial" w:cs="Arial" w:eastAsia="Arial" w:hAnsi="Arial"/>
                <w:sz w:val="6"/>
                <w:szCs w:val="6"/>
                <w:color w:val="auto"/>
              </w:rPr>
              <w:t>​</w:t>
            </w:r>
          </w:p>
        </w:tc>
        <w:tc>
          <w:tcPr>
            <w:tcW w:w="220" w:type="dxa"/>
            <w:vAlign w:val="bottom"/>
            <w:tcBorders>
              <w:bottom w:val="single" w:sz="8" w:color="666666"/>
            </w:tcBorders>
          </w:tcPr>
          <w:p>
            <w:pPr>
              <w:spacing w:after="0"/>
              <w:rPr>
                <w:sz w:val="4"/>
                <w:szCs w:val="4"/>
                <w:color w:val="auto"/>
              </w:rPr>
            </w:pPr>
          </w:p>
        </w:tc>
        <w:tc>
          <w:tcPr>
            <w:tcW w:w="240" w:type="dxa"/>
            <w:vAlign w:val="bottom"/>
            <w:tcBorders>
              <w:bottom w:val="single" w:sz="8" w:color="666666"/>
            </w:tcBorders>
            <w:gridSpan w:val="4"/>
            <w:vMerge w:val="continue"/>
          </w:tcPr>
          <w:p>
            <w:pPr>
              <w:spacing w:after="0"/>
              <w:rPr>
                <w:sz w:val="4"/>
                <w:szCs w:val="4"/>
                <w:color w:val="auto"/>
              </w:rPr>
            </w:pPr>
          </w:p>
        </w:tc>
        <w:tc>
          <w:tcPr>
            <w:tcW w:w="320" w:type="dxa"/>
            <w:vAlign w:val="bottom"/>
            <w:tcBorders>
              <w:bottom w:val="single" w:sz="8" w:color="666666"/>
            </w:tcBorders>
          </w:tcPr>
          <w:p>
            <w:pPr>
              <w:ind w:left="22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gridSpan w:val="2"/>
          </w:tcPr>
          <w:p>
            <w:pPr>
              <w:jc w:val="right"/>
              <w:spacing w:after="0" w:line="54" w:lineRule="exact"/>
              <w:rPr>
                <w:sz w:val="20"/>
                <w:szCs w:val="20"/>
                <w:color w:val="auto"/>
              </w:rPr>
            </w:pPr>
            <w:r>
              <w:rPr>
                <w:rFonts w:ascii="Arial" w:cs="Arial" w:eastAsia="Arial" w:hAnsi="Arial"/>
                <w:sz w:val="6"/>
                <w:szCs w:val="6"/>
                <w:color w:val="auto"/>
              </w:rPr>
              <w:t>​ ​  ​</w:t>
            </w:r>
          </w:p>
        </w:tc>
        <w:tc>
          <w:tcPr>
            <w:tcW w:w="380" w:type="dxa"/>
            <w:vAlign w:val="bottom"/>
            <w:tcBorders>
              <w:bottom w:val="single" w:sz="8" w:color="666666"/>
            </w:tcBorders>
          </w:tcPr>
          <w:p>
            <w:pPr>
              <w:ind w:left="120"/>
              <w:spacing w:after="0" w:line="54"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666666"/>
            </w:tcBorders>
          </w:tcPr>
          <w:p>
            <w:pPr>
              <w:spacing w:after="0"/>
              <w:rPr>
                <w:sz w:val="4"/>
                <w:szCs w:val="4"/>
                <w:color w:val="auto"/>
              </w:rPr>
            </w:pPr>
          </w:p>
        </w:tc>
        <w:tc>
          <w:tcPr>
            <w:tcW w:w="420" w:type="dxa"/>
            <w:vAlign w:val="bottom"/>
            <w:tcBorders>
              <w:bottom w:val="single" w:sz="8" w:color="666666"/>
            </w:tcBorders>
            <w:gridSpan w:val="3"/>
          </w:tcPr>
          <w:p>
            <w:pPr>
              <w:jc w:val="center"/>
              <w:spacing w:after="0" w:line="54" w:lineRule="exact"/>
              <w:rPr>
                <w:sz w:val="20"/>
                <w:szCs w:val="20"/>
                <w:color w:val="auto"/>
              </w:rPr>
            </w:pPr>
            <w:r>
              <w:rPr>
                <w:rFonts w:ascii="Arial" w:cs="Arial" w:eastAsia="Arial" w:hAnsi="Arial"/>
                <w:sz w:val="6"/>
                <w:szCs w:val="6"/>
                <w:color w:val="auto"/>
              </w:rPr>
              <w:t>​ ​  ​ ​</w:t>
            </w:r>
          </w:p>
        </w:tc>
        <w:tc>
          <w:tcPr>
            <w:tcW w:w="64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gridSpan w:val="2"/>
            <w:vMerge w:val="continue"/>
          </w:tcPr>
          <w:p>
            <w:pPr>
              <w:spacing w:after="0"/>
              <w:rPr>
                <w:sz w:val="4"/>
                <w:szCs w:val="4"/>
                <w:color w:val="auto"/>
              </w:rPr>
            </w:pPr>
          </w:p>
        </w:tc>
        <w:tc>
          <w:tcPr>
            <w:tcW w:w="360" w:type="dxa"/>
            <w:vAlign w:val="bottom"/>
            <w:tcBorders>
              <w:bottom w:val="single" w:sz="8" w:color="666666"/>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666666"/>
            </w:tcBorders>
          </w:tcPr>
          <w:p>
            <w:pPr>
              <w:spacing w:after="0"/>
              <w:rPr>
                <w:sz w:val="4"/>
                <w:szCs w:val="4"/>
                <w:color w:val="auto"/>
              </w:rPr>
            </w:pPr>
          </w:p>
        </w:tc>
        <w:tc>
          <w:tcPr>
            <w:tcW w:w="300" w:type="dxa"/>
            <w:vAlign w:val="bottom"/>
            <w:tcBorders>
              <w:bottom w:val="single" w:sz="8" w:color="666666"/>
            </w:tcBorders>
            <w:gridSpan w:val="2"/>
            <w:vMerge w:val="continue"/>
          </w:tcPr>
          <w:p>
            <w:pPr>
              <w:spacing w:after="0"/>
              <w:rPr>
                <w:sz w:val="4"/>
                <w:szCs w:val="4"/>
                <w:color w:val="auto"/>
              </w:rPr>
            </w:pPr>
          </w:p>
        </w:tc>
        <w:tc>
          <w:tcPr>
            <w:tcW w:w="300" w:type="dxa"/>
            <w:vAlign w:val="bottom"/>
            <w:tcBorders>
              <w:bottom w:val="single" w:sz="8" w:color="666666"/>
            </w:tcBorders>
          </w:tcPr>
          <w:p>
            <w:pPr>
              <w:ind w:left="200"/>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666666"/>
            </w:tcBorders>
          </w:tcPr>
          <w:p>
            <w:pPr>
              <w:spacing w:after="0"/>
              <w:rPr>
                <w:sz w:val="4"/>
                <w:szCs w:val="4"/>
                <w:color w:val="auto"/>
              </w:rPr>
            </w:pPr>
          </w:p>
        </w:tc>
        <w:tc>
          <w:tcPr>
            <w:tcW w:w="80" w:type="dxa"/>
            <w:vAlign w:val="bottom"/>
            <w:tcBorders>
              <w:bottom w:val="single" w:sz="8" w:color="66666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-4988560</wp:posOffset>
            </wp:positionV>
            <wp:extent cx="3608705" cy="660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08705" cy="66040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-2262505</wp:posOffset>
            </wp:positionV>
            <wp:extent cx="3557270" cy="660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57270" cy="66040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 footnotes, see table for Mr. Saligram,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1249680</wp:posOffset>
            </wp:positionV>
            <wp:extent cx="6231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 w:hanging="282"/>
        <w:spacing w:after="0"/>
        <w:tabs>
          <w:tab w:leader="none" w:pos="720" w:val="left"/>
        </w:tabs>
        <w:numPr>
          <w:ilvl w:val="0"/>
          <w:numId w:val="6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60" w:type="dxa"/>
            <w:vAlign w:val="bottom"/>
            <w:gridSpan w:val="10"/>
          </w:tcPr>
          <w:p>
            <w:pPr>
              <w:jc w:val="right"/>
              <w:ind w:right="60"/>
              <w:spacing w:after="0"/>
              <w:rPr>
                <w:sz w:val="20"/>
                <w:szCs w:val="20"/>
                <w:color w:val="auto"/>
              </w:rPr>
            </w:pPr>
            <w:r>
              <w:rPr>
                <w:rFonts w:ascii="Arial" w:cs="Arial" w:eastAsia="Arial" w:hAnsi="Arial"/>
                <w:sz w:val="14"/>
                <w:szCs w:val="14"/>
                <w:b w:val="1"/>
                <w:bCs w:val="1"/>
                <w:color w:val="666666"/>
              </w:rPr>
              <w:t>EXECUTIVE COMPENSATION TABLES</w:t>
            </w:r>
          </w:p>
        </w:tc>
      </w:tr>
      <w:tr>
        <w:trPr>
          <w:trHeight w:val="137"/>
        </w:trPr>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5"/>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FFFFFF"/>
              </w:rPr>
              <w:t>​​</w:t>
            </w:r>
          </w:p>
        </w:tc>
        <w:tc>
          <w:tcPr>
            <w:tcW w:w="260" w:type="dxa"/>
            <w:vAlign w:val="bottom"/>
          </w:tcPr>
          <w:p>
            <w:pPr>
              <w:ind w:left="120"/>
              <w:spacing w:after="0"/>
              <w:rPr>
                <w:sz w:val="20"/>
                <w:szCs w:val="20"/>
                <w:color w:val="auto"/>
              </w:rPr>
            </w:pPr>
            <w:r>
              <w:rPr>
                <w:rFonts w:ascii="Arial" w:cs="Arial" w:eastAsia="Arial" w:hAnsi="Arial"/>
                <w:sz w:val="14"/>
                <w:szCs w:val="14"/>
                <w:color w:val="FFFFFF"/>
              </w:rPr>
              <w:t>​</w:t>
            </w:r>
          </w:p>
        </w:tc>
        <w:tc>
          <w:tcPr>
            <w:tcW w:w="1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56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16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440" w:type="dxa"/>
            <w:vAlign w:val="bottom"/>
            <w:tcBorders>
              <w:bottom w:val="single" w:sz="8" w:color="auto"/>
            </w:tcBorders>
            <w:shd w:val="clear" w:color="auto" w:fill="BA0C2F"/>
          </w:tcPr>
          <w:p>
            <w:pPr>
              <w:spacing w:after="0"/>
              <w:rPr>
                <w:sz w:val="18"/>
                <w:szCs w:val="18"/>
                <w:color w:val="auto"/>
              </w:rPr>
            </w:pPr>
          </w:p>
        </w:tc>
        <w:tc>
          <w:tcPr>
            <w:tcW w:w="38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1560" w:type="dxa"/>
            <w:vAlign w:val="bottom"/>
            <w:tcBorders>
              <w:bottom w:val="single" w:sz="8" w:color="auto"/>
            </w:tcBorders>
            <w:gridSpan w:val="5"/>
            <w:shd w:val="clear" w:color="auto" w:fill="BA0C2F"/>
          </w:tcPr>
          <w:p>
            <w:pPr>
              <w:ind w:left="40"/>
              <w:spacing w:after="0"/>
              <w:rPr>
                <w:sz w:val="20"/>
                <w:szCs w:val="20"/>
                <w:color w:val="auto"/>
              </w:rPr>
            </w:pPr>
            <w:r>
              <w:rPr>
                <w:rFonts w:ascii="Arial" w:cs="Arial" w:eastAsia="Arial" w:hAnsi="Arial"/>
                <w:sz w:val="14"/>
                <w:szCs w:val="14"/>
                <w:color w:val="FFFFFF"/>
              </w:rPr>
              <w:t>Hypothetical Event</w:t>
            </w:r>
          </w:p>
        </w:tc>
        <w:tc>
          <w:tcPr>
            <w:tcW w:w="40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440" w:type="dxa"/>
            <w:vAlign w:val="bottom"/>
            <w:tcBorders>
              <w:bottom w:val="single" w:sz="8" w:color="auto"/>
            </w:tcBorders>
            <w:shd w:val="clear" w:color="auto" w:fill="BA0C2F"/>
          </w:tcPr>
          <w:p>
            <w:pPr>
              <w:spacing w:after="0"/>
              <w:rPr>
                <w:sz w:val="18"/>
                <w:szCs w:val="18"/>
                <w:color w:val="auto"/>
              </w:rPr>
            </w:pPr>
          </w:p>
        </w:tc>
        <w:tc>
          <w:tcPr>
            <w:tcW w:w="220" w:type="dxa"/>
            <w:vAlign w:val="bottom"/>
            <w:tcBorders>
              <w:bottom w:val="single" w:sz="8" w:color="auto"/>
            </w:tcBorders>
            <w:shd w:val="clear" w:color="auto" w:fill="BA0C2F"/>
          </w:tcPr>
          <w:p>
            <w:pPr>
              <w:ind w:left="1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r>
      <w:tr>
        <w:trPr>
          <w:trHeight w:val="173"/>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shd w:val="clear" w:color="auto" w:fill="BA0C2F"/>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left="70"/>
              <w:spacing w:after="0"/>
              <w:rPr>
                <w:sz w:val="20"/>
                <w:szCs w:val="20"/>
                <w:color w:val="auto"/>
              </w:rPr>
            </w:pPr>
            <w:r>
              <w:rPr>
                <w:rFonts w:ascii="Arial" w:cs="Arial" w:eastAsia="Arial" w:hAnsi="Arial"/>
                <w:sz w:val="14"/>
                <w:szCs w:val="14"/>
                <w:color w:val="FFFFFF"/>
              </w:rPr>
              <w:t>Change in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9"/>
              <w:spacing w:after="0"/>
              <w:rPr>
                <w:sz w:val="20"/>
                <w:szCs w:val="20"/>
                <w:color w:val="auto"/>
              </w:rPr>
            </w:pPr>
            <w:r>
              <w:rPr>
                <w:rFonts w:ascii="Arial" w:cs="Arial" w:eastAsia="Arial" w:hAnsi="Arial"/>
                <w:sz w:val="14"/>
                <w:szCs w:val="14"/>
                <w:color w:val="FFFFFF"/>
              </w:rPr>
              <w:t>Control with</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Termination</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Termination</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without Cause</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without Cause</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FFFFFF"/>
              </w:rPr>
              <w:t>Retirement 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12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FFFFFF"/>
              </w:rPr>
              <w:t>Death or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or with Good</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or with Good</w:t>
            </w:r>
          </w:p>
        </w:tc>
        <w:tc>
          <w:tcPr>
            <w:tcW w:w="20" w:type="dxa"/>
            <w:vAlign w:val="bottom"/>
          </w:tcPr>
          <w:p>
            <w:pPr>
              <w:spacing w:after="0"/>
              <w:rPr>
                <w:sz w:val="14"/>
                <w:szCs w:val="14"/>
                <w:color w:val="auto"/>
              </w:rPr>
            </w:pPr>
          </w:p>
        </w:tc>
      </w:tr>
      <w:tr>
        <w:trPr>
          <w:trHeight w:val="198"/>
        </w:trPr>
        <w:tc>
          <w:tcPr>
            <w:tcW w:w="3780" w:type="dxa"/>
            <w:vAlign w:val="bottom"/>
          </w:tcPr>
          <w:p>
            <w:pPr>
              <w:ind w:left="2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b w:val="1"/>
                <w:bCs w:val="1"/>
                <w:color w:val="auto"/>
              </w:rPr>
              <w:t>Joseph H. Mongrain</w:t>
            </w:r>
          </w:p>
        </w:tc>
        <w:tc>
          <w:tcPr>
            <w:tcW w:w="260" w:type="dxa"/>
            <w:vAlign w:val="bottom"/>
          </w:tcPr>
          <w:p>
            <w:pPr>
              <w:ind w:left="200"/>
              <w:spacing w:after="0"/>
              <w:rPr>
                <w:sz w:val="20"/>
                <w:szCs w:val="20"/>
                <w:color w:val="auto"/>
              </w:rPr>
            </w:pPr>
            <w:r>
              <w:rPr>
                <w:rFonts w:ascii="Arial" w:cs="Arial" w:eastAsia="Arial" w:hAnsi="Arial"/>
                <w:sz w:val="14"/>
                <w:szCs w:val="14"/>
                <w:color w:val="FFFFFF"/>
              </w:rPr>
              <w:t>​</w:t>
            </w:r>
          </w:p>
        </w:tc>
        <w:tc>
          <w:tcPr>
            <w:tcW w:w="160" w:type="dxa"/>
            <w:vAlign w:val="bottom"/>
            <w:shd w:val="clear" w:color="auto" w:fill="BA0C2F"/>
          </w:tcPr>
          <w:p>
            <w:pPr>
              <w:ind w:left="80"/>
              <w:spacing w:after="0"/>
              <w:rPr>
                <w:sz w:val="20"/>
                <w:szCs w:val="20"/>
                <w:color w:val="auto"/>
              </w:rPr>
            </w:pPr>
            <w:r>
              <w:rPr>
                <w:rFonts w:ascii="Arial" w:cs="Arial" w:eastAsia="Arial" w:hAnsi="Arial"/>
                <w:sz w:val="14"/>
                <w:szCs w:val="14"/>
                <w:color w:val="FFFFFF"/>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FFFFFF"/>
              </w:rPr>
              <w:t>Resignation</w:t>
            </w:r>
          </w:p>
        </w:tc>
        <w:tc>
          <w:tcPr>
            <w:tcW w:w="16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820" w:type="dxa"/>
            <w:vAlign w:val="bottom"/>
            <w:gridSpan w:val="2"/>
          </w:tcPr>
          <w:p>
            <w:pPr>
              <w:jc w:val="center"/>
              <w:spacing w:after="0"/>
              <w:rPr>
                <w:sz w:val="20"/>
                <w:szCs w:val="20"/>
                <w:color w:val="auto"/>
              </w:rPr>
            </w:pPr>
            <w:r>
              <w:rPr>
                <w:rFonts w:ascii="Arial" w:cs="Arial" w:eastAsia="Arial" w:hAnsi="Arial"/>
                <w:sz w:val="14"/>
                <w:szCs w:val="14"/>
                <w:color w:val="FFFFFF"/>
              </w:rPr>
              <w:t>for Cause</w:t>
            </w:r>
          </w:p>
        </w:tc>
        <w:tc>
          <w:tcPr>
            <w:tcW w:w="120" w:type="dxa"/>
            <w:vAlign w:val="bottom"/>
          </w:tcPr>
          <w:p>
            <w:pPr>
              <w:jc w:val="right"/>
              <w:spacing w:after="0"/>
              <w:rPr>
                <w:sz w:val="20"/>
                <w:szCs w:val="20"/>
                <w:color w:val="auto"/>
              </w:rPr>
            </w:pPr>
            <w:r>
              <w:rPr>
                <w:rFonts w:ascii="Arial" w:cs="Arial" w:eastAsia="Arial" w:hAnsi="Arial"/>
                <w:sz w:val="14"/>
                <w:szCs w:val="14"/>
                <w:color w:val="FFFFFF"/>
              </w:rPr>
              <w:t>​</w:t>
            </w:r>
          </w:p>
        </w:tc>
        <w:tc>
          <w:tcPr>
            <w:tcW w:w="820" w:type="dxa"/>
            <w:vAlign w:val="bottom"/>
            <w:gridSpan w:val="2"/>
          </w:tcPr>
          <w:p>
            <w:pPr>
              <w:ind w:left="8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color w:val="FFFFFF"/>
              </w:rPr>
              <w:t xml:space="preserve">  Disability</w:t>
            </w:r>
          </w:p>
        </w:tc>
        <w:tc>
          <w:tcPr>
            <w:tcW w:w="24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780" w:type="dxa"/>
            <w:vAlign w:val="bottom"/>
            <w:gridSpan w:val="2"/>
          </w:tcPr>
          <w:p>
            <w:pPr>
              <w:jc w:val="center"/>
              <w:ind w:left="130"/>
              <w:spacing w:after="0"/>
              <w:rPr>
                <w:sz w:val="20"/>
                <w:szCs w:val="20"/>
                <w:color w:val="auto"/>
              </w:rPr>
            </w:pPr>
            <w:r>
              <w:rPr>
                <w:rFonts w:ascii="Arial" w:cs="Arial" w:eastAsia="Arial" w:hAnsi="Arial"/>
                <w:sz w:val="14"/>
                <w:szCs w:val="14"/>
                <w:color w:val="FFFFFF"/>
              </w:rPr>
              <w:t>Reason</w:t>
            </w:r>
          </w:p>
        </w:tc>
        <w:tc>
          <w:tcPr>
            <w:tcW w:w="36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800" w:type="dxa"/>
            <w:vAlign w:val="bottom"/>
            <w:gridSpan w:val="2"/>
          </w:tcPr>
          <w:p>
            <w:pPr>
              <w:jc w:val="center"/>
              <w:ind w:left="110"/>
              <w:spacing w:after="0"/>
              <w:rPr>
                <w:sz w:val="20"/>
                <w:szCs w:val="20"/>
                <w:color w:val="auto"/>
              </w:rPr>
            </w:pPr>
            <w:r>
              <w:rPr>
                <w:rFonts w:ascii="Arial" w:cs="Arial" w:eastAsia="Arial" w:hAnsi="Arial"/>
                <w:sz w:val="14"/>
                <w:szCs w:val="14"/>
                <w:color w:val="FFFFFF"/>
              </w:rPr>
              <w:t>Reason</w:t>
            </w:r>
          </w:p>
        </w:tc>
        <w:tc>
          <w:tcPr>
            <w:tcW w:w="240" w:type="dxa"/>
            <w:vAlign w:val="bottom"/>
            <w:gridSpan w:val="2"/>
          </w:tcPr>
          <w:p>
            <w:pPr>
              <w:jc w:val="right"/>
              <w:spacing w:after="0"/>
              <w:rPr>
                <w:sz w:val="20"/>
                <w:szCs w:val="20"/>
                <w:color w:val="auto"/>
              </w:rPr>
            </w:pPr>
            <w:r>
              <w:rPr>
                <w:rFonts w:ascii="Arial" w:cs="Arial" w:eastAsia="Arial" w:hAnsi="Arial"/>
                <w:sz w:val="14"/>
                <w:szCs w:val="14"/>
                <w:color w:val="FFFFFF"/>
              </w:rPr>
              <w:t>​</w:t>
            </w:r>
          </w:p>
        </w:tc>
      </w:tr>
      <w:tr>
        <w:trPr>
          <w:trHeight w:val="20"/>
        </w:trPr>
        <w:tc>
          <w:tcPr>
            <w:tcW w:w="3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Cash Severance</w:t>
            </w:r>
            <w:r>
              <w:rPr>
                <w:rFonts w:ascii="Arial" w:cs="Arial" w:eastAsia="Arial" w:hAnsi="Arial"/>
                <w:sz w:val="17"/>
                <w:szCs w:val="17"/>
                <w:color w:val="auto"/>
                <w:vertAlign w:val="superscript"/>
              </w:rPr>
              <w:t>(1)</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w:t>
            </w:r>
            <w:r>
              <w:rPr>
                <w:rFonts w:ascii="Arial" w:cs="Arial" w:eastAsia="Arial" w:hAnsi="Arial"/>
                <w:sz w:val="27"/>
                <w:szCs w:val="27"/>
                <w:color w:val="auto"/>
                <w:vertAlign w:val="subscript"/>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871,542</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$ 1,554,042</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Annual Cash Incentive Compensation</w:t>
            </w:r>
            <w:r>
              <w:rPr>
                <w:rFonts w:ascii="Arial" w:cs="Arial" w:eastAsia="Arial" w:hAnsi="Arial"/>
                <w:sz w:val="17"/>
                <w:szCs w:val="17"/>
                <w:color w:val="auto"/>
                <w:vertAlign w:val="superscript"/>
              </w:rPr>
              <w:t>(2)</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36"/>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Long-Term Cash Incentive Compensation</w:t>
            </w:r>
            <w:r>
              <w:rPr>
                <w:rFonts w:ascii="Arial" w:cs="Arial" w:eastAsia="Arial" w:hAnsi="Arial"/>
                <w:sz w:val="17"/>
                <w:szCs w:val="17"/>
                <w:color w:val="auto"/>
                <w:vertAlign w:val="superscript"/>
              </w:rPr>
              <w:t>(3)</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RSUs — Unvested and Accelerated</w:t>
            </w:r>
            <w:r>
              <w:rPr>
                <w:rFonts w:ascii="Arial" w:cs="Arial" w:eastAsia="Arial" w:hAnsi="Arial"/>
                <w:sz w:val="17"/>
                <w:szCs w:val="17"/>
                <w:color w:val="auto"/>
                <w:vertAlign w:val="superscript"/>
              </w:rPr>
              <w:t>(4)</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06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$1,251,031</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445,571</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$ 1,251,031</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PSUs — Unvested and Accelerated</w:t>
            </w:r>
            <w:r>
              <w:rPr>
                <w:rFonts w:ascii="Arial" w:cs="Arial" w:eastAsia="Arial" w:hAnsi="Arial"/>
                <w:sz w:val="17"/>
                <w:szCs w:val="17"/>
                <w:color w:val="auto"/>
                <w:vertAlign w:val="superscript"/>
              </w:rPr>
              <w:t>(5)</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625,502</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260,208</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$ 1,251,004</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Phantom RSUs — Unvested and Accelerated</w:t>
            </w:r>
            <w:r>
              <w:rPr>
                <w:rFonts w:ascii="Arial" w:cs="Arial" w:eastAsia="Arial" w:hAnsi="Arial"/>
                <w:sz w:val="17"/>
                <w:szCs w:val="17"/>
                <w:color w:val="auto"/>
                <w:vertAlign w:val="superscript"/>
              </w:rPr>
              <w:t>(6)</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380,000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328,795</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380,000</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WAGE Program PSUs — Unvested and Accelerated</w:t>
            </w:r>
            <w:r>
              <w:rPr>
                <w:rFonts w:ascii="Arial" w:cs="Arial" w:eastAsia="Arial" w:hAnsi="Arial"/>
                <w:sz w:val="17"/>
                <w:szCs w:val="17"/>
                <w:color w:val="auto"/>
                <w:vertAlign w:val="superscript"/>
              </w:rPr>
              <w:t>(7)</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770,339</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09"/>
        </w:trPr>
        <w:tc>
          <w:tcPr>
            <w:tcW w:w="3780" w:type="dxa"/>
            <w:vAlign w:val="bottom"/>
            <w:tcBorders>
              <w:bottom w:val="single" w:sz="8" w:color="666666"/>
            </w:tcBorders>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Welfare and Other Benefits</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2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0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320" w:type="dxa"/>
            <w:vAlign w:val="bottom"/>
            <w:tcBorders>
              <w:bottom w:val="single" w:sz="8" w:color="666666"/>
            </w:tcBorders>
          </w:tcPr>
          <w:p>
            <w:pPr>
              <w:ind w:left="80"/>
              <w:spacing w:after="0" w:line="210"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74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76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13"/>
                <w:szCs w:val="13"/>
                <w:color w:val="auto"/>
              </w:rPr>
              <w:t>8,907</w:t>
            </w:r>
            <w:r>
              <w:rPr>
                <w:rFonts w:ascii="Arial" w:cs="Arial" w:eastAsia="Arial" w:hAnsi="Arial"/>
                <w:sz w:val="24"/>
                <w:szCs w:val="24"/>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680" w:type="dxa"/>
            <w:vAlign w:val="bottom"/>
            <w:tcBorders>
              <w:bottom w:val="single" w:sz="8" w:color="666666"/>
            </w:tcBorders>
            <w:gridSpan w:val="3"/>
          </w:tcPr>
          <w:p>
            <w:pPr>
              <w:jc w:val="right"/>
              <w:spacing w:after="0" w:line="210" w:lineRule="exact"/>
              <w:rPr>
                <w:sz w:val="20"/>
                <w:szCs w:val="20"/>
                <w:color w:val="auto"/>
              </w:rPr>
            </w:pPr>
            <w:r>
              <w:rPr>
                <w:rFonts w:ascii="Arial" w:cs="Arial" w:eastAsia="Arial" w:hAnsi="Arial"/>
                <w:sz w:val="13"/>
                <w:szCs w:val="13"/>
                <w:color w:val="auto"/>
              </w:rPr>
              <w:t>17,814</w:t>
            </w:r>
            <w:r>
              <w:rPr>
                <w:rFonts w:ascii="Arial" w:cs="Arial" w:eastAsia="Arial" w:hAnsi="Arial"/>
                <w:sz w:val="24"/>
                <w:szCs w:val="24"/>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Clawback of Sign-on Bonus and Relocation Allowances</w:t>
            </w:r>
            <w:r>
              <w:rPr>
                <w:rFonts w:ascii="Arial" w:cs="Arial" w:eastAsia="Arial" w:hAnsi="Arial"/>
                <w:sz w:val="17"/>
                <w:szCs w:val="17"/>
                <w:color w:val="auto"/>
                <w:vertAlign w:val="superscript"/>
              </w:rPr>
              <w:t>(8)</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09"/>
        </w:trPr>
        <w:tc>
          <w:tcPr>
            <w:tcW w:w="378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Total</w:t>
            </w:r>
          </w:p>
        </w:tc>
        <w:tc>
          <w:tcPr>
            <w:tcW w:w="26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2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tcPr>
          <w:p>
            <w:pPr>
              <w:ind w:left="1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0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60" w:type="dxa"/>
            <w:vAlign w:val="bottom"/>
            <w:gridSpan w:val="3"/>
          </w:tcPr>
          <w:p>
            <w:pPr>
              <w:jc w:val="right"/>
              <w:spacing w:after="0" w:line="210"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$3,026,872</w:t>
            </w:r>
            <w:r>
              <w:rPr>
                <w:rFonts w:ascii="Arial" w:cs="Arial" w:eastAsia="Arial" w:hAnsi="Arial"/>
                <w:sz w:val="24"/>
                <w:szCs w:val="24"/>
                <w:color w:val="auto"/>
                <w:vertAlign w:val="subscript"/>
              </w:rPr>
              <w:t>​ ​</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$ 1,915,023</w:t>
            </w:r>
            <w:r>
              <w:rPr>
                <w:rFonts w:ascii="Arial" w:cs="Arial" w:eastAsia="Arial" w:hAnsi="Arial"/>
                <w:sz w:val="24"/>
                <w:szCs w:val="24"/>
                <w:color w:val="auto"/>
                <w:vertAlign w:val="subscript"/>
              </w:rPr>
              <w:t>​ ​</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040" w:type="dxa"/>
            <w:vAlign w:val="bottom"/>
            <w:gridSpan w:val="4"/>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$ 4,453,891</w:t>
            </w:r>
            <w:r>
              <w:rPr>
                <w:rFonts w:ascii="Arial" w:cs="Arial" w:eastAsia="Arial" w:hAnsi="Arial"/>
                <w:sz w:val="24"/>
                <w:szCs w:val="24"/>
                <w:color w:val="auto"/>
                <w:vertAlign w:val="subscript"/>
              </w:rPr>
              <w:t>​​</w:t>
            </w:r>
          </w:p>
        </w:tc>
      </w:tr>
      <w:tr>
        <w:trPr>
          <w:trHeight w:val="377"/>
        </w:trPr>
        <w:tc>
          <w:tcPr>
            <w:tcW w:w="3780" w:type="dxa"/>
            <w:vAlign w:val="bottom"/>
            <w:tcBorders>
              <w:top w:val="single" w:sz="8" w:color="666666"/>
            </w:tcBorders>
          </w:tcPr>
          <w:p>
            <w:pPr>
              <w:ind w:left="220"/>
              <w:spacing w:after="0"/>
              <w:rPr>
                <w:sz w:val="20"/>
                <w:szCs w:val="20"/>
                <w:color w:val="auto"/>
              </w:rPr>
            </w:pPr>
            <w:r>
              <w:rPr>
                <w:rFonts w:ascii="Arial" w:cs="Arial" w:eastAsia="Arial" w:hAnsi="Arial"/>
                <w:sz w:val="14"/>
                <w:szCs w:val="14"/>
                <w:color w:val="auto"/>
              </w:rPr>
              <w:t>For footnotes, see table for Mr. Saligram, above.</w:t>
            </w:r>
          </w:p>
        </w:tc>
        <w:tc>
          <w:tcPr>
            <w:tcW w:w="260" w:type="dxa"/>
            <w:vAlign w:val="bottom"/>
            <w:tcBorders>
              <w:top w:val="single" w:sz="8" w:color="666666"/>
            </w:tcBorders>
          </w:tcPr>
          <w:p>
            <w:pPr>
              <w:spacing w:after="0"/>
              <w:rPr>
                <w:sz w:val="24"/>
                <w:szCs w:val="24"/>
                <w:color w:val="auto"/>
              </w:rPr>
            </w:pPr>
          </w:p>
        </w:tc>
        <w:tc>
          <w:tcPr>
            <w:tcW w:w="160" w:type="dxa"/>
            <w:vAlign w:val="bottom"/>
            <w:tcBorders>
              <w:top w:val="single" w:sz="8" w:color="666666"/>
            </w:tcBorders>
          </w:tcPr>
          <w:p>
            <w:pPr>
              <w:spacing w:after="0"/>
              <w:rPr>
                <w:sz w:val="24"/>
                <w:szCs w:val="24"/>
                <w:color w:val="auto"/>
              </w:rPr>
            </w:pPr>
          </w:p>
        </w:tc>
        <w:tc>
          <w:tcPr>
            <w:tcW w:w="560" w:type="dxa"/>
            <w:vAlign w:val="bottom"/>
            <w:tcBorders>
              <w:top w:val="single" w:sz="8" w:color="666666"/>
            </w:tcBorders>
          </w:tcPr>
          <w:p>
            <w:pPr>
              <w:spacing w:after="0"/>
              <w:rPr>
                <w:sz w:val="24"/>
                <w:szCs w:val="24"/>
                <w:color w:val="auto"/>
              </w:rPr>
            </w:pPr>
          </w:p>
        </w:tc>
        <w:tc>
          <w:tcPr>
            <w:tcW w:w="360" w:type="dxa"/>
            <w:vAlign w:val="bottom"/>
            <w:tcBorders>
              <w:top w:val="single" w:sz="8" w:color="666666"/>
            </w:tcBorders>
          </w:tcPr>
          <w:p>
            <w:pPr>
              <w:spacing w:after="0"/>
              <w:rPr>
                <w:sz w:val="24"/>
                <w:szCs w:val="24"/>
                <w:color w:val="auto"/>
              </w:rPr>
            </w:pPr>
          </w:p>
        </w:tc>
        <w:tc>
          <w:tcPr>
            <w:tcW w:w="160" w:type="dxa"/>
            <w:vAlign w:val="bottom"/>
            <w:tcBorders>
              <w:top w:val="single" w:sz="8" w:color="666666"/>
            </w:tcBorders>
          </w:tcPr>
          <w:p>
            <w:pPr>
              <w:spacing w:after="0"/>
              <w:rPr>
                <w:sz w:val="24"/>
                <w:szCs w:val="24"/>
                <w:color w:val="auto"/>
              </w:rPr>
            </w:pPr>
          </w:p>
        </w:tc>
        <w:tc>
          <w:tcPr>
            <w:tcW w:w="120" w:type="dxa"/>
            <w:vAlign w:val="bottom"/>
            <w:tcBorders>
              <w:top w:val="single" w:sz="8" w:color="666666"/>
            </w:tcBorders>
          </w:tcPr>
          <w:p>
            <w:pPr>
              <w:spacing w:after="0"/>
              <w:rPr>
                <w:sz w:val="24"/>
                <w:szCs w:val="24"/>
                <w:color w:val="auto"/>
              </w:rPr>
            </w:pPr>
          </w:p>
        </w:tc>
        <w:tc>
          <w:tcPr>
            <w:tcW w:w="440" w:type="dxa"/>
            <w:vAlign w:val="bottom"/>
            <w:tcBorders>
              <w:top w:val="single" w:sz="8" w:color="666666"/>
            </w:tcBorders>
          </w:tcPr>
          <w:p>
            <w:pPr>
              <w:spacing w:after="0"/>
              <w:rPr>
                <w:sz w:val="24"/>
                <w:szCs w:val="24"/>
                <w:color w:val="auto"/>
              </w:rPr>
            </w:pPr>
          </w:p>
        </w:tc>
        <w:tc>
          <w:tcPr>
            <w:tcW w:w="380" w:type="dxa"/>
            <w:vAlign w:val="bottom"/>
            <w:tcBorders>
              <w:top w:val="single" w:sz="8" w:color="666666"/>
            </w:tcBorders>
          </w:tcPr>
          <w:p>
            <w:pPr>
              <w:spacing w:after="0"/>
              <w:rPr>
                <w:sz w:val="24"/>
                <w:szCs w:val="24"/>
                <w:color w:val="auto"/>
              </w:rPr>
            </w:pPr>
          </w:p>
        </w:tc>
        <w:tc>
          <w:tcPr>
            <w:tcW w:w="120" w:type="dxa"/>
            <w:vAlign w:val="bottom"/>
            <w:tcBorders>
              <w:top w:val="single" w:sz="8" w:color="666666"/>
            </w:tcBorders>
          </w:tcPr>
          <w:p>
            <w:pPr>
              <w:spacing w:after="0"/>
              <w:rPr>
                <w:sz w:val="24"/>
                <w:szCs w:val="24"/>
                <w:color w:val="auto"/>
              </w:rPr>
            </w:pPr>
          </w:p>
        </w:tc>
        <w:tc>
          <w:tcPr>
            <w:tcW w:w="320" w:type="dxa"/>
            <w:vAlign w:val="bottom"/>
            <w:tcBorders>
              <w:top w:val="single" w:sz="8" w:color="666666"/>
            </w:tcBorders>
          </w:tcPr>
          <w:p>
            <w:pPr>
              <w:spacing w:after="0"/>
              <w:rPr>
                <w:sz w:val="24"/>
                <w:szCs w:val="24"/>
                <w:color w:val="auto"/>
              </w:rPr>
            </w:pPr>
          </w:p>
        </w:tc>
        <w:tc>
          <w:tcPr>
            <w:tcW w:w="500" w:type="dxa"/>
            <w:vAlign w:val="bottom"/>
            <w:tcBorders>
              <w:top w:val="single" w:sz="8" w:color="666666"/>
            </w:tcBorders>
          </w:tcPr>
          <w:p>
            <w:pPr>
              <w:spacing w:after="0"/>
              <w:rPr>
                <w:sz w:val="24"/>
                <w:szCs w:val="24"/>
                <w:color w:val="auto"/>
              </w:rPr>
            </w:pPr>
          </w:p>
        </w:tc>
        <w:tc>
          <w:tcPr>
            <w:tcW w:w="240" w:type="dxa"/>
            <w:vAlign w:val="bottom"/>
            <w:tcBorders>
              <w:top w:val="single" w:sz="8" w:color="666666"/>
            </w:tcBorders>
          </w:tcPr>
          <w:p>
            <w:pPr>
              <w:spacing w:after="0"/>
              <w:rPr>
                <w:sz w:val="24"/>
                <w:szCs w:val="24"/>
                <w:color w:val="auto"/>
              </w:rPr>
            </w:pPr>
          </w:p>
        </w:tc>
        <w:tc>
          <w:tcPr>
            <w:tcW w:w="120" w:type="dxa"/>
            <w:vAlign w:val="bottom"/>
            <w:tcBorders>
              <w:top w:val="single" w:sz="8" w:color="666666"/>
            </w:tcBorders>
          </w:tcPr>
          <w:p>
            <w:pPr>
              <w:spacing w:after="0"/>
              <w:rPr>
                <w:sz w:val="24"/>
                <w:szCs w:val="24"/>
                <w:color w:val="auto"/>
              </w:rPr>
            </w:pPr>
          </w:p>
        </w:tc>
        <w:tc>
          <w:tcPr>
            <w:tcW w:w="380" w:type="dxa"/>
            <w:vAlign w:val="bottom"/>
            <w:tcBorders>
              <w:top w:val="single" w:sz="8" w:color="666666"/>
            </w:tcBorders>
          </w:tcPr>
          <w:p>
            <w:pPr>
              <w:spacing w:after="0"/>
              <w:rPr>
                <w:sz w:val="24"/>
                <w:szCs w:val="24"/>
                <w:color w:val="auto"/>
              </w:rPr>
            </w:pPr>
          </w:p>
        </w:tc>
        <w:tc>
          <w:tcPr>
            <w:tcW w:w="400" w:type="dxa"/>
            <w:vAlign w:val="bottom"/>
            <w:tcBorders>
              <w:top w:val="single" w:sz="8" w:color="666666"/>
            </w:tcBorders>
          </w:tcPr>
          <w:p>
            <w:pPr>
              <w:spacing w:after="0"/>
              <w:rPr>
                <w:sz w:val="24"/>
                <w:szCs w:val="24"/>
                <w:color w:val="auto"/>
              </w:rPr>
            </w:pPr>
          </w:p>
        </w:tc>
        <w:tc>
          <w:tcPr>
            <w:tcW w:w="360" w:type="dxa"/>
            <w:vAlign w:val="bottom"/>
            <w:tcBorders>
              <w:top w:val="single" w:sz="8" w:color="666666"/>
            </w:tcBorders>
          </w:tcPr>
          <w:p>
            <w:pPr>
              <w:spacing w:after="0"/>
              <w:rPr>
                <w:sz w:val="24"/>
                <w:szCs w:val="24"/>
                <w:color w:val="auto"/>
              </w:rPr>
            </w:pPr>
          </w:p>
        </w:tc>
        <w:tc>
          <w:tcPr>
            <w:tcW w:w="120" w:type="dxa"/>
            <w:vAlign w:val="bottom"/>
            <w:tcBorders>
              <w:top w:val="single" w:sz="8" w:color="666666"/>
            </w:tcBorders>
          </w:tcPr>
          <w:p>
            <w:pPr>
              <w:spacing w:after="0"/>
              <w:rPr>
                <w:sz w:val="24"/>
                <w:szCs w:val="24"/>
                <w:color w:val="auto"/>
              </w:rPr>
            </w:pPr>
          </w:p>
        </w:tc>
        <w:tc>
          <w:tcPr>
            <w:tcW w:w="360" w:type="dxa"/>
            <w:vAlign w:val="bottom"/>
            <w:tcBorders>
              <w:top w:val="single" w:sz="8" w:color="666666"/>
            </w:tcBorders>
          </w:tcPr>
          <w:p>
            <w:pPr>
              <w:spacing w:after="0"/>
              <w:rPr>
                <w:sz w:val="24"/>
                <w:szCs w:val="24"/>
                <w:color w:val="auto"/>
              </w:rPr>
            </w:pPr>
          </w:p>
        </w:tc>
        <w:tc>
          <w:tcPr>
            <w:tcW w:w="440" w:type="dxa"/>
            <w:vAlign w:val="bottom"/>
            <w:tcBorders>
              <w:top w:val="single" w:sz="8" w:color="666666"/>
            </w:tcBorders>
          </w:tcPr>
          <w:p>
            <w:pPr>
              <w:spacing w:after="0"/>
              <w:rPr>
                <w:sz w:val="24"/>
                <w:szCs w:val="24"/>
                <w:color w:val="auto"/>
              </w:rPr>
            </w:pPr>
          </w:p>
        </w:tc>
        <w:tc>
          <w:tcPr>
            <w:tcW w:w="220" w:type="dxa"/>
            <w:vAlign w:val="bottom"/>
            <w:tcBorders>
              <w:top w:val="single" w:sz="8" w:color="666666"/>
            </w:tcBorders>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5"/>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4"/>
                <w:szCs w:val="14"/>
                <w:color w:val="FFFFFF"/>
              </w:rPr>
              <w:t>​​</w:t>
            </w:r>
          </w:p>
        </w:tc>
        <w:tc>
          <w:tcPr>
            <w:tcW w:w="260" w:type="dxa"/>
            <w:vAlign w:val="bottom"/>
          </w:tcPr>
          <w:p>
            <w:pPr>
              <w:ind w:left="120"/>
              <w:spacing w:after="0"/>
              <w:rPr>
                <w:sz w:val="20"/>
                <w:szCs w:val="20"/>
                <w:color w:val="auto"/>
              </w:rPr>
            </w:pPr>
            <w:r>
              <w:rPr>
                <w:rFonts w:ascii="Arial" w:cs="Arial" w:eastAsia="Arial" w:hAnsi="Arial"/>
                <w:sz w:val="14"/>
                <w:szCs w:val="14"/>
                <w:color w:val="FFFFFF"/>
              </w:rPr>
              <w:t>​</w:t>
            </w:r>
          </w:p>
        </w:tc>
        <w:tc>
          <w:tcPr>
            <w:tcW w:w="160" w:type="dxa"/>
            <w:vAlign w:val="bottom"/>
            <w:tcBorders>
              <w:bottom w:val="single" w:sz="8" w:color="auto"/>
            </w:tcBorders>
            <w:shd w:val="clear" w:color="auto" w:fill="BA0C2F"/>
          </w:tcPr>
          <w:p>
            <w:pPr>
              <w:spacing w:after="0"/>
              <w:rPr>
                <w:sz w:val="20"/>
                <w:szCs w:val="20"/>
                <w:color w:val="auto"/>
              </w:rPr>
            </w:pPr>
            <w:r>
              <w:rPr>
                <w:rFonts w:ascii="Arial" w:cs="Arial" w:eastAsia="Arial" w:hAnsi="Arial"/>
                <w:sz w:val="14"/>
                <w:szCs w:val="14"/>
                <w:color w:val="FFFFFF"/>
              </w:rPr>
              <w:t>​</w:t>
            </w:r>
          </w:p>
        </w:tc>
        <w:tc>
          <w:tcPr>
            <w:tcW w:w="56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16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440" w:type="dxa"/>
            <w:vAlign w:val="bottom"/>
            <w:tcBorders>
              <w:bottom w:val="single" w:sz="8" w:color="auto"/>
            </w:tcBorders>
            <w:shd w:val="clear" w:color="auto" w:fill="BA0C2F"/>
          </w:tcPr>
          <w:p>
            <w:pPr>
              <w:spacing w:after="0"/>
              <w:rPr>
                <w:sz w:val="18"/>
                <w:szCs w:val="18"/>
                <w:color w:val="auto"/>
              </w:rPr>
            </w:pPr>
          </w:p>
        </w:tc>
        <w:tc>
          <w:tcPr>
            <w:tcW w:w="38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1560" w:type="dxa"/>
            <w:vAlign w:val="bottom"/>
            <w:tcBorders>
              <w:bottom w:val="single" w:sz="8" w:color="auto"/>
            </w:tcBorders>
            <w:gridSpan w:val="5"/>
            <w:shd w:val="clear" w:color="auto" w:fill="BA0C2F"/>
          </w:tcPr>
          <w:p>
            <w:pPr>
              <w:ind w:left="40"/>
              <w:spacing w:after="0"/>
              <w:rPr>
                <w:sz w:val="20"/>
                <w:szCs w:val="20"/>
                <w:color w:val="auto"/>
              </w:rPr>
            </w:pPr>
            <w:r>
              <w:rPr>
                <w:rFonts w:ascii="Arial" w:cs="Arial" w:eastAsia="Arial" w:hAnsi="Arial"/>
                <w:sz w:val="14"/>
                <w:szCs w:val="14"/>
                <w:color w:val="FFFFFF"/>
              </w:rPr>
              <w:t>Hypothetical Event</w:t>
            </w:r>
          </w:p>
        </w:tc>
        <w:tc>
          <w:tcPr>
            <w:tcW w:w="40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120" w:type="dxa"/>
            <w:vAlign w:val="bottom"/>
            <w:tcBorders>
              <w:bottom w:val="single" w:sz="8" w:color="auto"/>
            </w:tcBorders>
            <w:shd w:val="clear" w:color="auto" w:fill="BA0C2F"/>
          </w:tcPr>
          <w:p>
            <w:pPr>
              <w:spacing w:after="0"/>
              <w:rPr>
                <w:sz w:val="18"/>
                <w:szCs w:val="18"/>
                <w:color w:val="auto"/>
              </w:rPr>
            </w:pPr>
          </w:p>
        </w:tc>
        <w:tc>
          <w:tcPr>
            <w:tcW w:w="360" w:type="dxa"/>
            <w:vAlign w:val="bottom"/>
            <w:tcBorders>
              <w:bottom w:val="single" w:sz="8" w:color="auto"/>
            </w:tcBorders>
            <w:shd w:val="clear" w:color="auto" w:fill="BA0C2F"/>
          </w:tcPr>
          <w:p>
            <w:pPr>
              <w:spacing w:after="0"/>
              <w:rPr>
                <w:sz w:val="18"/>
                <w:szCs w:val="18"/>
                <w:color w:val="auto"/>
              </w:rPr>
            </w:pPr>
          </w:p>
        </w:tc>
        <w:tc>
          <w:tcPr>
            <w:tcW w:w="440" w:type="dxa"/>
            <w:vAlign w:val="bottom"/>
            <w:tcBorders>
              <w:bottom w:val="single" w:sz="8" w:color="auto"/>
            </w:tcBorders>
            <w:shd w:val="clear" w:color="auto" w:fill="BA0C2F"/>
          </w:tcPr>
          <w:p>
            <w:pPr>
              <w:spacing w:after="0"/>
              <w:rPr>
                <w:sz w:val="18"/>
                <w:szCs w:val="18"/>
                <w:color w:val="auto"/>
              </w:rPr>
            </w:pPr>
          </w:p>
        </w:tc>
        <w:tc>
          <w:tcPr>
            <w:tcW w:w="220" w:type="dxa"/>
            <w:vAlign w:val="bottom"/>
            <w:tcBorders>
              <w:bottom w:val="single" w:sz="8" w:color="auto"/>
            </w:tcBorders>
            <w:shd w:val="clear" w:color="auto" w:fill="BA0C2F"/>
          </w:tcPr>
          <w:p>
            <w:pPr>
              <w:ind w:left="1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r>
      <w:tr>
        <w:trPr>
          <w:trHeight w:val="173"/>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shd w:val="clear" w:color="auto" w:fill="BA0C2F"/>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left="70"/>
              <w:spacing w:after="0"/>
              <w:rPr>
                <w:sz w:val="20"/>
                <w:szCs w:val="20"/>
                <w:color w:val="auto"/>
              </w:rPr>
            </w:pPr>
            <w:r>
              <w:rPr>
                <w:rFonts w:ascii="Arial" w:cs="Arial" w:eastAsia="Arial" w:hAnsi="Arial"/>
                <w:sz w:val="14"/>
                <w:szCs w:val="14"/>
                <w:color w:val="FFFFFF"/>
              </w:rPr>
              <w:t>Change in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9"/>
              <w:spacing w:after="0"/>
              <w:rPr>
                <w:sz w:val="20"/>
                <w:szCs w:val="20"/>
                <w:color w:val="auto"/>
              </w:rPr>
            </w:pPr>
            <w:r>
              <w:rPr>
                <w:rFonts w:ascii="Arial" w:cs="Arial" w:eastAsia="Arial" w:hAnsi="Arial"/>
                <w:sz w:val="14"/>
                <w:szCs w:val="14"/>
                <w:color w:val="FFFFFF"/>
              </w:rPr>
              <w:t>Control with</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Termination</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Termination</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without Cause</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without Cause</w:t>
            </w:r>
          </w:p>
        </w:tc>
        <w:tc>
          <w:tcPr>
            <w:tcW w:w="2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shd w:val="clear" w:color="auto" w:fill="BA0C2F"/>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FFFFFF"/>
              </w:rPr>
              <w:t>Retirement 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FFFFFF"/>
              </w:rPr>
              <w:t>Termination</w:t>
            </w:r>
          </w:p>
        </w:tc>
        <w:tc>
          <w:tcPr>
            <w:tcW w:w="12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FFFFFF"/>
              </w:rPr>
              <w:t>Death or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9"/>
              <w:spacing w:after="0"/>
              <w:rPr>
                <w:sz w:val="20"/>
                <w:szCs w:val="20"/>
                <w:color w:val="auto"/>
              </w:rPr>
            </w:pPr>
            <w:r>
              <w:rPr>
                <w:rFonts w:ascii="Arial" w:cs="Arial" w:eastAsia="Arial" w:hAnsi="Arial"/>
                <w:sz w:val="14"/>
                <w:szCs w:val="14"/>
                <w:color w:val="FFFFFF"/>
              </w:rPr>
              <w:t>or with Good</w:t>
            </w:r>
          </w:p>
        </w:tc>
        <w:tc>
          <w:tcPr>
            <w:tcW w:w="120" w:type="dxa"/>
            <w:vAlign w:val="bottom"/>
          </w:tcPr>
          <w:p>
            <w:pPr>
              <w:spacing w:after="0"/>
              <w:rPr>
                <w:sz w:val="14"/>
                <w:szCs w:val="14"/>
                <w:color w:val="auto"/>
              </w:rPr>
            </w:pPr>
          </w:p>
        </w:tc>
        <w:tc>
          <w:tcPr>
            <w:tcW w:w="1020" w:type="dxa"/>
            <w:vAlign w:val="bottom"/>
            <w:gridSpan w:val="3"/>
          </w:tcPr>
          <w:p>
            <w:pPr>
              <w:jc w:val="center"/>
              <w:ind w:right="9"/>
              <w:spacing w:after="0"/>
              <w:rPr>
                <w:sz w:val="20"/>
                <w:szCs w:val="20"/>
                <w:color w:val="auto"/>
              </w:rPr>
            </w:pPr>
            <w:r>
              <w:rPr>
                <w:rFonts w:ascii="Arial" w:cs="Arial" w:eastAsia="Arial" w:hAnsi="Arial"/>
                <w:sz w:val="14"/>
                <w:szCs w:val="14"/>
                <w:color w:val="FFFFFF"/>
              </w:rPr>
              <w:t>or with Good</w:t>
            </w:r>
          </w:p>
        </w:tc>
        <w:tc>
          <w:tcPr>
            <w:tcW w:w="20" w:type="dxa"/>
            <w:vAlign w:val="bottom"/>
          </w:tcPr>
          <w:p>
            <w:pPr>
              <w:spacing w:after="0"/>
              <w:rPr>
                <w:sz w:val="14"/>
                <w:szCs w:val="14"/>
                <w:color w:val="auto"/>
              </w:rPr>
            </w:pPr>
          </w:p>
        </w:tc>
      </w:tr>
      <w:tr>
        <w:trPr>
          <w:trHeight w:val="198"/>
        </w:trPr>
        <w:tc>
          <w:tcPr>
            <w:tcW w:w="3780" w:type="dxa"/>
            <w:vAlign w:val="bottom"/>
          </w:tcPr>
          <w:p>
            <w:pPr>
              <w:ind w:left="2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b w:val="1"/>
                <w:bCs w:val="1"/>
                <w:color w:val="auto"/>
              </w:rPr>
              <w:t>Desmond J. Mills</w:t>
            </w:r>
          </w:p>
        </w:tc>
        <w:tc>
          <w:tcPr>
            <w:tcW w:w="260" w:type="dxa"/>
            <w:vAlign w:val="bottom"/>
          </w:tcPr>
          <w:p>
            <w:pPr>
              <w:ind w:left="200"/>
              <w:spacing w:after="0"/>
              <w:rPr>
                <w:sz w:val="20"/>
                <w:szCs w:val="20"/>
                <w:color w:val="auto"/>
              </w:rPr>
            </w:pPr>
            <w:r>
              <w:rPr>
                <w:rFonts w:ascii="Arial" w:cs="Arial" w:eastAsia="Arial" w:hAnsi="Arial"/>
                <w:sz w:val="14"/>
                <w:szCs w:val="14"/>
                <w:color w:val="FFFFFF"/>
              </w:rPr>
              <w:t>​</w:t>
            </w:r>
          </w:p>
        </w:tc>
        <w:tc>
          <w:tcPr>
            <w:tcW w:w="160" w:type="dxa"/>
            <w:vAlign w:val="bottom"/>
            <w:shd w:val="clear" w:color="auto" w:fill="BA0C2F"/>
          </w:tcPr>
          <w:p>
            <w:pPr>
              <w:ind w:left="80"/>
              <w:spacing w:after="0"/>
              <w:rPr>
                <w:sz w:val="20"/>
                <w:szCs w:val="20"/>
                <w:color w:val="auto"/>
              </w:rPr>
            </w:pPr>
            <w:r>
              <w:rPr>
                <w:rFonts w:ascii="Arial" w:cs="Arial" w:eastAsia="Arial" w:hAnsi="Arial"/>
                <w:sz w:val="14"/>
                <w:szCs w:val="14"/>
                <w:color w:val="FFFFFF"/>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FFFFFF"/>
              </w:rPr>
              <w:t>Resignation</w:t>
            </w:r>
          </w:p>
        </w:tc>
        <w:tc>
          <w:tcPr>
            <w:tcW w:w="16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820" w:type="dxa"/>
            <w:vAlign w:val="bottom"/>
            <w:gridSpan w:val="2"/>
          </w:tcPr>
          <w:p>
            <w:pPr>
              <w:jc w:val="center"/>
              <w:spacing w:after="0"/>
              <w:rPr>
                <w:sz w:val="20"/>
                <w:szCs w:val="20"/>
                <w:color w:val="auto"/>
              </w:rPr>
            </w:pPr>
            <w:r>
              <w:rPr>
                <w:rFonts w:ascii="Arial" w:cs="Arial" w:eastAsia="Arial" w:hAnsi="Arial"/>
                <w:sz w:val="14"/>
                <w:szCs w:val="14"/>
                <w:color w:val="FFFFFF"/>
              </w:rPr>
              <w:t>for Cause</w:t>
            </w:r>
          </w:p>
        </w:tc>
        <w:tc>
          <w:tcPr>
            <w:tcW w:w="120" w:type="dxa"/>
            <w:vAlign w:val="bottom"/>
          </w:tcPr>
          <w:p>
            <w:pPr>
              <w:jc w:val="right"/>
              <w:spacing w:after="0"/>
              <w:rPr>
                <w:sz w:val="20"/>
                <w:szCs w:val="20"/>
                <w:color w:val="auto"/>
              </w:rPr>
            </w:pPr>
            <w:r>
              <w:rPr>
                <w:rFonts w:ascii="Arial" w:cs="Arial" w:eastAsia="Arial" w:hAnsi="Arial"/>
                <w:sz w:val="14"/>
                <w:szCs w:val="14"/>
                <w:color w:val="FFFFFF"/>
              </w:rPr>
              <w:t>​</w:t>
            </w:r>
          </w:p>
        </w:tc>
        <w:tc>
          <w:tcPr>
            <w:tcW w:w="820" w:type="dxa"/>
            <w:vAlign w:val="bottom"/>
            <w:gridSpan w:val="2"/>
          </w:tcPr>
          <w:p>
            <w:pPr>
              <w:ind w:left="80"/>
              <w:spacing w:after="0" w:line="199" w:lineRule="exact"/>
              <w:rPr>
                <w:sz w:val="20"/>
                <w:szCs w:val="20"/>
                <w:color w:val="auto"/>
              </w:rPr>
            </w:pPr>
            <w:r>
              <w:rPr>
                <w:rFonts w:ascii="Arial" w:cs="Arial" w:eastAsia="Arial" w:hAnsi="Arial"/>
                <w:sz w:val="22"/>
                <w:szCs w:val="22"/>
                <w:color w:val="FFFFFF"/>
                <w:vertAlign w:val="subscript"/>
              </w:rPr>
              <w:t>​</w:t>
            </w:r>
            <w:r>
              <w:rPr>
                <w:rFonts w:ascii="Arial" w:cs="Arial" w:eastAsia="Arial" w:hAnsi="Arial"/>
                <w:sz w:val="12"/>
                <w:szCs w:val="12"/>
                <w:color w:val="FFFFFF"/>
              </w:rPr>
              <w:t xml:space="preserve">  Disability</w:t>
            </w:r>
          </w:p>
        </w:tc>
        <w:tc>
          <w:tcPr>
            <w:tcW w:w="24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780" w:type="dxa"/>
            <w:vAlign w:val="bottom"/>
            <w:gridSpan w:val="2"/>
          </w:tcPr>
          <w:p>
            <w:pPr>
              <w:jc w:val="center"/>
              <w:ind w:left="130"/>
              <w:spacing w:after="0"/>
              <w:rPr>
                <w:sz w:val="20"/>
                <w:szCs w:val="20"/>
                <w:color w:val="auto"/>
              </w:rPr>
            </w:pPr>
            <w:r>
              <w:rPr>
                <w:rFonts w:ascii="Arial" w:cs="Arial" w:eastAsia="Arial" w:hAnsi="Arial"/>
                <w:sz w:val="14"/>
                <w:szCs w:val="14"/>
                <w:color w:val="FFFFFF"/>
              </w:rPr>
              <w:t>Reason</w:t>
            </w:r>
          </w:p>
        </w:tc>
        <w:tc>
          <w:tcPr>
            <w:tcW w:w="360" w:type="dxa"/>
            <w:vAlign w:val="bottom"/>
          </w:tcPr>
          <w:p>
            <w:pPr>
              <w:jc w:val="right"/>
              <w:spacing w:after="0"/>
              <w:rPr>
                <w:sz w:val="20"/>
                <w:szCs w:val="20"/>
                <w:color w:val="auto"/>
              </w:rPr>
            </w:pPr>
            <w:r>
              <w:rPr>
                <w:rFonts w:ascii="Arial" w:cs="Arial" w:eastAsia="Arial" w:hAnsi="Arial"/>
                <w:sz w:val="14"/>
                <w:szCs w:val="14"/>
                <w:color w:val="FFFFFF"/>
              </w:rPr>
              <w:t>​</w:t>
            </w:r>
          </w:p>
        </w:tc>
        <w:tc>
          <w:tcPr>
            <w:tcW w:w="120" w:type="dxa"/>
            <w:vAlign w:val="bottom"/>
          </w:tcPr>
          <w:p>
            <w:pPr>
              <w:ind w:left="60"/>
              <w:spacing w:after="0"/>
              <w:rPr>
                <w:sz w:val="20"/>
                <w:szCs w:val="20"/>
                <w:color w:val="auto"/>
              </w:rPr>
            </w:pPr>
            <w:r>
              <w:rPr>
                <w:rFonts w:ascii="Arial" w:cs="Arial" w:eastAsia="Arial" w:hAnsi="Arial"/>
                <w:sz w:val="14"/>
                <w:szCs w:val="14"/>
                <w:color w:val="FFFFFF"/>
              </w:rPr>
              <w:t>​</w:t>
            </w:r>
          </w:p>
        </w:tc>
        <w:tc>
          <w:tcPr>
            <w:tcW w:w="800" w:type="dxa"/>
            <w:vAlign w:val="bottom"/>
            <w:gridSpan w:val="2"/>
          </w:tcPr>
          <w:p>
            <w:pPr>
              <w:jc w:val="center"/>
              <w:ind w:left="110"/>
              <w:spacing w:after="0"/>
              <w:rPr>
                <w:sz w:val="20"/>
                <w:szCs w:val="20"/>
                <w:color w:val="auto"/>
              </w:rPr>
            </w:pPr>
            <w:r>
              <w:rPr>
                <w:rFonts w:ascii="Arial" w:cs="Arial" w:eastAsia="Arial" w:hAnsi="Arial"/>
                <w:sz w:val="14"/>
                <w:szCs w:val="14"/>
                <w:color w:val="FFFFFF"/>
              </w:rPr>
              <w:t>Reason</w:t>
            </w:r>
          </w:p>
        </w:tc>
        <w:tc>
          <w:tcPr>
            <w:tcW w:w="240" w:type="dxa"/>
            <w:vAlign w:val="bottom"/>
            <w:gridSpan w:val="2"/>
          </w:tcPr>
          <w:p>
            <w:pPr>
              <w:jc w:val="right"/>
              <w:spacing w:after="0"/>
              <w:rPr>
                <w:sz w:val="20"/>
                <w:szCs w:val="20"/>
                <w:color w:val="auto"/>
              </w:rPr>
            </w:pPr>
            <w:r>
              <w:rPr>
                <w:rFonts w:ascii="Arial" w:cs="Arial" w:eastAsia="Arial" w:hAnsi="Arial"/>
                <w:sz w:val="14"/>
                <w:szCs w:val="14"/>
                <w:color w:val="FFFFFF"/>
              </w:rPr>
              <w:t>​</w:t>
            </w:r>
          </w:p>
        </w:tc>
      </w:tr>
      <w:tr>
        <w:trPr>
          <w:trHeight w:val="20"/>
        </w:trPr>
        <w:tc>
          <w:tcPr>
            <w:tcW w:w="3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Cash Severance</w:t>
            </w:r>
            <w:r>
              <w:rPr>
                <w:rFonts w:ascii="Arial" w:cs="Arial" w:eastAsia="Arial" w:hAnsi="Arial"/>
                <w:sz w:val="17"/>
                <w:szCs w:val="17"/>
                <w:color w:val="auto"/>
                <w:vertAlign w:val="superscript"/>
              </w:rPr>
              <w:t>(1)</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w:t>
            </w:r>
            <w:r>
              <w:rPr>
                <w:rFonts w:ascii="Arial" w:cs="Arial" w:eastAsia="Arial" w:hAnsi="Arial"/>
                <w:sz w:val="27"/>
                <w:szCs w:val="27"/>
                <w:color w:val="auto"/>
                <w:vertAlign w:val="subscript"/>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746,750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746,750</w:t>
            </w:r>
            <w:r>
              <w:rPr>
                <w:rFonts w:ascii="Arial" w:cs="Arial" w:eastAsia="Arial" w:hAnsi="Arial"/>
                <w:sz w:val="27"/>
                <w:szCs w:val="27"/>
                <w:color w:val="auto"/>
                <w:vertAlign w:val="subscript"/>
              </w:rPr>
              <w:t>​​</w:t>
            </w:r>
          </w:p>
        </w:tc>
      </w:tr>
      <w:tr>
        <w:trPr>
          <w:trHeight w:val="236"/>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Annual Cash Incentive Compensation</w:t>
            </w:r>
            <w:r>
              <w:rPr>
                <w:rFonts w:ascii="Arial" w:cs="Arial" w:eastAsia="Arial" w:hAnsi="Arial"/>
                <w:sz w:val="17"/>
                <w:szCs w:val="17"/>
                <w:color w:val="auto"/>
                <w:vertAlign w:val="superscript"/>
              </w:rPr>
              <w:t>(2)</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Long-Term Cash Incentive Compensation</w:t>
            </w:r>
            <w:r>
              <w:rPr>
                <w:rFonts w:ascii="Arial" w:cs="Arial" w:eastAsia="Arial" w:hAnsi="Arial"/>
                <w:sz w:val="17"/>
                <w:szCs w:val="17"/>
                <w:color w:val="auto"/>
                <w:vertAlign w:val="superscript"/>
              </w:rPr>
              <w:t>(3)</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36"/>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RSUs — Unvested and Accelerated</w:t>
            </w:r>
            <w:r>
              <w:rPr>
                <w:rFonts w:ascii="Arial" w:cs="Arial" w:eastAsia="Arial" w:hAnsi="Arial"/>
                <w:sz w:val="17"/>
                <w:szCs w:val="17"/>
                <w:color w:val="auto"/>
                <w:vertAlign w:val="superscript"/>
              </w:rPr>
              <w:t>(4)</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855,966</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304,865</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6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855,966</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PSUs — Unvested and Accelerated</w:t>
            </w:r>
            <w:r>
              <w:rPr>
                <w:rFonts w:ascii="Arial" w:cs="Arial" w:eastAsia="Arial" w:hAnsi="Arial"/>
                <w:sz w:val="17"/>
                <w:szCs w:val="17"/>
                <w:color w:val="auto"/>
                <w:vertAlign w:val="superscript"/>
              </w:rPr>
              <w:t>(5)</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427,969</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178,018</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855,938</w:t>
            </w:r>
            <w:r>
              <w:rPr>
                <w:rFonts w:ascii="Arial" w:cs="Arial" w:eastAsia="Arial" w:hAnsi="Arial"/>
                <w:sz w:val="27"/>
                <w:szCs w:val="27"/>
                <w:color w:val="auto"/>
                <w:vertAlign w:val="subscript"/>
              </w:rPr>
              <w:t>​​</w:t>
            </w:r>
          </w:p>
        </w:tc>
      </w:tr>
      <w:tr>
        <w:trPr>
          <w:trHeight w:val="237"/>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Phantom RSUs — Unvested and Accelerated</w:t>
            </w:r>
            <w:r>
              <w:rPr>
                <w:rFonts w:ascii="Arial" w:cs="Arial" w:eastAsia="Arial" w:hAnsi="Arial"/>
                <w:sz w:val="17"/>
                <w:szCs w:val="17"/>
                <w:color w:val="auto"/>
                <w:vertAlign w:val="superscript"/>
              </w:rPr>
              <w:t>(6)</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260,000</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224,961</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680" w:type="dxa"/>
            <w:vAlign w:val="bottom"/>
            <w:tcBorders>
              <w:bottom w:val="single" w:sz="8" w:color="666666"/>
            </w:tcBorders>
            <w:gridSpan w:val="3"/>
          </w:tcPr>
          <w:p>
            <w:pPr>
              <w:jc w:val="right"/>
              <w:spacing w:after="0" w:line="236" w:lineRule="exact"/>
              <w:rPr>
                <w:sz w:val="20"/>
                <w:szCs w:val="20"/>
                <w:color w:val="auto"/>
              </w:rPr>
            </w:pPr>
            <w:r>
              <w:rPr>
                <w:rFonts w:ascii="Arial" w:cs="Arial" w:eastAsia="Arial" w:hAnsi="Arial"/>
                <w:sz w:val="14"/>
                <w:szCs w:val="14"/>
                <w:color w:val="auto"/>
              </w:rPr>
              <w:t>260,000</w:t>
            </w:r>
            <w:r>
              <w:rPr>
                <w:rFonts w:ascii="Arial" w:cs="Arial" w:eastAsia="Arial" w:hAnsi="Arial"/>
                <w:sz w:val="27"/>
                <w:szCs w:val="27"/>
                <w:color w:val="auto"/>
                <w:vertAlign w:val="subscript"/>
              </w:rPr>
              <w:t>​​</w:t>
            </w:r>
          </w:p>
        </w:tc>
      </w:tr>
      <w:tr>
        <w:trPr>
          <w:trHeight w:val="236"/>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WAGE Program PSUs — Unvested and Accelerated</w:t>
            </w:r>
            <w:r>
              <w:rPr>
                <w:rFonts w:ascii="Arial" w:cs="Arial" w:eastAsia="Arial" w:hAnsi="Arial"/>
                <w:sz w:val="17"/>
                <w:szCs w:val="17"/>
                <w:color w:val="auto"/>
                <w:vertAlign w:val="superscript"/>
              </w:rPr>
              <w:t>(7)</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14"/>
                <w:szCs w:val="14"/>
                <w:color w:val="auto"/>
              </w:rPr>
              <w:t>474,067</w:t>
            </w:r>
            <w:r>
              <w:rPr>
                <w:rFonts w:ascii="Arial" w:cs="Arial" w:eastAsia="Arial" w:hAnsi="Arial"/>
                <w:sz w:val="27"/>
                <w:szCs w:val="27"/>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10"/>
        </w:trPr>
        <w:tc>
          <w:tcPr>
            <w:tcW w:w="3780" w:type="dxa"/>
            <w:vAlign w:val="bottom"/>
            <w:tcBorders>
              <w:bottom w:val="single" w:sz="8" w:color="666666"/>
            </w:tcBorders>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Welfare and Other Benefits</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2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50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320" w:type="dxa"/>
            <w:vAlign w:val="bottom"/>
            <w:tcBorders>
              <w:bottom w:val="single" w:sz="8" w:color="666666"/>
            </w:tcBorders>
          </w:tcPr>
          <w:p>
            <w:pPr>
              <w:ind w:left="80"/>
              <w:spacing w:after="0" w:line="210"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74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6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13"/>
                <w:szCs w:val="13"/>
                <w:color w:val="auto"/>
              </w:rPr>
              <w:t>13,554</w:t>
            </w:r>
            <w:r>
              <w:rPr>
                <w:rFonts w:ascii="Arial" w:cs="Arial" w:eastAsia="Arial" w:hAnsi="Arial"/>
                <w:sz w:val="24"/>
                <w:szCs w:val="24"/>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680" w:type="dxa"/>
            <w:vAlign w:val="bottom"/>
            <w:tcBorders>
              <w:bottom w:val="single" w:sz="8" w:color="666666"/>
            </w:tcBorders>
            <w:gridSpan w:val="3"/>
          </w:tcPr>
          <w:p>
            <w:pPr>
              <w:jc w:val="right"/>
              <w:spacing w:after="0" w:line="210" w:lineRule="exact"/>
              <w:rPr>
                <w:sz w:val="20"/>
                <w:szCs w:val="20"/>
                <w:color w:val="auto"/>
              </w:rPr>
            </w:pPr>
            <w:r>
              <w:rPr>
                <w:rFonts w:ascii="Arial" w:cs="Arial" w:eastAsia="Arial" w:hAnsi="Arial"/>
                <w:sz w:val="13"/>
                <w:szCs w:val="13"/>
                <w:color w:val="auto"/>
              </w:rPr>
              <w:t>13,554</w:t>
            </w:r>
            <w:r>
              <w:rPr>
                <w:rFonts w:ascii="Arial" w:cs="Arial" w:eastAsia="Arial" w:hAnsi="Arial"/>
                <w:sz w:val="24"/>
                <w:szCs w:val="24"/>
                <w:color w:val="auto"/>
                <w:vertAlign w:val="subscript"/>
              </w:rPr>
              <w:t>​​</w:t>
            </w:r>
          </w:p>
        </w:tc>
      </w:tr>
      <w:tr>
        <w:trPr>
          <w:trHeight w:val="236"/>
        </w:trPr>
        <w:tc>
          <w:tcPr>
            <w:tcW w:w="3780" w:type="dxa"/>
            <w:vAlign w:val="bottom"/>
            <w:tcBorders>
              <w:bottom w:val="single" w:sz="8" w:color="666666"/>
            </w:tcBorders>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Clawback of Sign-on Bonus and Relocation Allowances</w:t>
            </w:r>
            <w:r>
              <w:rPr>
                <w:rFonts w:ascii="Arial" w:cs="Arial" w:eastAsia="Arial" w:hAnsi="Arial"/>
                <w:sz w:val="17"/>
                <w:szCs w:val="17"/>
                <w:color w:val="auto"/>
                <w:vertAlign w:val="superscript"/>
              </w:rPr>
              <w:t>(8)</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2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50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320" w:type="dxa"/>
            <w:vAlign w:val="bottom"/>
            <w:tcBorders>
              <w:bottom w:val="single" w:sz="8" w:color="666666"/>
            </w:tcBorders>
          </w:tcPr>
          <w:p>
            <w:pPr>
              <w:ind w:left="8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0" w:type="dxa"/>
            <w:vAlign w:val="bottom"/>
            <w:tcBorders>
              <w:bottom w:val="single" w:sz="8" w:color="666666"/>
            </w:tcBorders>
          </w:tcPr>
          <w:p>
            <w:pPr>
              <w:spacing w:after="0"/>
              <w:rPr>
                <w:sz w:val="20"/>
                <w:szCs w:val="20"/>
                <w:color w:val="auto"/>
              </w:rPr>
            </w:pPr>
          </w:p>
        </w:tc>
        <w:tc>
          <w:tcPr>
            <w:tcW w:w="360" w:type="dxa"/>
            <w:vAlign w:val="bottom"/>
            <w:tcBorders>
              <w:bottom w:val="single" w:sz="8" w:color="666666"/>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66666"/>
            </w:tcBorders>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40" w:type="dxa"/>
            <w:vAlign w:val="bottom"/>
            <w:tcBorders>
              <w:bottom w:val="single" w:sz="8" w:color="666666"/>
            </w:tcBorders>
          </w:tcPr>
          <w:p>
            <w:pPr>
              <w:spacing w:after="0"/>
              <w:rPr>
                <w:sz w:val="20"/>
                <w:szCs w:val="20"/>
                <w:color w:val="auto"/>
              </w:rPr>
            </w:pPr>
          </w:p>
        </w:tc>
        <w:tc>
          <w:tcPr>
            <w:tcW w:w="240" w:type="dxa"/>
            <w:vAlign w:val="bottom"/>
            <w:tcBorders>
              <w:bottom w:val="single" w:sz="8" w:color="666666"/>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r>
      <w:tr>
        <w:trPr>
          <w:trHeight w:val="210"/>
        </w:trPr>
        <w:tc>
          <w:tcPr>
            <w:tcW w:w="3780" w:type="dxa"/>
            <w:vAlign w:val="bottom"/>
            <w:tcBorders>
              <w:bottom w:val="single" w:sz="8" w:color="666666"/>
            </w:tcBorders>
          </w:tcPr>
          <w:p>
            <w:pPr>
              <w:ind w:left="2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Total</w:t>
            </w:r>
          </w:p>
        </w:tc>
        <w:tc>
          <w:tcPr>
            <w:tcW w:w="26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66666"/>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66666"/>
            </w:tcBorders>
          </w:tcPr>
          <w:p>
            <w:pPr>
              <w:ind w:left="2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2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66666"/>
            </w:tcBorders>
          </w:tcPr>
          <w:p>
            <w:pPr>
              <w:ind w:left="1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500" w:type="dxa"/>
            <w:vAlign w:val="bottom"/>
            <w:tcBorders>
              <w:bottom w:val="single" w:sz="8" w:color="666666"/>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1060" w:type="dxa"/>
            <w:vAlign w:val="bottom"/>
            <w:tcBorders>
              <w:bottom w:val="single" w:sz="8" w:color="666666"/>
            </w:tcBorders>
            <w:gridSpan w:val="3"/>
          </w:tcPr>
          <w:p>
            <w:pPr>
              <w:jc w:val="right"/>
              <w:spacing w:after="0" w:line="210"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3"/>
                <w:szCs w:val="13"/>
                <w:color w:val="auto"/>
              </w:rPr>
              <w:t>$2,018,002</w:t>
            </w:r>
            <w:r>
              <w:rPr>
                <w:rFonts w:ascii="Arial" w:cs="Arial" w:eastAsia="Arial" w:hAnsi="Arial"/>
                <w:sz w:val="24"/>
                <w:szCs w:val="24"/>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66666"/>
            </w:tcBorders>
            <w:gridSpan w:val="3"/>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$ 1,468,148</w:t>
            </w:r>
            <w:r>
              <w:rPr>
                <w:rFonts w:ascii="Arial" w:cs="Arial" w:eastAsia="Arial" w:hAnsi="Arial"/>
                <w:sz w:val="24"/>
                <w:szCs w:val="24"/>
                <w:color w:val="auto"/>
                <w:vertAlign w:val="subscript"/>
              </w:rPr>
              <w:t>​ ​</w:t>
            </w:r>
          </w:p>
        </w:tc>
        <w:tc>
          <w:tcPr>
            <w:tcW w:w="1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gridSpan w:val="4"/>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$ 2,732,208</w:t>
            </w:r>
            <w:r>
              <w:rPr>
                <w:rFonts w:ascii="Arial" w:cs="Arial" w:eastAsia="Arial" w:hAnsi="Arial"/>
                <w:sz w:val="24"/>
                <w:szCs w:val="24"/>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-4979670</wp:posOffset>
            </wp:positionV>
            <wp:extent cx="3557270" cy="659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57270" cy="65976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-2262505</wp:posOffset>
            </wp:positionV>
            <wp:extent cx="3557270" cy="659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57270" cy="65976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 footnotes, see table for Mr. Saligram,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2509520</wp:posOffset>
            </wp:positionV>
            <wp:extent cx="6231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65"/>
          <w:szCs w:val="65"/>
          <w:b w:val="1"/>
          <w:bCs w:val="1"/>
          <w:color w:val="BA0C2F"/>
        </w:rPr>
        <w:t>PAY RATIO</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2021 CEO PAY RATIO DISCLOSURE</w:t>
      </w:r>
    </w:p>
    <w:p>
      <w:pPr>
        <w:spacing w:after="0" w:line="122"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Pay Ratio Calculation Method: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2021, for purposes of the Pay Ratio Rule, the total compensation of Mr. Saligram, our President and CEO, was</w:t>
      </w:r>
    </w:p>
    <w:p>
      <w:pPr>
        <w:spacing w:after="0" w:line="27"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$12,591,069 and the median employee’s total annual compensation was $40,653. The resulting ratio of our CEO’s pay to our median employee’s pay for fiscal year 2021 is 310:1. As Mr. Saligram received a one-time award under the WAGE Program, we also evaluated the CEO pay ratio of our CEO’s pay to our median employee’s pay for fiscal year 2021 with the exclusion of this one-time award which would have been 195:1. For purposes of the Pay Ratio Rule, we calculated the total annual compensation of our CEO and the median employee for 2021 in accordance with the Pay Ratio rules.</w:t>
      </w:r>
    </w:p>
    <w:p>
      <w:pPr>
        <w:spacing w:after="0" w:line="75"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Due to changes in our employee population and our CEO, we are not using the same median employee as in prior years. In determining the applicable median salary, as permitted by the Pay Ratio Rule, we excluded 50 or 0.29%, of our total employees who are non-U.S. employees from the total employee population under the “de minimis exception” exclusion for purposes of determining the median employee. The excluded countries, along with the number of employees in each country, are as follows:</w:t>
      </w:r>
    </w:p>
    <w:p>
      <w:pPr>
        <w:spacing w:after="0" w:line="179"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BA0C2F"/>
              </w:rPr>
              <w:t>•</w:t>
            </w:r>
          </w:p>
        </w:tc>
        <w:tc>
          <w:tcPr>
            <w:tcW w:w="1960" w:type="dxa"/>
            <w:vAlign w:val="bottom"/>
          </w:tcPr>
          <w:p>
            <w:pPr>
              <w:ind w:left="80"/>
              <w:spacing w:after="0"/>
              <w:rPr>
                <w:sz w:val="20"/>
                <w:szCs w:val="20"/>
                <w:color w:val="auto"/>
              </w:rPr>
            </w:pPr>
            <w:r>
              <w:rPr>
                <w:rFonts w:ascii="Arial" w:cs="Arial" w:eastAsia="Arial" w:hAnsi="Arial"/>
                <w:sz w:val="18"/>
                <w:szCs w:val="18"/>
                <w:color w:val="auto"/>
              </w:rPr>
              <w:t>Albania – 12</w:t>
            </w:r>
          </w:p>
        </w:tc>
        <w:tc>
          <w:tcPr>
            <w:tcW w:w="900" w:type="dxa"/>
            <w:vAlign w:val="bottom"/>
          </w:tcPr>
          <w:p>
            <w:pPr>
              <w:ind w:left="760"/>
              <w:spacing w:after="0"/>
              <w:rPr>
                <w:sz w:val="20"/>
                <w:szCs w:val="20"/>
                <w:color w:val="auto"/>
              </w:rPr>
            </w:pPr>
            <w:r>
              <w:rPr>
                <w:rFonts w:ascii="Arial" w:cs="Arial" w:eastAsia="Arial" w:hAnsi="Arial"/>
                <w:sz w:val="18"/>
                <w:szCs w:val="18"/>
                <w:color w:val="BA0C2F"/>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Myanmar – 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BA0C2F"/>
              </w:rPr>
              <w:t>•</w:t>
            </w:r>
          </w:p>
        </w:tc>
        <w:tc>
          <w:tcPr>
            <w:tcW w:w="1960" w:type="dxa"/>
            <w:vAlign w:val="bottom"/>
          </w:tcPr>
          <w:p>
            <w:pPr>
              <w:ind w:left="80"/>
              <w:spacing w:after="0"/>
              <w:rPr>
                <w:sz w:val="20"/>
                <w:szCs w:val="20"/>
                <w:color w:val="auto"/>
              </w:rPr>
            </w:pPr>
            <w:r>
              <w:rPr>
                <w:rFonts w:ascii="Arial" w:cs="Arial" w:eastAsia="Arial" w:hAnsi="Arial"/>
                <w:sz w:val="18"/>
                <w:szCs w:val="18"/>
                <w:color w:val="auto"/>
              </w:rPr>
              <w:t>Bermuda – 1</w:t>
            </w:r>
          </w:p>
        </w:tc>
        <w:tc>
          <w:tcPr>
            <w:tcW w:w="900" w:type="dxa"/>
            <w:vAlign w:val="bottom"/>
          </w:tcPr>
          <w:p>
            <w:pPr>
              <w:ind w:left="760"/>
              <w:spacing w:after="0"/>
              <w:rPr>
                <w:sz w:val="20"/>
                <w:szCs w:val="20"/>
                <w:color w:val="auto"/>
              </w:rPr>
            </w:pPr>
            <w:r>
              <w:rPr>
                <w:rFonts w:ascii="Arial" w:cs="Arial" w:eastAsia="Arial" w:hAnsi="Arial"/>
                <w:sz w:val="18"/>
                <w:szCs w:val="18"/>
                <w:color w:val="BA0C2F"/>
              </w:rPr>
              <w:t>•</w:t>
            </w:r>
          </w:p>
        </w:tc>
        <w:tc>
          <w:tcPr>
            <w:tcW w:w="1240" w:type="dxa"/>
            <w:vAlign w:val="bottom"/>
          </w:tcPr>
          <w:p>
            <w:pPr>
              <w:ind w:left="80"/>
              <w:spacing w:after="0"/>
              <w:rPr>
                <w:sz w:val="20"/>
                <w:szCs w:val="20"/>
                <w:color w:val="auto"/>
              </w:rPr>
            </w:pPr>
            <w:r>
              <w:rPr>
                <w:rFonts w:ascii="Arial" w:cs="Arial" w:eastAsia="Arial" w:hAnsi="Arial"/>
                <w:sz w:val="18"/>
                <w:szCs w:val="18"/>
                <w:color w:val="auto"/>
                <w:w w:val="99"/>
              </w:rPr>
              <w:t>Philippines – 3</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20"/>
                <w:szCs w:val="20"/>
                <w:color w:val="auto"/>
              </w:rPr>
            </w:pPr>
            <w:r>
              <w:rPr>
                <w:rFonts w:ascii="Arial" w:cs="Arial" w:eastAsia="Arial" w:hAnsi="Arial"/>
                <w:sz w:val="18"/>
                <w:szCs w:val="18"/>
                <w:color w:val="BA0C2F"/>
              </w:rPr>
              <w:t>•</w:t>
            </w:r>
          </w:p>
        </w:tc>
        <w:tc>
          <w:tcPr>
            <w:tcW w:w="1960" w:type="dxa"/>
            <w:vAlign w:val="bottom"/>
          </w:tcPr>
          <w:p>
            <w:pPr>
              <w:ind w:left="80"/>
              <w:spacing w:after="0"/>
              <w:rPr>
                <w:sz w:val="20"/>
                <w:szCs w:val="20"/>
                <w:color w:val="auto"/>
              </w:rPr>
            </w:pPr>
            <w:r>
              <w:rPr>
                <w:rFonts w:ascii="Arial" w:cs="Arial" w:eastAsia="Arial" w:hAnsi="Arial"/>
                <w:sz w:val="18"/>
                <w:szCs w:val="18"/>
                <w:color w:val="auto"/>
              </w:rPr>
              <w:t>Cameroon – 7</w:t>
            </w:r>
          </w:p>
        </w:tc>
        <w:tc>
          <w:tcPr>
            <w:tcW w:w="900" w:type="dxa"/>
            <w:vAlign w:val="bottom"/>
          </w:tcPr>
          <w:p>
            <w:pPr>
              <w:ind w:left="760"/>
              <w:spacing w:after="0"/>
              <w:rPr>
                <w:sz w:val="20"/>
                <w:szCs w:val="20"/>
                <w:color w:val="auto"/>
              </w:rPr>
            </w:pPr>
            <w:r>
              <w:rPr>
                <w:rFonts w:ascii="Arial" w:cs="Arial" w:eastAsia="Arial" w:hAnsi="Arial"/>
                <w:sz w:val="18"/>
                <w:szCs w:val="18"/>
                <w:color w:val="BA0C2F"/>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Poland – 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20"/>
                <w:szCs w:val="20"/>
                <w:color w:val="auto"/>
              </w:rPr>
            </w:pPr>
            <w:r>
              <w:rPr>
                <w:rFonts w:ascii="Arial" w:cs="Arial" w:eastAsia="Arial" w:hAnsi="Arial"/>
                <w:sz w:val="18"/>
                <w:szCs w:val="18"/>
                <w:color w:val="BA0C2F"/>
              </w:rPr>
              <w:t>•</w:t>
            </w:r>
          </w:p>
        </w:tc>
        <w:tc>
          <w:tcPr>
            <w:tcW w:w="1960" w:type="dxa"/>
            <w:vAlign w:val="bottom"/>
          </w:tcPr>
          <w:p>
            <w:pPr>
              <w:ind w:left="80"/>
              <w:spacing w:after="0"/>
              <w:rPr>
                <w:sz w:val="20"/>
                <w:szCs w:val="20"/>
                <w:color w:val="auto"/>
              </w:rPr>
            </w:pPr>
            <w:r>
              <w:rPr>
                <w:rFonts w:ascii="Arial" w:cs="Arial" w:eastAsia="Arial" w:hAnsi="Arial"/>
                <w:sz w:val="18"/>
                <w:szCs w:val="18"/>
                <w:color w:val="auto"/>
              </w:rPr>
              <w:t>Ecuador – 1</w:t>
            </w:r>
          </w:p>
        </w:tc>
        <w:tc>
          <w:tcPr>
            <w:tcW w:w="900" w:type="dxa"/>
            <w:vAlign w:val="bottom"/>
          </w:tcPr>
          <w:p>
            <w:pPr>
              <w:ind w:left="760"/>
              <w:spacing w:after="0"/>
              <w:rPr>
                <w:sz w:val="20"/>
                <w:szCs w:val="20"/>
                <w:color w:val="auto"/>
              </w:rPr>
            </w:pPr>
            <w:r>
              <w:rPr>
                <w:rFonts w:ascii="Arial" w:cs="Arial" w:eastAsia="Arial" w:hAnsi="Arial"/>
                <w:sz w:val="18"/>
                <w:szCs w:val="18"/>
                <w:color w:val="BA0C2F"/>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Turkey – 16</w:t>
            </w:r>
          </w:p>
        </w:tc>
        <w:tc>
          <w:tcPr>
            <w:tcW w:w="0" w:type="dxa"/>
            <w:vAlign w:val="bottom"/>
          </w:tcPr>
          <w:p>
            <w:pPr>
              <w:spacing w:after="0"/>
              <w:rPr>
                <w:sz w:val="1"/>
                <w:szCs w:val="1"/>
                <w:color w:val="auto"/>
              </w:rPr>
            </w:pPr>
          </w:p>
        </w:tc>
      </w:tr>
      <w:tr>
        <w:trPr>
          <w:trHeight w:val="197"/>
        </w:trPr>
        <w:tc>
          <w:tcPr>
            <w:tcW w:w="120" w:type="dxa"/>
            <w:vAlign w:val="bottom"/>
          </w:tcPr>
          <w:p>
            <w:pPr>
              <w:spacing w:after="0" w:line="197" w:lineRule="exact"/>
              <w:rPr>
                <w:sz w:val="20"/>
                <w:szCs w:val="20"/>
                <w:color w:val="auto"/>
              </w:rPr>
            </w:pPr>
            <w:r>
              <w:rPr>
                <w:rFonts w:ascii="Arial" w:cs="Arial" w:eastAsia="Arial" w:hAnsi="Arial"/>
                <w:sz w:val="18"/>
                <w:szCs w:val="18"/>
                <w:color w:val="BA0C2F"/>
              </w:rPr>
              <w:t>•</w:t>
            </w:r>
          </w:p>
        </w:tc>
        <w:tc>
          <w:tcPr>
            <w:tcW w:w="1960" w:type="dxa"/>
            <w:vAlign w:val="bottom"/>
          </w:tcPr>
          <w:p>
            <w:pPr>
              <w:ind w:left="80"/>
              <w:spacing w:after="0" w:line="197" w:lineRule="exact"/>
              <w:rPr>
                <w:sz w:val="20"/>
                <w:szCs w:val="20"/>
                <w:color w:val="auto"/>
              </w:rPr>
            </w:pPr>
            <w:r>
              <w:rPr>
                <w:rFonts w:ascii="Arial" w:cs="Arial" w:eastAsia="Arial" w:hAnsi="Arial"/>
                <w:sz w:val="18"/>
                <w:szCs w:val="18"/>
                <w:color w:val="auto"/>
              </w:rPr>
              <w:t>Kenya – 1</w:t>
            </w:r>
          </w:p>
        </w:tc>
        <w:tc>
          <w:tcPr>
            <w:tcW w:w="900" w:type="dxa"/>
            <w:vAlign w:val="bottom"/>
            <w:vMerge w:val="restart"/>
          </w:tcPr>
          <w:p>
            <w:pPr>
              <w:ind w:left="760"/>
              <w:spacing w:after="0"/>
              <w:rPr>
                <w:sz w:val="20"/>
                <w:szCs w:val="20"/>
                <w:color w:val="auto"/>
              </w:rPr>
            </w:pPr>
            <w:r>
              <w:rPr>
                <w:rFonts w:ascii="Arial" w:cs="Arial" w:eastAsia="Arial" w:hAnsi="Arial"/>
                <w:sz w:val="18"/>
                <w:szCs w:val="18"/>
                <w:color w:val="BA0C2F"/>
              </w:rPr>
              <w:t>•</w:t>
            </w:r>
          </w:p>
        </w:tc>
        <w:tc>
          <w:tcPr>
            <w:tcW w:w="1240" w:type="dxa"/>
            <w:vAlign w:val="bottom"/>
            <w:vMerge w:val="restart"/>
          </w:tcPr>
          <w:p>
            <w:pPr>
              <w:ind w:left="80"/>
              <w:spacing w:after="0"/>
              <w:rPr>
                <w:sz w:val="20"/>
                <w:szCs w:val="20"/>
                <w:color w:val="auto"/>
              </w:rPr>
            </w:pPr>
            <w:r>
              <w:rPr>
                <w:rFonts w:ascii="Arial" w:cs="Arial" w:eastAsia="Arial" w:hAnsi="Arial"/>
                <w:sz w:val="18"/>
                <w:szCs w:val="18"/>
                <w:color w:val="auto"/>
                <w:w w:val="98"/>
              </w:rPr>
              <w:t>Uzbekistan – 1</w:t>
            </w:r>
          </w:p>
        </w:tc>
        <w:tc>
          <w:tcPr>
            <w:tcW w:w="0" w:type="dxa"/>
            <w:vAlign w:val="bottom"/>
          </w:tcPr>
          <w:p>
            <w:pPr>
              <w:spacing w:after="0"/>
              <w:rPr>
                <w:sz w:val="1"/>
                <w:szCs w:val="1"/>
                <w:color w:val="auto"/>
              </w:rPr>
            </w:pPr>
          </w:p>
        </w:tc>
      </w:tr>
      <w:tr>
        <w:trPr>
          <w:trHeight w:val="104"/>
        </w:trPr>
        <w:tc>
          <w:tcPr>
            <w:tcW w:w="120" w:type="dxa"/>
            <w:vAlign w:val="bottom"/>
            <w:vMerge w:val="restart"/>
          </w:tcPr>
          <w:p>
            <w:pPr>
              <w:spacing w:after="0"/>
              <w:rPr>
                <w:sz w:val="20"/>
                <w:szCs w:val="20"/>
                <w:color w:val="auto"/>
              </w:rPr>
            </w:pPr>
            <w:r>
              <w:rPr>
                <w:rFonts w:ascii="Arial" w:cs="Arial" w:eastAsia="Arial" w:hAnsi="Arial"/>
                <w:sz w:val="18"/>
                <w:szCs w:val="18"/>
                <w:color w:val="BA0C2F"/>
              </w:rPr>
              <w:t>•</w:t>
            </w:r>
          </w:p>
        </w:tc>
        <w:tc>
          <w:tcPr>
            <w:tcW w:w="1960" w:type="dxa"/>
            <w:vAlign w:val="bottom"/>
            <w:vMerge w:val="restart"/>
          </w:tcPr>
          <w:p>
            <w:pPr>
              <w:ind w:left="80"/>
              <w:spacing w:after="0"/>
              <w:rPr>
                <w:sz w:val="20"/>
                <w:szCs w:val="20"/>
                <w:color w:val="auto"/>
              </w:rPr>
            </w:pPr>
            <w:r>
              <w:rPr>
                <w:rFonts w:ascii="Arial" w:cs="Arial" w:eastAsia="Arial" w:hAnsi="Arial"/>
                <w:sz w:val="18"/>
                <w:szCs w:val="18"/>
                <w:color w:val="auto"/>
              </w:rPr>
              <w:t>Mauritius – 1</w:t>
            </w:r>
          </w:p>
        </w:tc>
        <w:tc>
          <w:tcPr>
            <w:tcW w:w="9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 w:type="dxa"/>
            <w:vAlign w:val="bottom"/>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Next, for all other non-U.S. employees paid in local non-U.S. currency, salaries were denominated in U.S. dollars by applying applicable currency exchange rates in place on December 31, 2021. This currency exchange was necessary for comparison to our CEO pay which is denominated in U.S. dollars. We then identified the median employee based on a tabulation of year-to-date earnings for all included employees on December 31, 2021, the last day of our fiscal year. To identify employees subject to the Pay Ratio Rule, we started with a total employee population of 17,185, including full-time, part-time and seasonal workers of the Company and its consolidated subsidiaries. Employees on unpaid leave of absence were excluded and wages and salaries were annualized for those fulltime employees that were not employed for the full year 2021.</w:t>
      </w:r>
    </w:p>
    <w:p>
      <w:pPr>
        <w:spacing w:after="0" w:line="7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We used total annual cash compensation as reported in our payroll systems on December 31, 2021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(the U.S.) as our CEO (in order to approximate the cost of living), was chosen from this group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1763395</wp:posOffset>
            </wp:positionV>
            <wp:extent cx="6231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hanging="282"/>
        <w:spacing w:after="0"/>
        <w:tabs>
          <w:tab w:leader="none" w:pos="720" w:val="left"/>
        </w:tabs>
        <w:numPr>
          <w:ilvl w:val="0"/>
          <w:numId w:val="6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65"/>
          <w:szCs w:val="65"/>
          <w:b w:val="1"/>
          <w:bCs w:val="1"/>
          <w:color w:val="BA0C2F"/>
        </w:rPr>
        <w:t>OTHER INFORMATION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SHARE OWNERSHIP</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SHARES OWNED BY DIRECTORS AND EXECUTIVE OFFICERS</w:t>
      </w:r>
    </w:p>
    <w:p>
      <w:pPr>
        <w:spacing w:after="0" w:line="114" w:lineRule="exact"/>
        <w:rPr>
          <w:sz w:val="20"/>
          <w:szCs w:val="20"/>
          <w:color w:val="auto"/>
        </w:rPr>
      </w:pPr>
    </w:p>
    <w:p>
      <w:pPr>
        <w:jc w:val="both"/>
        <w:ind w:left="440" w:right="120"/>
        <w:spacing w:after="0" w:line="268" w:lineRule="auto"/>
        <w:rPr>
          <w:sz w:val="20"/>
          <w:szCs w:val="20"/>
          <w:color w:val="auto"/>
        </w:rPr>
      </w:pPr>
      <w:r>
        <w:rPr>
          <w:rFonts w:ascii="Arial" w:cs="Arial" w:eastAsia="Arial" w:hAnsi="Arial"/>
          <w:sz w:val="18"/>
          <w:szCs w:val="18"/>
          <w:color w:val="auto"/>
        </w:rPr>
        <w:t>This table shows the number and percentage of ordinary shares beneficially owned by each of our current NEOs and each of our directors and all of our executive officers and directors as a group as of April 12, 2022. Each person has sole voting and investment power for the shares shown below.</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Right to</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Total Shares</w:t>
            </w:r>
          </w:p>
        </w:tc>
        <w:tc>
          <w:tcPr>
            <w:tcW w:w="46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4"/>
                <w:szCs w:val="14"/>
                <w:color w:val="auto"/>
              </w:rPr>
            </w:pPr>
          </w:p>
        </w:tc>
      </w:tr>
      <w:tr>
        <w:trPr>
          <w:trHeight w:val="198"/>
        </w:trPr>
        <w:tc>
          <w:tcPr>
            <w:tcW w:w="388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Name</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Owned</w:t>
            </w:r>
          </w:p>
        </w:tc>
        <w:tc>
          <w:tcPr>
            <w:tcW w:w="4200" w:type="dxa"/>
            <w:vAlign w:val="bottom"/>
            <w:tcBorders>
              <w:bottom w:val="single" w:sz="8" w:color="auto"/>
            </w:tcBorders>
            <w:gridSpan w:val="5"/>
          </w:tcPr>
          <w:p>
            <w:pPr>
              <w:ind w:left="8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Acquire</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Beneficially Owned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Outstanding Shares</w:t>
            </w:r>
            <w:r>
              <w:rPr>
                <w:rFonts w:ascii="Arial" w:cs="Arial" w:eastAsia="Arial" w:hAnsi="Arial"/>
                <w:sz w:val="14"/>
                <w:szCs w:val="14"/>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8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Girishchandra K. Saligram</w:t>
            </w:r>
          </w:p>
        </w:tc>
        <w:tc>
          <w:tcPr>
            <w:tcW w:w="3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gridSpan w:val="2"/>
            <w:shd w:val="clear" w:color="auto" w:fill="CCCCCC"/>
          </w:tcPr>
          <w:p>
            <w:pPr>
              <w:jc w:val="right"/>
              <w:ind w:right="192"/>
              <w:spacing w:after="0"/>
              <w:rPr>
                <w:sz w:val="20"/>
                <w:szCs w:val="20"/>
                <w:color w:val="auto"/>
              </w:rPr>
            </w:pPr>
            <w:r>
              <w:rPr>
                <w:rFonts w:ascii="Arial" w:cs="Arial" w:eastAsia="Arial" w:hAnsi="Arial"/>
                <w:sz w:val="18"/>
                <w:szCs w:val="18"/>
                <w:color w:val="auto"/>
              </w:rPr>
              <w:t>​212,569</w:t>
            </w:r>
          </w:p>
        </w:tc>
        <w:tc>
          <w:tcPr>
            <w:tcW w:w="5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shd w:val="clear" w:color="auto" w:fill="CCCCCC"/>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​212,569</w:t>
            </w:r>
          </w:p>
        </w:tc>
        <w:tc>
          <w:tcPr>
            <w:tcW w:w="46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CCCC"/>
          </w:tcPr>
          <w:p>
            <w:pPr>
              <w:jc w:val="center"/>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H. Keith Jennings</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40,229</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40,229</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Scott C. Weatherholt</w:t>
            </w:r>
          </w:p>
        </w:tc>
        <w:tc>
          <w:tcPr>
            <w:tcW w:w="3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CCCC"/>
          </w:tcPr>
          <w:p>
            <w:pPr>
              <w:jc w:val="right"/>
              <w:ind w:right="192"/>
              <w:spacing w:after="0"/>
              <w:rPr>
                <w:sz w:val="20"/>
                <w:szCs w:val="20"/>
                <w:color w:val="auto"/>
              </w:rPr>
            </w:pPr>
            <w:r>
              <w:rPr>
                <w:rFonts w:ascii="Arial" w:cs="Arial" w:eastAsia="Arial" w:hAnsi="Arial"/>
                <w:sz w:val="18"/>
                <w:szCs w:val="18"/>
                <w:color w:val="auto"/>
              </w:rPr>
              <w:t>27,686</w:t>
            </w:r>
          </w:p>
        </w:tc>
        <w:tc>
          <w:tcPr>
            <w:tcW w:w="5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shd w:val="clear" w:color="auto" w:fill="CCCCCC"/>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 27,686</w:t>
            </w:r>
          </w:p>
        </w:tc>
        <w:tc>
          <w:tcPr>
            <w:tcW w:w="46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CCCC"/>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Joseph H. Mongrain</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ind w:right="39"/>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22,566</w:t>
            </w:r>
            <w:r>
              <w:rPr>
                <w:rFonts w:ascii="Arial" w:cs="Arial" w:eastAsia="Arial" w:hAnsi="Arial"/>
                <w:sz w:val="16"/>
                <w:szCs w:val="16"/>
                <w:color w:val="auto"/>
              </w:rPr>
              <w:t xml:space="preserve"> ​​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22,566</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Desmond J. Mills</w:t>
            </w:r>
          </w:p>
        </w:tc>
        <w:tc>
          <w:tcPr>
            <w:tcW w:w="3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CCCC"/>
          </w:tcPr>
          <w:p>
            <w:pPr>
              <w:jc w:val="right"/>
              <w:ind w:right="19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shd w:val="clear" w:color="auto" w:fill="CCCCCC"/>
          </w:tcPr>
          <w:p>
            <w:pPr>
              <w:jc w:val="right"/>
              <w:ind w:right="39"/>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15,440</w:t>
            </w:r>
            <w:r>
              <w:rPr>
                <w:rFonts w:ascii="Arial" w:cs="Arial" w:eastAsia="Arial" w:hAnsi="Arial"/>
                <w:sz w:val="16"/>
                <w:szCs w:val="16"/>
                <w:color w:val="auto"/>
              </w:rPr>
              <w:t xml:space="preserve"> ​​ ​</w:t>
            </w:r>
          </w:p>
        </w:tc>
        <w:tc>
          <w:tcPr>
            <w:tcW w:w="11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 15,440</w:t>
            </w:r>
          </w:p>
        </w:tc>
        <w:tc>
          <w:tcPr>
            <w:tcW w:w="46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CCCC"/>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8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Charles M. Sledge</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43,697</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43,697</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Benjamin C. Duster, IV</w:t>
            </w:r>
          </w:p>
        </w:tc>
        <w:tc>
          <w:tcPr>
            <w:tcW w:w="3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CCCC"/>
          </w:tcPr>
          <w:p>
            <w:pPr>
              <w:jc w:val="right"/>
              <w:ind w:right="192"/>
              <w:spacing w:after="0"/>
              <w:rPr>
                <w:sz w:val="20"/>
                <w:szCs w:val="20"/>
                <w:color w:val="auto"/>
              </w:rPr>
            </w:pPr>
            <w:r>
              <w:rPr>
                <w:rFonts w:ascii="Arial" w:cs="Arial" w:eastAsia="Arial" w:hAnsi="Arial"/>
                <w:sz w:val="18"/>
                <w:szCs w:val="18"/>
                <w:color w:val="auto"/>
              </w:rPr>
              <w:t>29,929</w:t>
            </w:r>
          </w:p>
        </w:tc>
        <w:tc>
          <w:tcPr>
            <w:tcW w:w="5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shd w:val="clear" w:color="auto" w:fill="CCCCCC"/>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 29,929</w:t>
            </w:r>
          </w:p>
        </w:tc>
        <w:tc>
          <w:tcPr>
            <w:tcW w:w="46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CCCC"/>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Neal P. Goldman</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29,929</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29,929</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8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Jacqueline Mutschler</w:t>
            </w:r>
          </w:p>
        </w:tc>
        <w:tc>
          <w:tcPr>
            <w:tcW w:w="3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CCCC"/>
          </w:tcPr>
          <w:p>
            <w:pPr>
              <w:jc w:val="right"/>
              <w:ind w:right="192"/>
              <w:spacing w:after="0"/>
              <w:rPr>
                <w:sz w:val="20"/>
                <w:szCs w:val="20"/>
                <w:color w:val="auto"/>
              </w:rPr>
            </w:pPr>
            <w:r>
              <w:rPr>
                <w:rFonts w:ascii="Arial" w:cs="Arial" w:eastAsia="Arial" w:hAnsi="Arial"/>
                <w:sz w:val="18"/>
                <w:szCs w:val="18"/>
                <w:color w:val="auto"/>
              </w:rPr>
              <w:t>29,929</w:t>
            </w:r>
          </w:p>
        </w:tc>
        <w:tc>
          <w:tcPr>
            <w:tcW w:w="5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 ​ ​</w:t>
            </w:r>
          </w:p>
        </w:tc>
        <w:tc>
          <w:tcPr>
            <w:tcW w:w="740" w:type="dxa"/>
            <w:vAlign w:val="bottom"/>
            <w:tcBorders>
              <w:bottom w:val="single" w:sz="8" w:color="auto"/>
            </w:tcBorders>
            <w:shd w:val="clear" w:color="auto" w:fill="CCCCCC"/>
          </w:tcPr>
          <w:p>
            <w:pPr>
              <w:jc w:val="right"/>
              <w:ind w:right="39"/>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11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 29,929</w:t>
            </w:r>
          </w:p>
        </w:tc>
        <w:tc>
          <w:tcPr>
            <w:tcW w:w="46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CCCC"/>
          </w:tcPr>
          <w:p>
            <w:pPr>
              <w:jc w:val="center"/>
              <w:ind w:right="18"/>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880" w:type="dxa"/>
            <w:vAlign w:val="bottom"/>
          </w:tcPr>
          <w:p>
            <w:pPr>
              <w:ind w:left="100"/>
              <w:spacing w:after="0"/>
              <w:rPr>
                <w:sz w:val="20"/>
                <w:szCs w:val="20"/>
                <w:color w:val="auto"/>
              </w:rPr>
            </w:pPr>
            <w:r>
              <w:rPr>
                <w:rFonts w:ascii="Arial" w:cs="Arial" w:eastAsia="Arial" w:hAnsi="Arial"/>
                <w:sz w:val="18"/>
                <w:szCs w:val="18"/>
                <w:color w:val="auto"/>
              </w:rPr>
              <w:t>All directors and executive officers as a group</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6"/>
        </w:trPr>
        <w:tc>
          <w:tcPr>
            <w:tcW w:w="3880" w:type="dxa"/>
            <w:vAlign w:val="bottom"/>
            <w:tcBorders>
              <w:bottom w:val="single" w:sz="8" w:color="auto"/>
            </w:tcBorders>
          </w:tcPr>
          <w:p>
            <w:pPr>
              <w:ind w:left="40"/>
              <w:spacing w:after="0" w:line="288"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(9 persons)</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​413,968</w:t>
            </w:r>
          </w:p>
        </w:tc>
        <w:tc>
          <w:tcPr>
            <w:tcW w:w="1260" w:type="dxa"/>
            <w:vAlign w:val="bottom"/>
            <w:tcBorders>
              <w:bottom w:val="single" w:sz="8" w:color="auto"/>
            </w:tcBorders>
            <w:gridSpan w:val="2"/>
          </w:tcPr>
          <w:p>
            <w:pPr>
              <w:jc w:val="right"/>
              <w:ind w:right="39"/>
              <w:spacing w:after="0" w:line="288" w:lineRule="exact"/>
              <w:rPr>
                <w:sz w:val="20"/>
                <w:szCs w:val="20"/>
                <w:color w:val="auto"/>
              </w:rPr>
            </w:pPr>
            <w:r>
              <w:rPr>
                <w:rFonts w:ascii="Arial" w:cs="Arial" w:eastAsia="Arial" w:hAnsi="Arial"/>
                <w:sz w:val="17"/>
                <w:szCs w:val="17"/>
                <w:color w:val="auto"/>
              </w:rPr>
              <w:t>​​ ​ ​</w:t>
            </w:r>
            <w:r>
              <w:rPr>
                <w:rFonts w:ascii="Arial" w:cs="Arial" w:eastAsia="Arial" w:hAnsi="Arial"/>
                <w:sz w:val="33"/>
                <w:szCs w:val="33"/>
                <w:color w:val="auto"/>
                <w:vertAlign w:val="superscript"/>
              </w:rPr>
              <w:t>38,006</w:t>
            </w:r>
            <w:r>
              <w:rPr>
                <w:rFonts w:ascii="Arial" w:cs="Arial" w:eastAsia="Arial" w:hAnsi="Arial"/>
                <w:sz w:val="17"/>
                <w:szCs w:val="17"/>
                <w:color w:val="auto"/>
              </w:rPr>
              <w:t xml:space="preserve"> ​​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​451,974</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72" w:lineRule="exact"/>
        <w:rPr>
          <w:sz w:val="20"/>
          <w:szCs w:val="20"/>
          <w:color w:val="auto"/>
        </w:rPr>
      </w:pPr>
    </w:p>
    <w:p>
      <w:pPr>
        <w:ind w:left="800" w:hanging="362"/>
        <w:spacing w:after="0"/>
        <w:tabs>
          <w:tab w:leader="none" w:pos="800" w:val="left"/>
        </w:tabs>
        <w:numPr>
          <w:ilvl w:val="0"/>
          <w:numId w:val="66"/>
        </w:numPr>
        <w:rPr>
          <w:rFonts w:ascii="Arial" w:cs="Arial" w:eastAsia="Arial" w:hAnsi="Arial"/>
          <w:sz w:val="14"/>
          <w:szCs w:val="14"/>
          <w:color w:val="BA0C2F"/>
        </w:rPr>
      </w:pPr>
      <w:r>
        <w:rPr>
          <w:rFonts w:ascii="Arial" w:cs="Arial" w:eastAsia="Arial" w:hAnsi="Arial"/>
          <w:sz w:val="14"/>
          <w:szCs w:val="14"/>
          <w:color w:val="auto"/>
        </w:rPr>
        <w:t>Less than 1%.</w:t>
      </w:r>
    </w:p>
    <w:p>
      <w:pPr>
        <w:ind w:left="800" w:hanging="362"/>
        <w:spacing w:after="0" w:line="194" w:lineRule="auto"/>
        <w:tabs>
          <w:tab w:leader="none" w:pos="800" w:val="left"/>
        </w:tabs>
        <w:numPr>
          <w:ilvl w:val="0"/>
          <w:numId w:val="67"/>
        </w:numPr>
        <w:rPr>
          <w:rFonts w:ascii="Arial" w:cs="Arial" w:eastAsia="Arial" w:hAnsi="Arial"/>
          <w:sz w:val="22"/>
          <w:szCs w:val="22"/>
          <w:color w:val="BA0C2F"/>
          <w:vertAlign w:val="superscript"/>
        </w:rPr>
      </w:pPr>
      <w:r>
        <w:rPr>
          <w:rFonts w:ascii="Arial" w:cs="Arial" w:eastAsia="Arial" w:hAnsi="Arial"/>
          <w:sz w:val="14"/>
          <w:szCs w:val="14"/>
          <w:color w:val="auto"/>
        </w:rPr>
        <w:t>Includes ordinary shares that can be acquired through RSUs that will vest on April 15, 2022.</w:t>
      </w:r>
    </w:p>
    <w:p>
      <w:pPr>
        <w:spacing w:after="0" w:line="26" w:lineRule="exact"/>
        <w:rPr>
          <w:rFonts w:ascii="Arial" w:cs="Arial" w:eastAsia="Arial" w:hAnsi="Arial"/>
          <w:sz w:val="22"/>
          <w:szCs w:val="22"/>
          <w:color w:val="BA0C2F"/>
          <w:vertAlign w:val="superscript"/>
        </w:rPr>
      </w:pPr>
    </w:p>
    <w:p>
      <w:pPr>
        <w:ind w:left="800" w:hanging="362"/>
        <w:spacing w:after="0" w:line="183" w:lineRule="auto"/>
        <w:tabs>
          <w:tab w:leader="none" w:pos="800" w:val="left"/>
        </w:tabs>
        <w:numPr>
          <w:ilvl w:val="0"/>
          <w:numId w:val="67"/>
        </w:numPr>
        <w:rPr>
          <w:rFonts w:ascii="Arial" w:cs="Arial" w:eastAsia="Arial" w:hAnsi="Arial"/>
          <w:sz w:val="20"/>
          <w:szCs w:val="20"/>
          <w:color w:val="BA0C2F"/>
          <w:vertAlign w:val="superscript"/>
        </w:rPr>
      </w:pPr>
      <w:r>
        <w:rPr>
          <w:rFonts w:ascii="Arial" w:cs="Arial" w:eastAsia="Arial" w:hAnsi="Arial"/>
          <w:sz w:val="14"/>
          <w:szCs w:val="14"/>
          <w:color w:val="auto"/>
        </w:rPr>
        <w:t>The percentage indicated is based on 70,493,949 outstanding shares as of 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3288665</wp:posOffset>
            </wp:positionV>
            <wp:extent cx="6231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OTHER INFORMATION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SHARES OWNED BY CERTAIN BENEFICIAL HOLDERS</w:t>
      </w:r>
    </w:p>
    <w:p>
      <w:pPr>
        <w:spacing w:after="0" w:line="114" w:lineRule="exact"/>
        <w:rPr>
          <w:sz w:val="20"/>
          <w:szCs w:val="20"/>
          <w:color w:val="auto"/>
        </w:rPr>
      </w:pPr>
    </w:p>
    <w:p>
      <w:pPr>
        <w:ind w:left="440" w:right="100"/>
        <w:spacing w:after="0" w:line="268" w:lineRule="auto"/>
        <w:rPr>
          <w:sz w:val="20"/>
          <w:szCs w:val="20"/>
          <w:color w:val="auto"/>
        </w:rPr>
      </w:pPr>
      <w:r>
        <w:rPr>
          <w:rFonts w:ascii="Arial" w:cs="Arial" w:eastAsia="Arial" w:hAnsi="Arial"/>
          <w:sz w:val="18"/>
          <w:szCs w:val="18"/>
          <w:color w:val="auto"/>
        </w:rPr>
        <w:t>This table shows information for each person who may be deemed to beneficially own 5% or more of our outstanding ordinary shares as of April 18, 2022, as contained in filings made by the shareholder with the SEC or as otherwise set forth below.</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Outstanding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880" w:type="dxa"/>
            <w:vAlign w:val="bottom"/>
            <w:tcBorders>
              <w:bottom w:val="single" w:sz="8" w:color="auto"/>
            </w:tcBorders>
            <w:gridSpan w:val="2"/>
          </w:tcPr>
          <w:p>
            <w:pPr>
              <w:ind w:left="40"/>
              <w:spacing w:after="0" w:line="211"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Name and Address of Beneficial Owner</w:t>
            </w:r>
          </w:p>
        </w:tc>
        <w:tc>
          <w:tcPr>
            <w:tcW w:w="1920" w:type="dxa"/>
            <w:vAlign w:val="bottom"/>
            <w:tcBorders>
              <w:bottom w:val="single" w:sz="8" w:color="auto"/>
            </w:tcBorders>
            <w:gridSpan w:val="3"/>
          </w:tcPr>
          <w:p>
            <w:pPr>
              <w:ind w:left="28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Number of Shares </w:t>
            </w:r>
            <w:r>
              <w:rPr>
                <w:rFonts w:ascii="Arial" w:cs="Arial" w:eastAsia="Arial" w:hAnsi="Arial"/>
                <w:sz w:val="24"/>
                <w:szCs w:val="24"/>
                <w:b w:val="1"/>
                <w:bCs w:val="1"/>
                <w:color w:val="auto"/>
                <w:vertAlign w:val="subscript"/>
              </w:rPr>
              <w:t>​ ​</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6880" w:type="dxa"/>
            <w:vAlign w:val="bottom"/>
            <w:gridSpan w:val="2"/>
            <w:shd w:val="clear" w:color="auto" w:fill="CCCCCC"/>
          </w:tcPr>
          <w:p>
            <w:pPr>
              <w:ind w:left="100"/>
              <w:spacing w:after="0" w:line="204" w:lineRule="exact"/>
              <w:rPr>
                <w:sz w:val="20"/>
                <w:szCs w:val="20"/>
                <w:color w:val="auto"/>
              </w:rPr>
            </w:pPr>
            <w:r>
              <w:rPr>
                <w:rFonts w:ascii="Arial" w:cs="Arial" w:eastAsia="Arial" w:hAnsi="Arial"/>
                <w:sz w:val="18"/>
                <w:szCs w:val="18"/>
                <w:color w:val="auto"/>
              </w:rPr>
              <w:t>Franklin Resources, Inc.</w:t>
            </w:r>
          </w:p>
        </w:tc>
        <w:tc>
          <w:tcPr>
            <w:tcW w:w="520" w:type="dxa"/>
            <w:vAlign w:val="bottom"/>
            <w:shd w:val="clear" w:color="auto" w:fill="CCCCCC"/>
          </w:tcPr>
          <w:p>
            <w:pPr>
              <w:spacing w:after="0"/>
              <w:rPr>
                <w:sz w:val="17"/>
                <w:szCs w:val="17"/>
                <w:color w:val="auto"/>
              </w:rPr>
            </w:pPr>
          </w:p>
        </w:tc>
        <w:tc>
          <w:tcPr>
            <w:tcW w:w="1120" w:type="dxa"/>
            <w:vAlign w:val="bottom"/>
            <w:shd w:val="clear" w:color="auto" w:fill="CCCCCC"/>
          </w:tcPr>
          <w:p>
            <w:pPr>
              <w:spacing w:after="0"/>
              <w:rPr>
                <w:sz w:val="17"/>
                <w:szCs w:val="17"/>
                <w:color w:val="auto"/>
              </w:rPr>
            </w:pPr>
          </w:p>
        </w:tc>
        <w:tc>
          <w:tcPr>
            <w:tcW w:w="280" w:type="dxa"/>
            <w:vAlign w:val="bottom"/>
            <w:shd w:val="clear" w:color="auto" w:fill="CCCCCC"/>
          </w:tcPr>
          <w:p>
            <w:pPr>
              <w:spacing w:after="0"/>
              <w:rPr>
                <w:sz w:val="17"/>
                <w:szCs w:val="17"/>
                <w:color w:val="auto"/>
              </w:rPr>
            </w:pPr>
          </w:p>
        </w:tc>
        <w:tc>
          <w:tcPr>
            <w:tcW w:w="86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CCCC"/>
          </w:tcPr>
          <w:p>
            <w:pPr>
              <w:spacing w:after="0"/>
              <w:rPr>
                <w:sz w:val="18"/>
                <w:szCs w:val="18"/>
                <w:color w:val="auto"/>
              </w:rPr>
            </w:pPr>
          </w:p>
        </w:tc>
        <w:tc>
          <w:tcPr>
            <w:tcW w:w="6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One Franklin Parkway</w:t>
            </w:r>
          </w:p>
        </w:tc>
        <w:tc>
          <w:tcPr>
            <w:tcW w:w="520" w:type="dxa"/>
            <w:vAlign w:val="bottom"/>
            <w:shd w:val="clear" w:color="auto" w:fill="CCCCCC"/>
          </w:tcPr>
          <w:p>
            <w:pPr>
              <w:spacing w:after="0"/>
              <w:rPr>
                <w:sz w:val="18"/>
                <w:szCs w:val="18"/>
                <w:color w:val="auto"/>
              </w:rPr>
            </w:pPr>
          </w:p>
        </w:tc>
        <w:tc>
          <w:tcPr>
            <w:tcW w:w="112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6,972,399</w:t>
            </w:r>
            <w:r>
              <w:rPr>
                <w:rFonts w:ascii="Arial" w:cs="Arial" w:eastAsia="Arial" w:hAnsi="Arial"/>
                <w:sz w:val="23"/>
                <w:szCs w:val="23"/>
                <w:color w:val="auto"/>
                <w:vertAlign w:val="superscript"/>
              </w:rPr>
              <w:t>(2)</w:t>
            </w:r>
          </w:p>
        </w:tc>
        <w:tc>
          <w:tcPr>
            <w:tcW w:w="28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CCCC"/>
          </w:tcPr>
          <w:p>
            <w:pPr>
              <w:ind w:left="100"/>
              <w:spacing w:after="0" w:line="181" w:lineRule="exact"/>
              <w:rPr>
                <w:sz w:val="20"/>
                <w:szCs w:val="20"/>
                <w:color w:val="auto"/>
              </w:rPr>
            </w:pPr>
            <w:r>
              <w:rPr>
                <w:rFonts w:ascii="Arial" w:cs="Arial" w:eastAsia="Arial" w:hAnsi="Arial"/>
                <w:sz w:val="18"/>
                <w:szCs w:val="18"/>
                <w:color w:val="auto"/>
              </w:rPr>
              <w:t>San Mateo, CA 94403-1906</w:t>
            </w:r>
          </w:p>
        </w:tc>
        <w:tc>
          <w:tcPr>
            <w:tcW w:w="520" w:type="dxa"/>
            <w:vAlign w:val="bottom"/>
            <w:vMerge w:val="restart"/>
            <w:shd w:val="clear" w:color="auto" w:fill="CCCCCC"/>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shd w:val="clear" w:color="auto" w:fill="CCCCCC"/>
          </w:tcPr>
          <w:p>
            <w:pPr>
              <w:spacing w:after="0"/>
              <w:rPr>
                <w:sz w:val="15"/>
                <w:szCs w:val="15"/>
                <w:color w:val="auto"/>
              </w:rPr>
            </w:pPr>
          </w:p>
        </w:tc>
        <w:tc>
          <w:tcPr>
            <w:tcW w:w="280" w:type="dxa"/>
            <w:vAlign w:val="bottom"/>
            <w:vMerge w:val="restart"/>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shd w:val="clear" w:color="auto" w:fill="CCCC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9.89%</w:t>
            </w:r>
          </w:p>
        </w:tc>
        <w:tc>
          <w:tcPr>
            <w:tcW w:w="1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shd w:val="clear" w:color="auto" w:fill="CCCCCC"/>
          </w:tcPr>
          <w:p>
            <w:pPr>
              <w:spacing w:after="0"/>
              <w:rPr>
                <w:sz w:val="7"/>
                <w:szCs w:val="7"/>
                <w:color w:val="auto"/>
              </w:rPr>
            </w:pPr>
          </w:p>
        </w:tc>
        <w:tc>
          <w:tcPr>
            <w:tcW w:w="6700" w:type="dxa"/>
            <w:vAlign w:val="bottom"/>
            <w:tcBorders>
              <w:bottom w:val="single" w:sz="8" w:color="auto"/>
            </w:tcBorders>
            <w:shd w:val="clear" w:color="auto" w:fill="CCCCCC"/>
          </w:tcPr>
          <w:p>
            <w:pPr>
              <w:spacing w:after="0"/>
              <w:rPr>
                <w:sz w:val="7"/>
                <w:szCs w:val="7"/>
                <w:color w:val="auto"/>
              </w:rPr>
            </w:pPr>
          </w:p>
        </w:tc>
        <w:tc>
          <w:tcPr>
            <w:tcW w:w="520" w:type="dxa"/>
            <w:vAlign w:val="bottom"/>
            <w:tcBorders>
              <w:bottom w:val="single" w:sz="8" w:color="auto"/>
            </w:tcBorders>
            <w:vMerge w:val="continue"/>
            <w:shd w:val="clear" w:color="auto" w:fill="CCCCCC"/>
          </w:tcPr>
          <w:p>
            <w:pPr>
              <w:spacing w:after="0"/>
              <w:rPr>
                <w:sz w:val="7"/>
                <w:szCs w:val="7"/>
                <w:color w:val="auto"/>
              </w:rPr>
            </w:pPr>
          </w:p>
        </w:tc>
        <w:tc>
          <w:tcPr>
            <w:tcW w:w="1120" w:type="dxa"/>
            <w:vAlign w:val="bottom"/>
            <w:tcBorders>
              <w:bottom w:val="single" w:sz="8" w:color="auto"/>
            </w:tcBorders>
            <w:shd w:val="clear" w:color="auto" w:fill="CCCCCC"/>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shd w:val="clear" w:color="auto" w:fill="CCCCCC"/>
          </w:tcPr>
          <w:p>
            <w:pPr>
              <w:spacing w:after="0"/>
              <w:rPr>
                <w:sz w:val="7"/>
                <w:szCs w:val="7"/>
                <w:color w:val="auto"/>
              </w:rPr>
            </w:pPr>
          </w:p>
        </w:tc>
        <w:tc>
          <w:tcPr>
            <w:tcW w:w="860" w:type="dxa"/>
            <w:vAlign w:val="bottom"/>
            <w:tcBorders>
              <w:bottom w:val="single" w:sz="8" w:color="auto"/>
            </w:tcBorders>
            <w:vMerge w:val="continue"/>
            <w:shd w:val="clear" w:color="auto" w:fill="CCCCCC"/>
          </w:tcPr>
          <w:p>
            <w:pPr>
              <w:spacing w:after="0"/>
              <w:rPr>
                <w:sz w:val="7"/>
                <w:szCs w:val="7"/>
                <w:color w:val="auto"/>
              </w:rPr>
            </w:pPr>
          </w:p>
        </w:tc>
        <w:tc>
          <w:tcPr>
            <w:tcW w:w="140" w:type="dxa"/>
            <w:vAlign w:val="bottom"/>
            <w:tcBorders>
              <w:bottom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Oaktree Capital Management, L.P.</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333 S. Grand Avenue</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6700" w:type="dxa"/>
            <w:vAlign w:val="bottom"/>
          </w:tcPr>
          <w:p>
            <w:pPr>
              <w:ind w:left="100"/>
              <w:spacing w:after="0" w:line="245" w:lineRule="exact"/>
              <w:rPr>
                <w:sz w:val="20"/>
                <w:szCs w:val="20"/>
                <w:color w:val="auto"/>
              </w:rPr>
            </w:pPr>
            <w:r>
              <w:rPr>
                <w:rFonts w:ascii="Arial" w:cs="Arial" w:eastAsia="Arial" w:hAnsi="Arial"/>
                <w:sz w:val="18"/>
                <w:szCs w:val="18"/>
                <w:color w:val="auto"/>
              </w:rPr>
              <w:t>28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520" w:type="dxa"/>
            <w:vAlign w:val="bottom"/>
          </w:tcPr>
          <w:p>
            <w:pPr>
              <w:spacing w:after="0"/>
              <w:rPr>
                <w:sz w:val="21"/>
                <w:szCs w:val="21"/>
                <w:color w:val="auto"/>
              </w:rPr>
            </w:pP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6,108,916</w:t>
            </w:r>
            <w:r>
              <w:rPr>
                <w:rFonts w:ascii="Arial" w:cs="Arial" w:eastAsia="Arial" w:hAnsi="Arial"/>
                <w:sz w:val="23"/>
                <w:szCs w:val="23"/>
                <w:color w:val="auto"/>
                <w:vertAlign w:val="superscript"/>
              </w:rPr>
              <w:t>(3)</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Los Angeles, CA 90071</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8.67%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shd w:val="clear" w:color="auto" w:fill="CCCCCC"/>
          </w:tcPr>
          <w:p>
            <w:pPr>
              <w:ind w:left="100"/>
              <w:spacing w:after="0" w:line="204" w:lineRule="exact"/>
              <w:rPr>
                <w:sz w:val="20"/>
                <w:szCs w:val="20"/>
                <w:color w:val="auto"/>
              </w:rPr>
            </w:pPr>
            <w:r>
              <w:rPr>
                <w:rFonts w:ascii="Arial" w:cs="Arial" w:eastAsia="Arial" w:hAnsi="Arial"/>
                <w:sz w:val="18"/>
                <w:szCs w:val="18"/>
                <w:color w:val="auto"/>
              </w:rPr>
              <w:t>Oak Hill Advisors, L.P.</w:t>
            </w:r>
          </w:p>
        </w:tc>
        <w:tc>
          <w:tcPr>
            <w:tcW w:w="520" w:type="dxa"/>
            <w:vAlign w:val="bottom"/>
            <w:shd w:val="clear" w:color="auto" w:fill="CCCCCC"/>
          </w:tcPr>
          <w:p>
            <w:pPr>
              <w:spacing w:after="0"/>
              <w:rPr>
                <w:sz w:val="17"/>
                <w:szCs w:val="17"/>
                <w:color w:val="auto"/>
              </w:rPr>
            </w:pPr>
          </w:p>
        </w:tc>
        <w:tc>
          <w:tcPr>
            <w:tcW w:w="1120" w:type="dxa"/>
            <w:vAlign w:val="bottom"/>
            <w:shd w:val="clear" w:color="auto" w:fill="CCCCCC"/>
          </w:tcPr>
          <w:p>
            <w:pPr>
              <w:spacing w:after="0"/>
              <w:rPr>
                <w:sz w:val="17"/>
                <w:szCs w:val="17"/>
                <w:color w:val="auto"/>
              </w:rPr>
            </w:pPr>
          </w:p>
        </w:tc>
        <w:tc>
          <w:tcPr>
            <w:tcW w:w="280" w:type="dxa"/>
            <w:vAlign w:val="bottom"/>
            <w:shd w:val="clear" w:color="auto" w:fill="CCCCCC"/>
          </w:tcPr>
          <w:p>
            <w:pPr>
              <w:spacing w:after="0"/>
              <w:rPr>
                <w:sz w:val="17"/>
                <w:szCs w:val="17"/>
                <w:color w:val="auto"/>
              </w:rPr>
            </w:pPr>
          </w:p>
        </w:tc>
        <w:tc>
          <w:tcPr>
            <w:tcW w:w="86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 w:type="dxa"/>
            <w:vAlign w:val="bottom"/>
            <w:shd w:val="clear" w:color="auto" w:fill="CCCCCC"/>
          </w:tcPr>
          <w:p>
            <w:pPr>
              <w:spacing w:after="0"/>
              <w:rPr>
                <w:sz w:val="18"/>
                <w:szCs w:val="18"/>
                <w:color w:val="auto"/>
              </w:rPr>
            </w:pPr>
          </w:p>
        </w:tc>
        <w:tc>
          <w:tcPr>
            <w:tcW w:w="6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One Vanderbilt Avenue</w:t>
            </w:r>
          </w:p>
        </w:tc>
        <w:tc>
          <w:tcPr>
            <w:tcW w:w="520" w:type="dxa"/>
            <w:vAlign w:val="bottom"/>
            <w:shd w:val="clear" w:color="auto" w:fill="CCCCCC"/>
          </w:tcPr>
          <w:p>
            <w:pPr>
              <w:spacing w:after="0"/>
              <w:rPr>
                <w:sz w:val="18"/>
                <w:szCs w:val="18"/>
                <w:color w:val="auto"/>
              </w:rPr>
            </w:pPr>
          </w:p>
        </w:tc>
        <w:tc>
          <w:tcPr>
            <w:tcW w:w="112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0" w:type="dxa"/>
            <w:vAlign w:val="bottom"/>
            <w:shd w:val="clear" w:color="auto" w:fill="CCCCCC"/>
          </w:tcPr>
          <w:p>
            <w:pPr>
              <w:spacing w:after="0"/>
              <w:rPr>
                <w:sz w:val="21"/>
                <w:szCs w:val="21"/>
                <w:color w:val="auto"/>
              </w:rPr>
            </w:pPr>
          </w:p>
        </w:tc>
        <w:tc>
          <w:tcPr>
            <w:tcW w:w="6700" w:type="dxa"/>
            <w:vAlign w:val="bottom"/>
            <w:shd w:val="clear" w:color="auto" w:fill="CCCCCC"/>
          </w:tcPr>
          <w:p>
            <w:pPr>
              <w:ind w:left="100"/>
              <w:spacing w:after="0" w:line="245" w:lineRule="exact"/>
              <w:rPr>
                <w:sz w:val="20"/>
                <w:szCs w:val="20"/>
                <w:color w:val="auto"/>
              </w:rPr>
            </w:pPr>
            <w:r>
              <w:rPr>
                <w:rFonts w:ascii="Arial" w:cs="Arial" w:eastAsia="Arial" w:hAnsi="Arial"/>
                <w:sz w:val="18"/>
                <w:szCs w:val="18"/>
                <w:color w:val="auto"/>
              </w:rPr>
              <w:t>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520" w:type="dxa"/>
            <w:vAlign w:val="bottom"/>
            <w:shd w:val="clear" w:color="auto" w:fill="CCCCCC"/>
          </w:tcPr>
          <w:p>
            <w:pPr>
              <w:spacing w:after="0"/>
              <w:rPr>
                <w:sz w:val="21"/>
                <w:szCs w:val="21"/>
                <w:color w:val="auto"/>
              </w:rPr>
            </w:pPr>
          </w:p>
        </w:tc>
        <w:tc>
          <w:tcPr>
            <w:tcW w:w="112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5,750,407</w:t>
            </w:r>
            <w:r>
              <w:rPr>
                <w:rFonts w:ascii="Arial" w:cs="Arial" w:eastAsia="Arial" w:hAnsi="Arial"/>
                <w:sz w:val="23"/>
                <w:szCs w:val="23"/>
                <w:color w:val="auto"/>
                <w:vertAlign w:val="superscript"/>
              </w:rPr>
              <w:t>(4)</w:t>
            </w:r>
          </w:p>
        </w:tc>
        <w:tc>
          <w:tcPr>
            <w:tcW w:w="280" w:type="dxa"/>
            <w:vAlign w:val="bottom"/>
            <w:shd w:val="clear" w:color="auto" w:fill="CCCCCC"/>
          </w:tcPr>
          <w:p>
            <w:pPr>
              <w:spacing w:after="0"/>
              <w:rPr>
                <w:sz w:val="21"/>
                <w:szCs w:val="21"/>
                <w:color w:val="auto"/>
              </w:rPr>
            </w:pPr>
          </w:p>
        </w:tc>
        <w:tc>
          <w:tcPr>
            <w:tcW w:w="860" w:type="dxa"/>
            <w:vAlign w:val="bottom"/>
            <w:shd w:val="clear" w:color="auto" w:fill="CCCCCC"/>
          </w:tcPr>
          <w:p>
            <w:pPr>
              <w:spacing w:after="0"/>
              <w:rPr>
                <w:sz w:val="21"/>
                <w:szCs w:val="21"/>
                <w:color w:val="auto"/>
              </w:rPr>
            </w:pPr>
          </w:p>
        </w:tc>
        <w:tc>
          <w:tcPr>
            <w:tcW w:w="14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CCCC"/>
          </w:tcPr>
          <w:p>
            <w:pPr>
              <w:ind w:left="100"/>
              <w:spacing w:after="0" w:line="181" w:lineRule="exact"/>
              <w:rPr>
                <w:sz w:val="20"/>
                <w:szCs w:val="20"/>
                <w:color w:val="auto"/>
              </w:rPr>
            </w:pPr>
            <w:r>
              <w:rPr>
                <w:rFonts w:ascii="Arial" w:cs="Arial" w:eastAsia="Arial" w:hAnsi="Arial"/>
                <w:sz w:val="18"/>
                <w:szCs w:val="18"/>
                <w:color w:val="auto"/>
              </w:rPr>
              <w:t>New York, NY 10017</w:t>
            </w:r>
          </w:p>
        </w:tc>
        <w:tc>
          <w:tcPr>
            <w:tcW w:w="520" w:type="dxa"/>
            <w:vAlign w:val="bottom"/>
            <w:vMerge w:val="restart"/>
            <w:shd w:val="clear" w:color="auto" w:fill="CCCCCC"/>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shd w:val="clear" w:color="auto" w:fill="CCCCCC"/>
          </w:tcPr>
          <w:p>
            <w:pPr>
              <w:spacing w:after="0"/>
              <w:rPr>
                <w:sz w:val="15"/>
                <w:szCs w:val="15"/>
                <w:color w:val="auto"/>
              </w:rPr>
            </w:pPr>
          </w:p>
        </w:tc>
        <w:tc>
          <w:tcPr>
            <w:tcW w:w="280" w:type="dxa"/>
            <w:vAlign w:val="bottom"/>
            <w:vMerge w:val="restart"/>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shd w:val="clear" w:color="auto" w:fill="CCCC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8.16%</w:t>
            </w:r>
          </w:p>
        </w:tc>
        <w:tc>
          <w:tcPr>
            <w:tcW w:w="1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shd w:val="clear" w:color="auto" w:fill="CCCCCC"/>
          </w:tcPr>
          <w:p>
            <w:pPr>
              <w:spacing w:after="0"/>
              <w:rPr>
                <w:sz w:val="7"/>
                <w:szCs w:val="7"/>
                <w:color w:val="auto"/>
              </w:rPr>
            </w:pPr>
          </w:p>
        </w:tc>
        <w:tc>
          <w:tcPr>
            <w:tcW w:w="6700" w:type="dxa"/>
            <w:vAlign w:val="bottom"/>
            <w:tcBorders>
              <w:bottom w:val="single" w:sz="8" w:color="auto"/>
            </w:tcBorders>
            <w:shd w:val="clear" w:color="auto" w:fill="CCCCCC"/>
          </w:tcPr>
          <w:p>
            <w:pPr>
              <w:spacing w:after="0"/>
              <w:rPr>
                <w:sz w:val="7"/>
                <w:szCs w:val="7"/>
                <w:color w:val="auto"/>
              </w:rPr>
            </w:pPr>
          </w:p>
        </w:tc>
        <w:tc>
          <w:tcPr>
            <w:tcW w:w="520" w:type="dxa"/>
            <w:vAlign w:val="bottom"/>
            <w:tcBorders>
              <w:bottom w:val="single" w:sz="8" w:color="auto"/>
            </w:tcBorders>
            <w:vMerge w:val="continue"/>
            <w:shd w:val="clear" w:color="auto" w:fill="CCCCCC"/>
          </w:tcPr>
          <w:p>
            <w:pPr>
              <w:spacing w:after="0"/>
              <w:rPr>
                <w:sz w:val="7"/>
                <w:szCs w:val="7"/>
                <w:color w:val="auto"/>
              </w:rPr>
            </w:pPr>
          </w:p>
        </w:tc>
        <w:tc>
          <w:tcPr>
            <w:tcW w:w="1120" w:type="dxa"/>
            <w:vAlign w:val="bottom"/>
            <w:tcBorders>
              <w:bottom w:val="single" w:sz="8" w:color="auto"/>
            </w:tcBorders>
            <w:shd w:val="clear" w:color="auto" w:fill="CCCCCC"/>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shd w:val="clear" w:color="auto" w:fill="CCCCCC"/>
          </w:tcPr>
          <w:p>
            <w:pPr>
              <w:spacing w:after="0"/>
              <w:rPr>
                <w:sz w:val="7"/>
                <w:szCs w:val="7"/>
                <w:color w:val="auto"/>
              </w:rPr>
            </w:pPr>
          </w:p>
        </w:tc>
        <w:tc>
          <w:tcPr>
            <w:tcW w:w="860" w:type="dxa"/>
            <w:vAlign w:val="bottom"/>
            <w:tcBorders>
              <w:bottom w:val="single" w:sz="8" w:color="auto"/>
            </w:tcBorders>
            <w:vMerge w:val="continue"/>
            <w:shd w:val="clear" w:color="auto" w:fill="CCCCCC"/>
          </w:tcPr>
          <w:p>
            <w:pPr>
              <w:spacing w:after="0"/>
              <w:rPr>
                <w:sz w:val="7"/>
                <w:szCs w:val="7"/>
                <w:color w:val="auto"/>
              </w:rPr>
            </w:pPr>
          </w:p>
        </w:tc>
        <w:tc>
          <w:tcPr>
            <w:tcW w:w="140" w:type="dxa"/>
            <w:vAlign w:val="bottom"/>
            <w:tcBorders>
              <w:bottom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Yacktman Asset Management LP</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6300 Bridgepoint Parkway</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Building One, Suite 500</w:t>
            </w:r>
          </w:p>
        </w:tc>
        <w:tc>
          <w:tcPr>
            <w:tcW w:w="520" w:type="dxa"/>
            <w:vAlign w:val="bottom"/>
          </w:tcPr>
          <w:p>
            <w:pPr>
              <w:spacing w:after="0"/>
              <w:rPr>
                <w:sz w:val="19"/>
                <w:szCs w:val="19"/>
                <w:color w:val="auto"/>
              </w:rPr>
            </w:pP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5,735,000</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Austin, TX 78730</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8.14%</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shd w:val="clear" w:color="auto" w:fill="CCCCCC"/>
          </w:tcPr>
          <w:p>
            <w:pPr>
              <w:ind w:left="100"/>
              <w:spacing w:after="0" w:line="204" w:lineRule="exact"/>
              <w:rPr>
                <w:sz w:val="20"/>
                <w:szCs w:val="20"/>
                <w:color w:val="auto"/>
              </w:rPr>
            </w:pPr>
            <w:r>
              <w:rPr>
                <w:rFonts w:ascii="Arial" w:cs="Arial" w:eastAsia="Arial" w:hAnsi="Arial"/>
                <w:sz w:val="18"/>
                <w:szCs w:val="18"/>
                <w:color w:val="auto"/>
              </w:rPr>
              <w:t>Exor N.V.</w:t>
            </w:r>
          </w:p>
        </w:tc>
        <w:tc>
          <w:tcPr>
            <w:tcW w:w="520" w:type="dxa"/>
            <w:vAlign w:val="bottom"/>
            <w:shd w:val="clear" w:color="auto" w:fill="CCCCCC"/>
          </w:tcPr>
          <w:p>
            <w:pPr>
              <w:spacing w:after="0"/>
              <w:rPr>
                <w:sz w:val="17"/>
                <w:szCs w:val="17"/>
                <w:color w:val="auto"/>
              </w:rPr>
            </w:pPr>
          </w:p>
        </w:tc>
        <w:tc>
          <w:tcPr>
            <w:tcW w:w="1120" w:type="dxa"/>
            <w:vAlign w:val="bottom"/>
            <w:shd w:val="clear" w:color="auto" w:fill="CCCCCC"/>
          </w:tcPr>
          <w:p>
            <w:pPr>
              <w:spacing w:after="0"/>
              <w:rPr>
                <w:sz w:val="17"/>
                <w:szCs w:val="17"/>
                <w:color w:val="auto"/>
              </w:rPr>
            </w:pPr>
          </w:p>
        </w:tc>
        <w:tc>
          <w:tcPr>
            <w:tcW w:w="280" w:type="dxa"/>
            <w:vAlign w:val="bottom"/>
            <w:shd w:val="clear" w:color="auto" w:fill="CCCCCC"/>
          </w:tcPr>
          <w:p>
            <w:pPr>
              <w:spacing w:after="0"/>
              <w:rPr>
                <w:sz w:val="17"/>
                <w:szCs w:val="17"/>
                <w:color w:val="auto"/>
              </w:rPr>
            </w:pPr>
          </w:p>
        </w:tc>
        <w:tc>
          <w:tcPr>
            <w:tcW w:w="86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CCCC"/>
          </w:tcPr>
          <w:p>
            <w:pPr>
              <w:spacing w:after="0"/>
              <w:rPr>
                <w:sz w:val="18"/>
                <w:szCs w:val="18"/>
                <w:color w:val="auto"/>
              </w:rPr>
            </w:pPr>
          </w:p>
        </w:tc>
        <w:tc>
          <w:tcPr>
            <w:tcW w:w="6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Gustav Mahlerplein 25</w:t>
            </w:r>
          </w:p>
        </w:tc>
        <w:tc>
          <w:tcPr>
            <w:tcW w:w="520" w:type="dxa"/>
            <w:vAlign w:val="bottom"/>
            <w:shd w:val="clear" w:color="auto" w:fill="CCCCCC"/>
          </w:tcPr>
          <w:p>
            <w:pPr>
              <w:spacing w:after="0"/>
              <w:rPr>
                <w:sz w:val="18"/>
                <w:szCs w:val="18"/>
                <w:color w:val="auto"/>
              </w:rPr>
            </w:pPr>
          </w:p>
        </w:tc>
        <w:tc>
          <w:tcPr>
            <w:tcW w:w="112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CCCC"/>
          </w:tcPr>
          <w:p>
            <w:pPr>
              <w:spacing w:after="0"/>
              <w:rPr>
                <w:sz w:val="19"/>
                <w:szCs w:val="19"/>
                <w:color w:val="auto"/>
              </w:rPr>
            </w:pPr>
          </w:p>
        </w:tc>
        <w:tc>
          <w:tcPr>
            <w:tcW w:w="6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Amsterdam, 1082 MS</w:t>
            </w:r>
          </w:p>
        </w:tc>
        <w:tc>
          <w:tcPr>
            <w:tcW w:w="520" w:type="dxa"/>
            <w:vAlign w:val="bottom"/>
            <w:shd w:val="clear" w:color="auto" w:fill="CCCCCC"/>
          </w:tcPr>
          <w:p>
            <w:pPr>
              <w:spacing w:after="0"/>
              <w:rPr>
                <w:sz w:val="19"/>
                <w:szCs w:val="19"/>
                <w:color w:val="auto"/>
              </w:rPr>
            </w:pPr>
          </w:p>
        </w:tc>
        <w:tc>
          <w:tcPr>
            <w:tcW w:w="112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5,501,212</w:t>
            </w:r>
            <w:r>
              <w:rPr>
                <w:rFonts w:ascii="Arial" w:cs="Arial" w:eastAsia="Arial" w:hAnsi="Arial"/>
                <w:sz w:val="23"/>
                <w:szCs w:val="23"/>
                <w:color w:val="auto"/>
                <w:vertAlign w:val="superscript"/>
              </w:rPr>
              <w:t>(6)</w:t>
            </w:r>
          </w:p>
        </w:tc>
        <w:tc>
          <w:tcPr>
            <w:tcW w:w="280" w:type="dxa"/>
            <w:vAlign w:val="bottom"/>
            <w:shd w:val="clear" w:color="auto" w:fill="CCCCCC"/>
          </w:tcPr>
          <w:p>
            <w:pPr>
              <w:spacing w:after="0"/>
              <w:rPr>
                <w:sz w:val="19"/>
                <w:szCs w:val="19"/>
                <w:color w:val="auto"/>
              </w:rPr>
            </w:pPr>
          </w:p>
        </w:tc>
        <w:tc>
          <w:tcPr>
            <w:tcW w:w="860" w:type="dxa"/>
            <w:vAlign w:val="bottom"/>
            <w:shd w:val="clear" w:color="auto" w:fill="CCCCCC"/>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CCCC"/>
          </w:tcPr>
          <w:p>
            <w:pPr>
              <w:ind w:left="100"/>
              <w:spacing w:after="0" w:line="181" w:lineRule="exact"/>
              <w:rPr>
                <w:sz w:val="20"/>
                <w:szCs w:val="20"/>
                <w:color w:val="auto"/>
              </w:rPr>
            </w:pPr>
            <w:r>
              <w:rPr>
                <w:rFonts w:ascii="Arial" w:cs="Arial" w:eastAsia="Arial" w:hAnsi="Arial"/>
                <w:sz w:val="18"/>
                <w:szCs w:val="18"/>
                <w:color w:val="auto"/>
              </w:rPr>
              <w:t>The Netherlands</w:t>
            </w:r>
          </w:p>
        </w:tc>
        <w:tc>
          <w:tcPr>
            <w:tcW w:w="520" w:type="dxa"/>
            <w:vAlign w:val="bottom"/>
            <w:vMerge w:val="restart"/>
            <w:shd w:val="clear" w:color="auto" w:fill="CCCCCC"/>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shd w:val="clear" w:color="auto" w:fill="CCCCCC"/>
          </w:tcPr>
          <w:p>
            <w:pPr>
              <w:spacing w:after="0"/>
              <w:rPr>
                <w:sz w:val="15"/>
                <w:szCs w:val="15"/>
                <w:color w:val="auto"/>
              </w:rPr>
            </w:pPr>
          </w:p>
        </w:tc>
        <w:tc>
          <w:tcPr>
            <w:tcW w:w="280" w:type="dxa"/>
            <w:vAlign w:val="bottom"/>
            <w:vMerge w:val="restart"/>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shd w:val="clear" w:color="auto" w:fill="CCCC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7.80%</w:t>
            </w:r>
          </w:p>
        </w:tc>
        <w:tc>
          <w:tcPr>
            <w:tcW w:w="1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shd w:val="clear" w:color="auto" w:fill="CCCCCC"/>
          </w:tcPr>
          <w:p>
            <w:pPr>
              <w:spacing w:after="0"/>
              <w:rPr>
                <w:sz w:val="7"/>
                <w:szCs w:val="7"/>
                <w:color w:val="auto"/>
              </w:rPr>
            </w:pPr>
          </w:p>
        </w:tc>
        <w:tc>
          <w:tcPr>
            <w:tcW w:w="6700" w:type="dxa"/>
            <w:vAlign w:val="bottom"/>
            <w:tcBorders>
              <w:bottom w:val="single" w:sz="8" w:color="auto"/>
            </w:tcBorders>
            <w:shd w:val="clear" w:color="auto" w:fill="CCCCCC"/>
          </w:tcPr>
          <w:p>
            <w:pPr>
              <w:spacing w:after="0"/>
              <w:rPr>
                <w:sz w:val="7"/>
                <w:szCs w:val="7"/>
                <w:color w:val="auto"/>
              </w:rPr>
            </w:pPr>
          </w:p>
        </w:tc>
        <w:tc>
          <w:tcPr>
            <w:tcW w:w="520" w:type="dxa"/>
            <w:vAlign w:val="bottom"/>
            <w:tcBorders>
              <w:bottom w:val="single" w:sz="8" w:color="auto"/>
            </w:tcBorders>
            <w:vMerge w:val="continue"/>
            <w:shd w:val="clear" w:color="auto" w:fill="CCCCCC"/>
          </w:tcPr>
          <w:p>
            <w:pPr>
              <w:spacing w:after="0"/>
              <w:rPr>
                <w:sz w:val="7"/>
                <w:szCs w:val="7"/>
                <w:color w:val="auto"/>
              </w:rPr>
            </w:pPr>
          </w:p>
        </w:tc>
        <w:tc>
          <w:tcPr>
            <w:tcW w:w="1120" w:type="dxa"/>
            <w:vAlign w:val="bottom"/>
            <w:tcBorders>
              <w:bottom w:val="single" w:sz="8" w:color="auto"/>
            </w:tcBorders>
            <w:shd w:val="clear" w:color="auto" w:fill="CCCCCC"/>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shd w:val="clear" w:color="auto" w:fill="CCCCCC"/>
          </w:tcPr>
          <w:p>
            <w:pPr>
              <w:spacing w:after="0"/>
              <w:rPr>
                <w:sz w:val="7"/>
                <w:szCs w:val="7"/>
                <w:color w:val="auto"/>
              </w:rPr>
            </w:pPr>
          </w:p>
        </w:tc>
        <w:tc>
          <w:tcPr>
            <w:tcW w:w="860" w:type="dxa"/>
            <w:vAlign w:val="bottom"/>
            <w:tcBorders>
              <w:bottom w:val="single" w:sz="8" w:color="auto"/>
            </w:tcBorders>
            <w:vMerge w:val="continue"/>
            <w:shd w:val="clear" w:color="auto" w:fill="CCCCCC"/>
          </w:tcPr>
          <w:p>
            <w:pPr>
              <w:spacing w:after="0"/>
              <w:rPr>
                <w:sz w:val="7"/>
                <w:szCs w:val="7"/>
                <w:color w:val="auto"/>
              </w:rPr>
            </w:pPr>
          </w:p>
        </w:tc>
        <w:tc>
          <w:tcPr>
            <w:tcW w:w="140" w:type="dxa"/>
            <w:vAlign w:val="bottom"/>
            <w:tcBorders>
              <w:bottom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Capital Research Global Investors (Capital Research and Management Company)</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333 South Hope Street</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55th Fl</w:t>
            </w:r>
          </w:p>
        </w:tc>
        <w:tc>
          <w:tcPr>
            <w:tcW w:w="520" w:type="dxa"/>
            <w:vAlign w:val="bottom"/>
          </w:tcPr>
          <w:p>
            <w:pPr>
              <w:spacing w:after="0"/>
              <w:rPr>
                <w:sz w:val="19"/>
                <w:szCs w:val="19"/>
                <w:color w:val="auto"/>
              </w:rPr>
            </w:pP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4,731,763</w:t>
            </w:r>
            <w:r>
              <w:rPr>
                <w:rFonts w:ascii="Arial" w:cs="Arial" w:eastAsia="Arial" w:hAnsi="Arial"/>
                <w:sz w:val="23"/>
                <w:szCs w:val="23"/>
                <w:color w:val="auto"/>
                <w:vertAlign w:val="superscript"/>
              </w:rPr>
              <w:t>(7)</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Los Angeles, CA 90071</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6.71%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6880" w:type="dxa"/>
            <w:vAlign w:val="bottom"/>
            <w:gridSpan w:val="2"/>
            <w:shd w:val="clear" w:color="auto" w:fill="CCCCCC"/>
          </w:tcPr>
          <w:p>
            <w:pPr>
              <w:ind w:left="100"/>
              <w:spacing w:after="0" w:line="204" w:lineRule="exact"/>
              <w:rPr>
                <w:sz w:val="20"/>
                <w:szCs w:val="20"/>
                <w:color w:val="auto"/>
              </w:rPr>
            </w:pPr>
            <w:r>
              <w:rPr>
                <w:rFonts w:ascii="Arial" w:cs="Arial" w:eastAsia="Arial" w:hAnsi="Arial"/>
                <w:sz w:val="18"/>
                <w:szCs w:val="18"/>
                <w:color w:val="auto"/>
              </w:rPr>
              <w:t>Barclays PLC</w:t>
            </w:r>
          </w:p>
        </w:tc>
        <w:tc>
          <w:tcPr>
            <w:tcW w:w="520" w:type="dxa"/>
            <w:vAlign w:val="bottom"/>
            <w:shd w:val="clear" w:color="auto" w:fill="CCCCCC"/>
          </w:tcPr>
          <w:p>
            <w:pPr>
              <w:spacing w:after="0"/>
              <w:rPr>
                <w:sz w:val="17"/>
                <w:szCs w:val="17"/>
                <w:color w:val="auto"/>
              </w:rPr>
            </w:pPr>
          </w:p>
        </w:tc>
        <w:tc>
          <w:tcPr>
            <w:tcW w:w="1120" w:type="dxa"/>
            <w:vAlign w:val="bottom"/>
            <w:shd w:val="clear" w:color="auto" w:fill="CCCCCC"/>
          </w:tcPr>
          <w:p>
            <w:pPr>
              <w:spacing w:after="0"/>
              <w:rPr>
                <w:sz w:val="17"/>
                <w:szCs w:val="17"/>
                <w:color w:val="auto"/>
              </w:rPr>
            </w:pPr>
          </w:p>
        </w:tc>
        <w:tc>
          <w:tcPr>
            <w:tcW w:w="280" w:type="dxa"/>
            <w:vAlign w:val="bottom"/>
            <w:shd w:val="clear" w:color="auto" w:fill="CCCCCC"/>
          </w:tcPr>
          <w:p>
            <w:pPr>
              <w:spacing w:after="0"/>
              <w:rPr>
                <w:sz w:val="17"/>
                <w:szCs w:val="17"/>
                <w:color w:val="auto"/>
              </w:rPr>
            </w:pPr>
          </w:p>
        </w:tc>
        <w:tc>
          <w:tcPr>
            <w:tcW w:w="86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CCCC"/>
          </w:tcPr>
          <w:p>
            <w:pPr>
              <w:spacing w:after="0"/>
              <w:rPr>
                <w:sz w:val="18"/>
                <w:szCs w:val="18"/>
                <w:color w:val="auto"/>
              </w:rPr>
            </w:pPr>
          </w:p>
        </w:tc>
        <w:tc>
          <w:tcPr>
            <w:tcW w:w="6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1 Churchill Place</w:t>
            </w:r>
          </w:p>
        </w:tc>
        <w:tc>
          <w:tcPr>
            <w:tcW w:w="520" w:type="dxa"/>
            <w:vAlign w:val="bottom"/>
            <w:shd w:val="clear" w:color="auto" w:fill="CCCCCC"/>
          </w:tcPr>
          <w:p>
            <w:pPr>
              <w:spacing w:after="0"/>
              <w:rPr>
                <w:sz w:val="18"/>
                <w:szCs w:val="18"/>
                <w:color w:val="auto"/>
              </w:rPr>
            </w:pPr>
          </w:p>
        </w:tc>
        <w:tc>
          <w:tcPr>
            <w:tcW w:w="1120" w:type="dxa"/>
            <w:vAlign w:val="bottom"/>
            <w:vMerge w:val="restart"/>
            <w:shd w:val="clear" w:color="auto" w:fill="CCCCCC"/>
          </w:tcPr>
          <w:p>
            <w:pPr>
              <w:ind w:left="100"/>
              <w:spacing w:after="0"/>
              <w:rPr>
                <w:sz w:val="20"/>
                <w:szCs w:val="20"/>
                <w:color w:val="auto"/>
              </w:rPr>
            </w:pPr>
            <w:r>
              <w:rPr>
                <w:rFonts w:ascii="Arial" w:cs="Arial" w:eastAsia="Arial" w:hAnsi="Arial"/>
                <w:sz w:val="18"/>
                <w:szCs w:val="18"/>
                <w:color w:val="auto"/>
              </w:rPr>
              <w:t>4,648,337</w:t>
            </w:r>
            <w:r>
              <w:rPr>
                <w:rFonts w:ascii="Arial" w:cs="Arial" w:eastAsia="Arial" w:hAnsi="Arial"/>
                <w:sz w:val="23"/>
                <w:szCs w:val="23"/>
                <w:color w:val="auto"/>
                <w:vertAlign w:val="superscript"/>
              </w:rPr>
              <w:t>(8)</w:t>
            </w:r>
          </w:p>
        </w:tc>
        <w:tc>
          <w:tcPr>
            <w:tcW w:w="28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w:t>
            </w:r>
          </w:p>
        </w:tc>
        <w:tc>
          <w:tcPr>
            <w:tcW w:w="6700" w:type="dxa"/>
            <w:vAlign w:val="bottom"/>
            <w:shd w:val="clear" w:color="auto" w:fill="CCCCCC"/>
          </w:tcPr>
          <w:p>
            <w:pPr>
              <w:ind w:left="100"/>
              <w:spacing w:after="0" w:line="181" w:lineRule="exact"/>
              <w:rPr>
                <w:sz w:val="20"/>
                <w:szCs w:val="20"/>
                <w:color w:val="auto"/>
              </w:rPr>
            </w:pPr>
            <w:r>
              <w:rPr>
                <w:rFonts w:ascii="Arial" w:cs="Arial" w:eastAsia="Arial" w:hAnsi="Arial"/>
                <w:sz w:val="18"/>
                <w:szCs w:val="18"/>
                <w:color w:val="auto"/>
              </w:rPr>
              <w:t>London, E14 5HP, England</w:t>
            </w:r>
          </w:p>
        </w:tc>
        <w:tc>
          <w:tcPr>
            <w:tcW w:w="520" w:type="dxa"/>
            <w:vAlign w:val="bottom"/>
            <w:vMerge w:val="restart"/>
            <w:shd w:val="clear" w:color="auto" w:fill="CCCCCC"/>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shd w:val="clear" w:color="auto" w:fill="CCCCCC"/>
          </w:tcPr>
          <w:p>
            <w:pPr>
              <w:spacing w:after="0"/>
              <w:rPr>
                <w:sz w:val="15"/>
                <w:szCs w:val="15"/>
                <w:color w:val="auto"/>
              </w:rPr>
            </w:pPr>
          </w:p>
        </w:tc>
        <w:tc>
          <w:tcPr>
            <w:tcW w:w="280" w:type="dxa"/>
            <w:vAlign w:val="bottom"/>
            <w:vMerge w:val="restart"/>
            <w:shd w:val="clear" w:color="auto" w:fill="CCCCCC"/>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shd w:val="clear" w:color="auto" w:fill="CCCC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6.59%</w:t>
            </w:r>
          </w:p>
        </w:tc>
        <w:tc>
          <w:tcPr>
            <w:tcW w:w="140" w:type="dxa"/>
            <w:vAlign w:val="bottom"/>
            <w:vMerge w:val="restart"/>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vMerge w:val="continue"/>
            <w:shd w:val="clear" w:color="auto" w:fill="CCCCCC"/>
          </w:tcPr>
          <w:p>
            <w:pPr>
              <w:spacing w:after="0"/>
              <w:rPr>
                <w:sz w:val="7"/>
                <w:szCs w:val="7"/>
                <w:color w:val="auto"/>
              </w:rPr>
            </w:pPr>
          </w:p>
        </w:tc>
        <w:tc>
          <w:tcPr>
            <w:tcW w:w="6700" w:type="dxa"/>
            <w:vAlign w:val="bottom"/>
            <w:tcBorders>
              <w:bottom w:val="single" w:sz="8" w:color="auto"/>
            </w:tcBorders>
            <w:shd w:val="clear" w:color="auto" w:fill="CCCCCC"/>
          </w:tcPr>
          <w:p>
            <w:pPr>
              <w:spacing w:after="0"/>
              <w:rPr>
                <w:sz w:val="7"/>
                <w:szCs w:val="7"/>
                <w:color w:val="auto"/>
              </w:rPr>
            </w:pPr>
          </w:p>
        </w:tc>
        <w:tc>
          <w:tcPr>
            <w:tcW w:w="520" w:type="dxa"/>
            <w:vAlign w:val="bottom"/>
            <w:tcBorders>
              <w:bottom w:val="single" w:sz="8" w:color="auto"/>
            </w:tcBorders>
            <w:vMerge w:val="continue"/>
            <w:shd w:val="clear" w:color="auto" w:fill="CCCCCC"/>
          </w:tcPr>
          <w:p>
            <w:pPr>
              <w:spacing w:after="0"/>
              <w:rPr>
                <w:sz w:val="7"/>
                <w:szCs w:val="7"/>
                <w:color w:val="auto"/>
              </w:rPr>
            </w:pPr>
          </w:p>
        </w:tc>
        <w:tc>
          <w:tcPr>
            <w:tcW w:w="1120" w:type="dxa"/>
            <w:vAlign w:val="bottom"/>
            <w:tcBorders>
              <w:bottom w:val="single" w:sz="8" w:color="auto"/>
            </w:tcBorders>
            <w:shd w:val="clear" w:color="auto" w:fill="CCCCCC"/>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shd w:val="clear" w:color="auto" w:fill="CCCCCC"/>
          </w:tcPr>
          <w:p>
            <w:pPr>
              <w:spacing w:after="0"/>
              <w:rPr>
                <w:sz w:val="7"/>
                <w:szCs w:val="7"/>
                <w:color w:val="auto"/>
              </w:rPr>
            </w:pPr>
          </w:p>
        </w:tc>
        <w:tc>
          <w:tcPr>
            <w:tcW w:w="860" w:type="dxa"/>
            <w:vAlign w:val="bottom"/>
            <w:tcBorders>
              <w:bottom w:val="single" w:sz="8" w:color="auto"/>
            </w:tcBorders>
            <w:vMerge w:val="continue"/>
            <w:shd w:val="clear" w:color="auto" w:fill="CCCCCC"/>
          </w:tcPr>
          <w:p>
            <w:pPr>
              <w:spacing w:after="0"/>
              <w:rPr>
                <w:sz w:val="7"/>
                <w:szCs w:val="7"/>
                <w:color w:val="auto"/>
              </w:rPr>
            </w:pPr>
          </w:p>
        </w:tc>
        <w:tc>
          <w:tcPr>
            <w:tcW w:w="140" w:type="dxa"/>
            <w:vAlign w:val="bottom"/>
            <w:tcBorders>
              <w:bottom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8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D.E. Shaw &amp; Co., L.P.</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6700" w:type="dxa"/>
            <w:vAlign w:val="bottom"/>
          </w:tcPr>
          <w:p>
            <w:pPr>
              <w:ind w:left="100"/>
              <w:spacing w:after="0" w:line="245" w:lineRule="exact"/>
              <w:rPr>
                <w:sz w:val="20"/>
                <w:szCs w:val="20"/>
                <w:color w:val="auto"/>
              </w:rPr>
            </w:pPr>
            <w:r>
              <w:rPr>
                <w:rFonts w:ascii="Arial" w:cs="Arial" w:eastAsia="Arial" w:hAnsi="Arial"/>
                <w:sz w:val="18"/>
                <w:szCs w:val="18"/>
                <w:color w:val="auto"/>
              </w:rPr>
              <w:t>1166 Avenue of the Americas,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520" w:type="dxa"/>
            <w:vAlign w:val="bottom"/>
          </w:tcPr>
          <w:p>
            <w:pPr>
              <w:spacing w:after="0"/>
              <w:rPr>
                <w:sz w:val="21"/>
                <w:szCs w:val="21"/>
                <w:color w:val="auto"/>
              </w:rPr>
            </w:pPr>
          </w:p>
        </w:tc>
        <w:tc>
          <w:tcPr>
            <w:tcW w:w="1120" w:type="dxa"/>
            <w:vAlign w:val="bottom"/>
            <w:vMerge w:val="restart"/>
          </w:tcPr>
          <w:p>
            <w:pPr>
              <w:ind w:left="100"/>
              <w:spacing w:after="0"/>
              <w:rPr>
                <w:sz w:val="20"/>
                <w:szCs w:val="20"/>
                <w:color w:val="auto"/>
              </w:rPr>
            </w:pPr>
            <w:r>
              <w:rPr>
                <w:rFonts w:ascii="Arial" w:cs="Arial" w:eastAsia="Arial" w:hAnsi="Arial"/>
                <w:sz w:val="18"/>
                <w:szCs w:val="18"/>
                <w:color w:val="auto"/>
              </w:rPr>
              <w:t>4,219,457</w:t>
            </w:r>
            <w:r>
              <w:rPr>
                <w:rFonts w:ascii="Arial" w:cs="Arial" w:eastAsia="Arial" w:hAnsi="Arial"/>
                <w:sz w:val="23"/>
                <w:szCs w:val="23"/>
                <w:color w:val="auto"/>
                <w:vertAlign w:val="superscript"/>
              </w:rPr>
              <w:t>(9)</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700" w:type="dxa"/>
            <w:vAlign w:val="bottom"/>
          </w:tcPr>
          <w:p>
            <w:pPr>
              <w:ind w:left="100"/>
              <w:spacing w:after="0" w:line="181" w:lineRule="exact"/>
              <w:rPr>
                <w:sz w:val="20"/>
                <w:szCs w:val="20"/>
                <w:color w:val="auto"/>
              </w:rPr>
            </w:pPr>
            <w:r>
              <w:rPr>
                <w:rFonts w:ascii="Arial" w:cs="Arial" w:eastAsia="Arial" w:hAnsi="Arial"/>
                <w:sz w:val="18"/>
                <w:szCs w:val="18"/>
                <w:color w:val="auto"/>
              </w:rPr>
              <w:t>New York, NY 10036</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auto"/>
              </w:rPr>
              <w:t>​ ​</w:t>
            </w:r>
          </w:p>
        </w:tc>
        <w:tc>
          <w:tcPr>
            <w:tcW w:w="1120" w:type="dxa"/>
            <w:vAlign w:val="bottom"/>
            <w:vMerge w:val="continue"/>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5.97%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180" w:type="dxa"/>
            <w:vAlign w:val="bottom"/>
            <w:tcBorders>
              <w:bottom w:val="single" w:sz="8" w:color="auto"/>
            </w:tcBorders>
            <w:vMerge w:val="continue"/>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0" w:right="100" w:hanging="362"/>
        <w:spacing w:after="0" w:line="231"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percentage indicated is based on 70,493,949 outstanding ordinary shares as of April 12, 2022. For D.E. Shaw, L.P., the percentage is based on 70,493,949 outstanding ordinary shares as of April 12, 2022 plus 188,758 warrants exercisable into ordinary shares reported in their notice of holdings required under applicable Irish law.</w:t>
      </w:r>
    </w:p>
    <w:p>
      <w:pPr>
        <w:ind w:left="800" w:right="180" w:hanging="362"/>
        <w:spacing w:after="0" w:line="211"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information in a notice of holdings required under applicable Irish law and received by the Company on April 18, 2022.</w:t>
      </w:r>
    </w:p>
    <w:p>
      <w:pPr>
        <w:ind w:left="800" w:right="200" w:hanging="362"/>
        <w:spacing w:after="0" w:line="225"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13G/A filed with the SEC on February 14, 2022 by Oaktree Capital Management, L.P. and related reporting persons. According to the filing, (i) the beneficial owner reports sole voting and dispositive power over 6,108,916 shares, and (ii) the beneficial owner does not have shared voting or dispositive power over any of the shares.</w:t>
      </w:r>
    </w:p>
    <w:p>
      <w:pPr>
        <w:ind w:left="800" w:right="20" w:hanging="362"/>
        <w:spacing w:after="0" w:line="225"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 filed with the SEC on February 14, 2022 by Oak Hill Advisors, L.P. According to the filing, (i) the beneficial owner reports sole voting and dispositive power over 5,750,407 shares, and (ii) the beneficial owner does not have shared voting or dispositive power over any of the shares.</w:t>
      </w:r>
    </w:p>
    <w:p>
      <w:pPr>
        <w:ind w:left="800" w:right="100" w:hanging="362"/>
        <w:spacing w:after="0" w:line="225"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13G/A filed with the SEC on February 14, 2022 by Yacktman Asset Management LP and related reporting persons. According to the filing, (i) the beneficial owner has sole voting and dispositive power over 1,835,000 shares, and (ii) the beneficial owner has shared voting or dispositive power over 3,900,000 shares.</w:t>
      </w:r>
    </w:p>
    <w:p>
      <w:pPr>
        <w:ind w:left="800" w:hanging="362"/>
        <w:spacing w:after="0" w:line="225"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13G/A filed with the SEC on January 28, 2022 by Exor N.V. According to the filing, (i) the beneficial owner reports sole voting and dispositive power over 5,501,212 shares, and (ii) the beneficial owner does not have shared voting or dispositive power over any of the shares.</w:t>
      </w:r>
    </w:p>
    <w:p>
      <w:pPr>
        <w:ind w:left="800" w:hanging="362"/>
        <w:spacing w:after="0" w:line="225" w:lineRule="auto"/>
        <w:tabs>
          <w:tab w:leader="none" w:pos="800" w:val="left"/>
        </w:tabs>
        <w:numPr>
          <w:ilvl w:val="0"/>
          <w:numId w:val="68"/>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 filed with the SEC on February 11, 2022 by Capital Research Global Investors. According to the filing, (i) the beneficial owner reports sole voting and dispositive power over 4,731,763 shares, and (ii) the beneficial owner does not have shared voting or dispositive power over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134620</wp:posOffset>
            </wp:positionV>
            <wp:extent cx="6231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10" w:lineRule="exact"/>
        <w:rPr>
          <w:sz w:val="20"/>
          <w:szCs w:val="20"/>
          <w:color w:val="auto"/>
        </w:rPr>
      </w:pPr>
    </w:p>
    <w:p>
      <w:pPr>
        <w:ind w:left="720" w:hanging="282"/>
        <w:spacing w:after="0"/>
        <w:tabs>
          <w:tab w:leader="none" w:pos="720" w:val="left"/>
        </w:tabs>
        <w:numPr>
          <w:ilvl w:val="0"/>
          <w:numId w:val="6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666666"/>
        </w:rPr>
        <w:t>OTHER INFORMATION</w:t>
      </w:r>
    </w:p>
    <w:p>
      <w:pPr>
        <w:spacing w:after="0" w:line="163" w:lineRule="exact"/>
        <w:rPr>
          <w:sz w:val="20"/>
          <w:szCs w:val="20"/>
          <w:color w:val="auto"/>
        </w:rPr>
      </w:pPr>
    </w:p>
    <w:p>
      <w:pPr>
        <w:jc w:val="both"/>
        <w:ind w:left="800" w:right="520" w:hanging="362"/>
        <w:spacing w:after="0" w:line="225" w:lineRule="auto"/>
        <w:tabs>
          <w:tab w:leader="none" w:pos="800" w:val="left"/>
        </w:tabs>
        <w:numPr>
          <w:ilvl w:val="0"/>
          <w:numId w:val="70"/>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the Schedule 13G filed with the SEC on February 11, 2022 by Barclays PLC. According to the filing, (i) the beneficial owner reports sole voting and dispositive power over 4,648,337 shares, and (ii) the beneficial owner does not have shared voting or dispositive power over any of the shares.</w:t>
      </w:r>
    </w:p>
    <w:p>
      <w:pPr>
        <w:spacing w:after="0" w:line="1" w:lineRule="exact"/>
        <w:rPr>
          <w:rFonts w:ascii="Arial" w:cs="Arial" w:eastAsia="Arial" w:hAnsi="Arial"/>
          <w:sz w:val="22"/>
          <w:szCs w:val="22"/>
          <w:color w:val="BA0C2F"/>
          <w:vertAlign w:val="superscript"/>
        </w:rPr>
      </w:pPr>
    </w:p>
    <w:p>
      <w:pPr>
        <w:ind w:left="800" w:right="300" w:hanging="362"/>
        <w:spacing w:after="0" w:line="225" w:lineRule="auto"/>
        <w:tabs>
          <w:tab w:leader="none" w:pos="800" w:val="left"/>
        </w:tabs>
        <w:numPr>
          <w:ilvl w:val="0"/>
          <w:numId w:val="70"/>
        </w:numPr>
        <w:rPr>
          <w:rFonts w:ascii="Arial" w:cs="Arial" w:eastAsia="Arial" w:hAnsi="Arial"/>
          <w:sz w:val="22"/>
          <w:szCs w:val="22"/>
          <w:color w:val="BA0C2F"/>
          <w:vertAlign w:val="superscript"/>
        </w:rPr>
      </w:pPr>
      <w:r>
        <w:rPr>
          <w:rFonts w:ascii="Arial" w:cs="Arial" w:eastAsia="Arial" w:hAnsi="Arial"/>
          <w:sz w:val="14"/>
          <w:szCs w:val="14"/>
          <w:color w:val="auto"/>
        </w:rPr>
        <w:t>The number of shares is based on information in a notice of holdings required under applicable Irish law and received by the Company on April 1, 2022 for D.E. Shaw &amp; Co. L.P. and related reporting persons. According to the notice, the beneficial owner has a notifiable interest of 4,219,457 shares (including warrants exercisable into 188,758 shares).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MANDATORY MINIMUM SHARE OWNERSHIP GUIDELINES</w:t>
      </w:r>
    </w:p>
    <w:p>
      <w:pPr>
        <w:spacing w:after="0" w:line="114" w:lineRule="exact"/>
        <w:rPr>
          <w:sz w:val="20"/>
          <w:szCs w:val="20"/>
          <w:color w:val="auto"/>
        </w:rPr>
      </w:pPr>
    </w:p>
    <w:p>
      <w:pPr>
        <w:ind w:left="440" w:right="260"/>
        <w:spacing w:after="0" w:line="247" w:lineRule="auto"/>
        <w:rPr>
          <w:sz w:val="20"/>
          <w:szCs w:val="20"/>
          <w:color w:val="auto"/>
        </w:rPr>
      </w:pPr>
      <w:r>
        <w:rPr>
          <w:rFonts w:ascii="Arial" w:cs="Arial" w:eastAsia="Arial" w:hAnsi="Arial"/>
          <w:sz w:val="18"/>
          <w:szCs w:val="18"/>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and retirement plans (including our 401(k) plan). The minimum guidelines are based on a multiple of base salary or, in the case of directors, annual cash retainer. The guidelines are as follows:</w:t>
      </w:r>
    </w:p>
    <w:p>
      <w:pPr>
        <w:spacing w:after="0" w:line="7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410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6x</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700" w:type="dxa"/>
            <w:vAlign w:val="bottom"/>
            <w:tcBorders>
              <w:bottom w:val="single" w:sz="8" w:color="666666"/>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100" w:type="dxa"/>
            <w:vAlign w:val="bottom"/>
            <w:tcBorders>
              <w:bottom w:val="single" w:sz="8" w:color="666666"/>
            </w:tcBorders>
            <w:shd w:val="clear" w:color="auto" w:fill="CCEEFF"/>
          </w:tcPr>
          <w:p>
            <w:pPr>
              <w:ind w:left="3780"/>
              <w:spacing w:after="0" w:line="54" w:lineRule="exact"/>
              <w:rPr>
                <w:sz w:val="20"/>
                <w:szCs w:val="20"/>
                <w:color w:val="auto"/>
              </w:rPr>
            </w:pPr>
            <w:r>
              <w:rPr>
                <w:rFonts w:ascii="Arial" w:cs="Arial" w:eastAsia="Arial" w:hAnsi="Arial"/>
                <w:sz w:val="6"/>
                <w:szCs w:val="6"/>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Other Executive Officers</w:t>
            </w:r>
          </w:p>
        </w:tc>
        <w:tc>
          <w:tcPr>
            <w:tcW w:w="4100" w:type="dxa"/>
            <w:vAlign w:val="bottom"/>
          </w:tcPr>
          <w:p>
            <w:pPr>
              <w:ind w:left="3900"/>
              <w:spacing w:after="0" w:line="182"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3x</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700" w:type="dxa"/>
            <w:vAlign w:val="bottom"/>
            <w:tcBorders>
              <w:bottom w:val="single" w:sz="8" w:color="666666"/>
            </w:tcBorders>
          </w:tcPr>
          <w:p>
            <w:pPr>
              <w:spacing w:after="0" w:line="54" w:lineRule="exact"/>
              <w:rPr>
                <w:sz w:val="20"/>
                <w:szCs w:val="20"/>
                <w:color w:val="auto"/>
              </w:rPr>
            </w:pPr>
            <w:r>
              <w:rPr>
                <w:rFonts w:ascii="Arial" w:cs="Arial" w:eastAsia="Arial" w:hAnsi="Arial"/>
                <w:sz w:val="6"/>
                <w:szCs w:val="6"/>
                <w:color w:val="auto"/>
              </w:rPr>
              <w:t>​</w:t>
            </w:r>
          </w:p>
        </w:tc>
        <w:tc>
          <w:tcPr>
            <w:tcW w:w="4100" w:type="dxa"/>
            <w:vAlign w:val="bottom"/>
            <w:tcBorders>
              <w:bottom w:val="single" w:sz="8" w:color="666666"/>
            </w:tcBorders>
          </w:tcPr>
          <w:p>
            <w:pPr>
              <w:ind w:left="3780"/>
              <w:spacing w:after="0" w:line="54" w:lineRule="exact"/>
              <w:rPr>
                <w:sz w:val="20"/>
                <w:szCs w:val="20"/>
                <w:color w:val="auto"/>
              </w:rPr>
            </w:pPr>
            <w:r>
              <w:rPr>
                <w:rFonts w:ascii="Arial" w:cs="Arial" w:eastAsia="Arial" w:hAnsi="Arial"/>
                <w:sz w:val="6"/>
                <w:szCs w:val="6"/>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Directors</w:t>
            </w:r>
          </w:p>
        </w:tc>
        <w:tc>
          <w:tcPr>
            <w:tcW w:w="4100" w:type="dxa"/>
            <w:vAlign w:val="bottom"/>
            <w:shd w:val="clear" w:color="auto" w:fill="CCEEFF"/>
          </w:tcPr>
          <w:p>
            <w:pPr>
              <w:ind w:left="3900"/>
              <w:spacing w:after="0" w:line="182"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5x</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700" w:type="dxa"/>
            <w:vAlign w:val="bottom"/>
            <w:tcBorders>
              <w:bottom w:val="single" w:sz="8" w:color="auto"/>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100" w:type="dxa"/>
            <w:vAlign w:val="bottom"/>
            <w:tcBorders>
              <w:bottom w:val="single" w:sz="8" w:color="auto"/>
            </w:tcBorders>
            <w:shd w:val="clear" w:color="auto" w:fill="CCEEFF"/>
          </w:tcPr>
          <w:p>
            <w:pPr>
              <w:ind w:left="3780"/>
              <w:spacing w:after="0" w:line="54" w:lineRule="exact"/>
              <w:rPr>
                <w:sz w:val="20"/>
                <w:szCs w:val="20"/>
                <w:color w:val="auto"/>
              </w:rPr>
            </w:pPr>
            <w:r>
              <w:rPr>
                <w:rFonts w:ascii="Arial" w:cs="Arial" w:eastAsia="Arial" w:hAnsi="Arial"/>
                <w:sz w:val="6"/>
                <w:szCs w:val="6"/>
                <w:color w:val="auto"/>
              </w:rPr>
              <w:t>​ ​</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40" w:right="160"/>
        <w:spacing w:after="0" w:line="252" w:lineRule="auto"/>
        <w:rPr>
          <w:sz w:val="20"/>
          <w:szCs w:val="20"/>
          <w:color w:val="auto"/>
        </w:rPr>
      </w:pPr>
      <w:r>
        <w:rPr>
          <w:rFonts w:ascii="Arial" w:cs="Arial" w:eastAsia="Arial" w:hAnsi="Arial"/>
          <w:sz w:val="18"/>
          <w:szCs w:val="18"/>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 Currently, all of our executive officers and directors are still within their transition periods and therefore not yet required to hold the minimum thresholds.</w:t>
      </w:r>
    </w:p>
    <w:p>
      <w:pPr>
        <w:spacing w:after="0" w:line="105" w:lineRule="exact"/>
        <w:rPr>
          <w:sz w:val="20"/>
          <w:szCs w:val="20"/>
          <w:color w:val="auto"/>
        </w:rPr>
      </w:pPr>
    </w:p>
    <w:p>
      <w:pPr>
        <w:ind w:left="440" w:right="1260"/>
        <w:spacing w:after="0" w:line="258" w:lineRule="auto"/>
        <w:rPr>
          <w:sz w:val="20"/>
          <w:szCs w:val="20"/>
          <w:color w:val="auto"/>
        </w:rPr>
      </w:pPr>
      <w:r>
        <w:rPr>
          <w:rFonts w:ascii="Arial" w:cs="Arial" w:eastAsia="Arial" w:hAnsi="Arial"/>
          <w:sz w:val="43"/>
          <w:szCs w:val="43"/>
          <w:b w:val="1"/>
          <w:bCs w:val="1"/>
          <w:color w:val="7F7F7F"/>
        </w:rPr>
        <w:t>SECTION 16(A) BENEFICIAL OWNERSHIP REPORTING COMPLIANCE</w:t>
      </w:r>
    </w:p>
    <w:p>
      <w:pPr>
        <w:spacing w:after="0" w:line="1" w:lineRule="exact"/>
        <w:rPr>
          <w:sz w:val="20"/>
          <w:szCs w:val="20"/>
          <w:color w:val="auto"/>
        </w:rPr>
      </w:pPr>
    </w:p>
    <w:p>
      <w:pPr>
        <w:ind w:left="440" w:right="240"/>
        <w:spacing w:after="0" w:line="243" w:lineRule="auto"/>
        <w:rPr>
          <w:sz w:val="20"/>
          <w:szCs w:val="20"/>
          <w:color w:val="auto"/>
        </w:rPr>
      </w:pPr>
      <w:r>
        <w:rPr>
          <w:rFonts w:ascii="Arial" w:cs="Arial" w:eastAsia="Arial" w:hAnsi="Arial"/>
          <w:sz w:val="18"/>
          <w:szCs w:val="18"/>
          <w:color w:val="auto"/>
        </w:rPr>
        <w:t>All of our executive officers and directors are required to file initial reports of share ownership and reports of changes in ownership with the SEC pursuant to Section 16(a) of the Exchange Act. We have reviewed these reports, including any amendments, and written representations from the executive officers and directors of the Company. Based on this review, we believe that all 2021 filing requirements were met for each of our directors and executive officers subject to</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16(a).</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INCORPORATION BY REFERENCE</w:t>
      </w:r>
    </w:p>
    <w:p>
      <w:pPr>
        <w:spacing w:after="0" w:line="111" w:lineRule="exact"/>
        <w:rPr>
          <w:sz w:val="20"/>
          <w:szCs w:val="20"/>
          <w:color w:val="auto"/>
        </w:rPr>
      </w:pPr>
    </w:p>
    <w:p>
      <w:pPr>
        <w:ind w:left="440" w:right="100"/>
        <w:spacing w:after="0" w:line="248" w:lineRule="auto"/>
        <w:rPr>
          <w:sz w:val="20"/>
          <w:szCs w:val="20"/>
          <w:color w:val="auto"/>
        </w:rPr>
      </w:pPr>
      <w:r>
        <w:rPr>
          <w:rFonts w:ascii="Arial" w:cs="Arial" w:eastAsia="Arial" w:hAnsi="Arial"/>
          <w:sz w:val="18"/>
          <w:szCs w:val="18"/>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96" w:lineRule="exact"/>
        <w:rPr>
          <w:sz w:val="20"/>
          <w:szCs w:val="20"/>
          <w:color w:val="auto"/>
        </w:rPr>
      </w:pPr>
    </w:p>
    <w:p>
      <w:pPr>
        <w:ind w:left="440" w:right="1880"/>
        <w:spacing w:after="0" w:line="258" w:lineRule="auto"/>
        <w:rPr>
          <w:sz w:val="20"/>
          <w:szCs w:val="20"/>
          <w:color w:val="auto"/>
        </w:rPr>
      </w:pPr>
      <w:r>
        <w:rPr>
          <w:rFonts w:ascii="Arial" w:cs="Arial" w:eastAsia="Arial" w:hAnsi="Arial"/>
          <w:sz w:val="43"/>
          <w:szCs w:val="43"/>
          <w:b w:val="1"/>
          <w:bCs w:val="1"/>
          <w:color w:val="7F7F7F"/>
        </w:rPr>
        <w:t>PRESENTATION OF IRISH STATUTORY ACCOUNTS</w:t>
      </w:r>
    </w:p>
    <w:p>
      <w:pPr>
        <w:spacing w:after="0" w:line="1" w:lineRule="exact"/>
        <w:rPr>
          <w:sz w:val="20"/>
          <w:szCs w:val="20"/>
          <w:color w:val="auto"/>
        </w:rPr>
      </w:pPr>
    </w:p>
    <w:p>
      <w:pPr>
        <w:ind w:left="440" w:right="120"/>
        <w:spacing w:after="0" w:line="246" w:lineRule="auto"/>
        <w:rPr>
          <w:sz w:val="20"/>
          <w:szCs w:val="20"/>
          <w:color w:val="auto"/>
        </w:rPr>
      </w:pPr>
      <w:r>
        <w:rPr>
          <w:rFonts w:ascii="Arial" w:cs="Arial" w:eastAsia="Arial" w:hAnsi="Arial"/>
          <w:sz w:val="18"/>
          <w:szCs w:val="18"/>
          <w:color w:val="auto"/>
        </w:rPr>
        <w:t xml:space="preserve">The Company’s Irish Statutory Accounts for the fiscal year ended December 31, 2021, including the reports of the directors and Irish statutory auditor thereon, will be laid before at the AGM, and the Company’s management will present a review of the Company’s affairs. The Company’s Irish Statutory Accounts have been approved by the Board of Directors of the Company. There is no requirement under Irish law that such statements be approved by shareholders, and no such approval will be sought at the AGM. The Company’s Irish Statutory Accounts are available with the Proxy Statement, and the Company’s Annual Report at </w:t>
      </w:r>
      <w:r>
        <w:rPr>
          <w:rFonts w:ascii="Arial" w:cs="Arial" w:eastAsia="Arial" w:hAnsi="Arial"/>
          <w:sz w:val="18"/>
          <w:szCs w:val="18"/>
          <w:i w:val="1"/>
          <w:iCs w:val="1"/>
          <w:color w:val="auto"/>
        </w:rPr>
        <w:t>www.weatherfordannualmeeting.com</w:t>
      </w:r>
      <w:r>
        <w:rPr>
          <w:rFonts w:ascii="Arial" w:cs="Arial" w:eastAsia="Arial" w:hAnsi="Arial"/>
          <w:sz w:val="18"/>
          <w:szCs w:val="18"/>
          <w:color w:val="auto"/>
        </w:rPr>
        <w:t xml:space="preserve"> and in the Investor Relations section of the Company’s website at </w:t>
      </w:r>
      <w:r>
        <w:rPr>
          <w:rFonts w:ascii="Arial" w:cs="Arial" w:eastAsia="Arial" w:hAnsi="Arial"/>
          <w:sz w:val="18"/>
          <w:szCs w:val="18"/>
          <w:i w:val="1"/>
          <w:iCs w:val="1"/>
          <w:color w:val="auto"/>
        </w:rPr>
        <w:t>www.weatherford.com</w:t>
      </w:r>
      <w:r>
        <w:rPr>
          <w:rFonts w:ascii="Arial" w:cs="Arial" w:eastAsia="Arial" w:hAnsi="Arial"/>
          <w:sz w:val="18"/>
          <w:szCs w:val="18"/>
          <w:color w:val="auto"/>
        </w:rPr>
        <w: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PROPOSALS BY SHAREHOLDERS</w:t>
      </w:r>
    </w:p>
    <w:p>
      <w:pPr>
        <w:spacing w:after="0" w:line="124" w:lineRule="exact"/>
        <w:rPr>
          <w:sz w:val="20"/>
          <w:szCs w:val="20"/>
          <w:color w:val="auto"/>
        </w:rPr>
      </w:pPr>
    </w:p>
    <w:p>
      <w:pPr>
        <w:ind w:left="440" w:right="740"/>
        <w:spacing w:after="0" w:line="301" w:lineRule="auto"/>
        <w:rPr>
          <w:sz w:val="20"/>
          <w:szCs w:val="20"/>
          <w:color w:val="auto"/>
        </w:rPr>
      </w:pPr>
      <w:r>
        <w:rPr>
          <w:rFonts w:ascii="Arial" w:cs="Arial" w:eastAsia="Arial" w:hAnsi="Arial"/>
          <w:sz w:val="17"/>
          <w:szCs w:val="17"/>
          <w:color w:val="auto"/>
        </w:rPr>
        <w:t>Rule 14a-8 under the Exchange Act addresses when a company must include a shareholder’s proposal in its Proxy Statement and identify the proposal in its form of proxy when the company holds a meeting of shareholders.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95250</wp:posOffset>
            </wp:positionV>
            <wp:extent cx="6231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6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124460</wp:posOffset>
            </wp:positionV>
            <wp:extent cx="6231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666666"/>
        </w:rPr>
        <w:t>OTHER INFORMATION</w:t>
      </w:r>
    </w:p>
    <w:p>
      <w:pPr>
        <w:spacing w:after="0" w:line="153" w:lineRule="exact"/>
        <w:rPr>
          <w:sz w:val="20"/>
          <w:szCs w:val="20"/>
          <w:color w:val="auto"/>
        </w:rPr>
      </w:pPr>
    </w:p>
    <w:p>
      <w:pPr>
        <w:ind w:left="440"/>
        <w:spacing w:after="0" w:line="261" w:lineRule="auto"/>
        <w:rPr>
          <w:sz w:val="20"/>
          <w:szCs w:val="20"/>
          <w:color w:val="auto"/>
        </w:rPr>
      </w:pPr>
      <w:r>
        <w:rPr>
          <w:rFonts w:ascii="Arial" w:cs="Arial" w:eastAsia="Arial" w:hAnsi="Arial"/>
          <w:sz w:val="18"/>
          <w:szCs w:val="18"/>
          <w:color w:val="auto"/>
        </w:rPr>
        <w:t>Rule 14a-8, in order for your proposals to be considered for inclusion in the Proxy Statement and proxy card relating to our 2023 AGM, your proposals must be received by us by December 23, 2022 and must otherwise comply with Rule 14a-8. Any proposal received after such date will be considered untimely.</w:t>
      </w:r>
    </w:p>
    <w:p>
      <w:pPr>
        <w:spacing w:after="0" w:line="54" w:lineRule="exact"/>
        <w:rPr>
          <w:sz w:val="20"/>
          <w:szCs w:val="20"/>
          <w:color w:val="auto"/>
        </w:rPr>
      </w:pPr>
    </w:p>
    <w:p>
      <w:pPr>
        <w:jc w:val="both"/>
        <w:ind w:left="440" w:right="60"/>
        <w:spacing w:after="0" w:line="261" w:lineRule="auto"/>
        <w:rPr>
          <w:sz w:val="20"/>
          <w:szCs w:val="20"/>
          <w:color w:val="auto"/>
        </w:rPr>
      </w:pPr>
      <w:r>
        <w:rPr>
          <w:rFonts w:ascii="Arial" w:cs="Arial" w:eastAsia="Arial" w:hAnsi="Arial"/>
          <w:sz w:val="17"/>
          <w:szCs w:val="17"/>
          <w:color w:val="auto"/>
        </w:rPr>
        <w:t>If you desire have a nominee considered by our shareholders or to bring a matter before the 2023 AGM and the proposal is submitted outside the process of Rule 14a-8, you may use the procedures set forth in our Articles. Our Articles provide that a person who (i) is a registered shareholder (A) at the time of the notice, referred to below and (B) at the time of the AGM,</w:t>
      </w:r>
    </w:p>
    <w:p>
      <w:pPr>
        <w:spacing w:after="0" w:line="1" w:lineRule="exact"/>
        <w:rPr>
          <w:sz w:val="20"/>
          <w:szCs w:val="20"/>
          <w:color w:val="auto"/>
        </w:rPr>
      </w:pPr>
    </w:p>
    <w:p>
      <w:pPr>
        <w:ind w:left="440" w:right="80" w:hanging="2"/>
        <w:spacing w:after="0" w:line="257" w:lineRule="auto"/>
        <w:tabs>
          <w:tab w:leader="none" w:pos="688" w:val="left"/>
        </w:tabs>
        <w:numPr>
          <w:ilvl w:val="0"/>
          <w:numId w:val="71"/>
        </w:numPr>
        <w:rPr>
          <w:rFonts w:ascii="Arial" w:cs="Arial" w:eastAsia="Arial" w:hAnsi="Arial"/>
          <w:sz w:val="17"/>
          <w:szCs w:val="17"/>
          <w:color w:val="auto"/>
        </w:rPr>
      </w:pPr>
      <w:r>
        <w:rPr>
          <w:rFonts w:ascii="Arial" w:cs="Arial" w:eastAsia="Arial" w:hAnsi="Arial"/>
          <w:sz w:val="17"/>
          <w:szCs w:val="17"/>
          <w:color w:val="auto"/>
        </w:rPr>
        <w:t>is entitled to vote at the AGM and (iii) complies with the notice and certain other relevant provisions of the Articles, may, by timely written notice, bring a nomination for the election of a director or other business before an AGM. To be timely for an AGM, a registered shareholder’s notice to bring a nomination or other business must be delivered or mailed and received at the Company’s registered office, addressed to the Corporate Secretary no earlier than 120 calendar days and no later than 90 calendar days before the first anniversary of the Company’s AGM for the prior year (being, in the case of the 2023 AGM, February 2, 2023 and March 4, 2023 respectively); provided, however, that (A) if the annual meeting of shareholders is advanced by more than 30 days, or delayed by more than 60 days, from the first anniversary of the prior year’s AGM or (B) if no annual meeting was held during the prior year, the notice by the registered shareholder to be timely must be received (1) no earlier than 120 days before such AGM and (2) no later than the later of 90 days before such AGM and the tenth day after the day on which the notice of such AGM was first made by mail or public disclosure.</w:t>
      </w:r>
    </w:p>
    <w:p>
      <w:pPr>
        <w:spacing w:after="0" w:line="62" w:lineRule="exact"/>
        <w:rPr>
          <w:sz w:val="20"/>
          <w:szCs w:val="20"/>
          <w:color w:val="auto"/>
        </w:rPr>
      </w:pPr>
    </w:p>
    <w:p>
      <w:pPr>
        <w:ind w:left="440" w:right="120"/>
        <w:spacing w:after="0" w:line="261"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AGM commence a new time period (or extend any time period) for the giving of the notice of business. The request must specify any other information that would be required to be included in a proxy statement pursuant to the rules of the SEC.</w:t>
      </w:r>
    </w:p>
    <w:p>
      <w:pPr>
        <w:spacing w:after="0" w:line="54" w:lineRule="exact"/>
        <w:rPr>
          <w:sz w:val="20"/>
          <w:szCs w:val="20"/>
          <w:color w:val="auto"/>
        </w:rPr>
      </w:pPr>
    </w:p>
    <w:p>
      <w:pPr>
        <w:ind w:left="440"/>
        <w:spacing w:after="0" w:line="251"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p>
    <w:p>
      <w:pPr>
        <w:spacing w:after="0" w:line="65" w:lineRule="exact"/>
        <w:rPr>
          <w:sz w:val="20"/>
          <w:szCs w:val="20"/>
          <w:color w:val="auto"/>
        </w:rPr>
      </w:pPr>
    </w:p>
    <w:p>
      <w:pPr>
        <w:ind w:left="440" w:right="240"/>
        <w:spacing w:after="0" w:line="261"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OTHER BUSINESS</w:t>
      </w:r>
    </w:p>
    <w:p>
      <w:pPr>
        <w:spacing w:after="0" w:line="124" w:lineRule="exact"/>
        <w:rPr>
          <w:sz w:val="20"/>
          <w:szCs w:val="20"/>
          <w:color w:val="auto"/>
        </w:rPr>
      </w:pPr>
    </w:p>
    <w:p>
      <w:pPr>
        <w:ind w:left="440" w:right="20"/>
        <w:spacing w:after="0" w:line="252" w:lineRule="auto"/>
        <w:rPr>
          <w:sz w:val="20"/>
          <w:szCs w:val="20"/>
          <w:color w:val="auto"/>
        </w:rPr>
      </w:pPr>
      <w:r>
        <w:rPr>
          <w:rFonts w:ascii="Arial" w:cs="Arial" w:eastAsia="Arial" w:hAnsi="Arial"/>
          <w:sz w:val="18"/>
          <w:szCs w:val="18"/>
          <w:color w:val="auto"/>
        </w:rPr>
        <w:t>We know of no other business that will be brought before the AGM.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HOUSEHOLDING</w:t>
      </w:r>
    </w:p>
    <w:p>
      <w:pPr>
        <w:spacing w:after="0" w:line="124" w:lineRule="exact"/>
        <w:rPr>
          <w:sz w:val="20"/>
          <w:szCs w:val="20"/>
          <w:color w:val="auto"/>
        </w:rPr>
      </w:pPr>
    </w:p>
    <w:p>
      <w:pPr>
        <w:ind w:left="440" w:right="240"/>
        <w:spacing w:after="0" w:line="252" w:lineRule="auto"/>
        <w:rPr>
          <w:sz w:val="20"/>
          <w:szCs w:val="20"/>
          <w:color w:val="auto"/>
        </w:rPr>
      </w:pPr>
      <w:r>
        <w:rPr>
          <w:rFonts w:ascii="Arial" w:cs="Arial" w:eastAsia="Arial" w:hAnsi="Arial"/>
          <w:sz w:val="18"/>
          <w:szCs w:val="18"/>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62" w:lineRule="exact"/>
        <w:rPr>
          <w:sz w:val="20"/>
          <w:szCs w:val="20"/>
          <w:color w:val="auto"/>
        </w:rPr>
      </w:pPr>
    </w:p>
    <w:p>
      <w:pPr>
        <w:ind w:left="440"/>
        <w:spacing w:after="0" w:line="244"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43"/>
          <w:szCs w:val="43"/>
          <w:b w:val="1"/>
          <w:bCs w:val="1"/>
          <w:color w:val="7F7F7F"/>
        </w:rPr>
        <w:t>ADDITIONAL INFORMATION AVAILABLE</w:t>
      </w:r>
    </w:p>
    <w:p>
      <w:pPr>
        <w:spacing w:after="0" w:line="124" w:lineRule="exact"/>
        <w:rPr>
          <w:sz w:val="20"/>
          <w:szCs w:val="20"/>
          <w:color w:val="auto"/>
        </w:rPr>
      </w:pPr>
    </w:p>
    <w:p>
      <w:pPr>
        <w:ind w:left="440"/>
        <w:spacing w:after="0" w:line="301" w:lineRule="auto"/>
        <w:rPr>
          <w:sz w:val="20"/>
          <w:szCs w:val="20"/>
          <w:color w:val="auto"/>
        </w:rPr>
      </w:pPr>
      <w:r>
        <w:rPr>
          <w:rFonts w:ascii="Arial" w:cs="Arial" w:eastAsia="Arial" w:hAnsi="Arial"/>
          <w:sz w:val="17"/>
          <w:szCs w:val="17"/>
          <w:color w:val="auto"/>
        </w:rPr>
        <w:t>The 2021 Annual Report on Form 10-K and the audited consolidated financial statements of Weatherford for the year ended December 31, 2021 and accompanying directors’ auditor’s reports have been filed with the SEC. Complete copies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95250</wp:posOffset>
            </wp:positionV>
            <wp:extent cx="6231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61" w:lineRule="exact"/>
        <w:rPr>
          <w:sz w:val="20"/>
          <w:szCs w:val="20"/>
          <w:color w:val="auto"/>
        </w:rPr>
      </w:pPr>
    </w:p>
    <w:p>
      <w:pPr>
        <w:ind w:left="720" w:hanging="282"/>
        <w:spacing w:after="0"/>
        <w:tabs>
          <w:tab w:leader="none" w:pos="720" w:val="left"/>
        </w:tabs>
        <w:numPr>
          <w:ilvl w:val="0"/>
          <w:numId w:val="7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666666"/>
        </w:rPr>
        <w:t>OTHER INFORMATION</w:t>
      </w:r>
    </w:p>
    <w:p>
      <w:pPr>
        <w:spacing w:after="0" w:line="153" w:lineRule="exact"/>
        <w:rPr>
          <w:sz w:val="20"/>
          <w:szCs w:val="20"/>
          <w:color w:val="auto"/>
        </w:rPr>
      </w:pPr>
    </w:p>
    <w:p>
      <w:pPr>
        <w:ind w:left="440" w:right="240"/>
        <w:spacing w:after="0" w:line="257" w:lineRule="auto"/>
        <w:rPr>
          <w:sz w:val="20"/>
          <w:szCs w:val="20"/>
          <w:color w:val="auto"/>
        </w:rPr>
      </w:pPr>
      <w:r>
        <w:rPr>
          <w:rFonts w:ascii="Arial" w:cs="Arial" w:eastAsia="Arial" w:hAnsi="Arial"/>
          <w:sz w:val="18"/>
          <w:szCs w:val="18"/>
          <w:color w:val="auto"/>
        </w:rPr>
        <w:t>these materials are available on our website at www.weatherford.com.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22, 2022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111760</wp:posOffset>
            </wp:positionV>
            <wp:extent cx="2108835" cy="3346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0883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Christine M. Morrison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Vice President, Deputy General Counsel and Corporate Secretary</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5638165</wp:posOffset>
            </wp:positionV>
            <wp:extent cx="6231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311" w:lineRule="exact"/>
        <w:rPr>
          <w:sz w:val="20"/>
          <w:szCs w:val="20"/>
          <w:color w:val="auto"/>
        </w:rPr>
      </w:pPr>
    </w:p>
    <w:p>
      <w:pPr>
        <w:ind w:left="440" w:right="860"/>
        <w:spacing w:after="0" w:line="246" w:lineRule="auto"/>
        <w:rPr>
          <w:sz w:val="20"/>
          <w:szCs w:val="20"/>
          <w:color w:val="auto"/>
        </w:rPr>
      </w:pPr>
      <w:r>
        <w:rPr>
          <w:rFonts w:ascii="Arial" w:cs="Arial" w:eastAsia="Arial" w:hAnsi="Arial"/>
          <w:sz w:val="63"/>
          <w:szCs w:val="63"/>
          <w:b w:val="1"/>
          <w:bCs w:val="1"/>
          <w:color w:val="BA0C2F"/>
        </w:rPr>
        <w:t>ANNEX A – RECONCILIATION OF GAAP TO NON-GAAP FINANCIAL MEASURES</w:t>
      </w:r>
    </w:p>
    <w:p>
      <w:pPr>
        <w:spacing w:after="0" w:line="5" w:lineRule="exact"/>
        <w:rPr>
          <w:sz w:val="20"/>
          <w:szCs w:val="20"/>
          <w:color w:val="auto"/>
        </w:rPr>
      </w:pPr>
    </w:p>
    <w:p>
      <w:pPr>
        <w:ind w:left="440" w:right="160"/>
        <w:spacing w:after="0" w:line="253"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for Adjusted EBITDA shown in the following table should not be considered as substitutes for net income or other data prepared and reported in accordance with GAAP, but should be viewed in addition to our reported results prepared in accordance with GAAP.</w:t>
      </w:r>
    </w:p>
    <w:p>
      <w:pPr>
        <w:spacing w:after="0" w:line="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Adjusted EBITDA, Net Debt/Adjusted EBITDA and Free Cash Flow</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6100" w:type="dxa"/>
            <w:vAlign w:val="bottom"/>
          </w:tcPr>
          <w:p>
            <w:pPr>
              <w:spacing w:after="0"/>
              <w:rPr>
                <w:sz w:val="20"/>
                <w:szCs w:val="20"/>
                <w:color w:val="auto"/>
              </w:rPr>
            </w:pPr>
            <w:r>
              <w:rPr>
                <w:rFonts w:ascii="Arial" w:cs="Arial" w:eastAsia="Arial" w:hAnsi="Arial"/>
                <w:sz w:val="14"/>
                <w:szCs w:val="14"/>
                <w:b w:val="1"/>
                <w:bCs w:val="1"/>
                <w:color w:val="auto"/>
              </w:rPr>
              <w:t>​ ​</w:t>
            </w: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line="23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7"/>
                <w:szCs w:val="27"/>
                <w:b w:val="1"/>
                <w:bCs w:val="1"/>
                <w:color w:val="auto"/>
                <w:vertAlign w:val="superscript"/>
              </w:rPr>
              <w:t>​</w:t>
            </w:r>
          </w:p>
        </w:tc>
        <w:tc>
          <w:tcPr>
            <w:tcW w:w="48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12/31/21</w:t>
            </w:r>
          </w:p>
        </w:tc>
        <w:tc>
          <w:tcPr>
            <w:tcW w:w="12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5"/>
          </w:tcPr>
          <w:p>
            <w:pPr>
              <w:ind w:left="120"/>
              <w:spacing w:after="0" w:line="236" w:lineRule="exact"/>
              <w:rPr>
                <w:sz w:val="20"/>
                <w:szCs w:val="20"/>
                <w:color w:val="auto"/>
              </w:rPr>
            </w:pPr>
            <w:r>
              <w:rPr>
                <w:rFonts w:ascii="Arial" w:cs="Arial" w:eastAsia="Arial" w:hAnsi="Arial"/>
                <w:sz w:val="14"/>
                <w:szCs w:val="14"/>
                <w:b w:val="1"/>
                <w:bCs w:val="1"/>
                <w:color w:val="auto"/>
              </w:rPr>
              <w:t xml:space="preserve">12/31/20 </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196"/>
        </w:trPr>
        <w:tc>
          <w:tcPr>
            <w:tcW w:w="6100" w:type="dxa"/>
            <w:vAlign w:val="bottom"/>
            <w:tcBorders>
              <w:top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b w:val="1"/>
                <w:bCs w:val="1"/>
                <w:color w:val="auto"/>
              </w:rPr>
              <w:t>Net Income (Loss) Attributable to Weatherford</w:t>
            </w:r>
          </w:p>
        </w:tc>
        <w:tc>
          <w:tcPr>
            <w:tcW w:w="480" w:type="dxa"/>
            <w:vAlign w:val="bottom"/>
            <w:tcBorders>
              <w:top w:val="single" w:sz="8" w:color="auto"/>
            </w:tcBorders>
            <w:vMerge w:val="restart"/>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CCCC"/>
          </w:tcPr>
          <w:p>
            <w:pPr>
              <w:ind w:left="2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CCCC"/>
          </w:tcPr>
          <w:p>
            <w:pPr>
              <w:spacing w:after="0"/>
              <w:rPr>
                <w:sz w:val="17"/>
                <w:szCs w:val="17"/>
                <w:color w:val="auto"/>
              </w:rPr>
            </w:pPr>
          </w:p>
        </w:tc>
        <w:tc>
          <w:tcPr>
            <w:tcW w:w="520" w:type="dxa"/>
            <w:vAlign w:val="bottom"/>
            <w:tcBorders>
              <w:top w:val="single" w:sz="8" w:color="auto"/>
            </w:tcBorders>
            <w:shd w:val="clear" w:color="auto" w:fill="CCCCCC"/>
          </w:tcPr>
          <w:p>
            <w:pPr>
              <w:jc w:val="right"/>
              <w:spacing w:after="0" w:line="196" w:lineRule="exact"/>
              <w:rPr>
                <w:sz w:val="20"/>
                <w:szCs w:val="20"/>
                <w:color w:val="auto"/>
              </w:rPr>
            </w:pPr>
            <w:r>
              <w:rPr>
                <w:rFonts w:ascii="Arial" w:cs="Arial" w:eastAsia="Arial" w:hAnsi="Arial"/>
                <w:sz w:val="18"/>
                <w:szCs w:val="18"/>
                <w:color w:val="auto"/>
              </w:rPr>
              <w:t>(450)</w:t>
            </w:r>
          </w:p>
        </w:tc>
        <w:tc>
          <w:tcPr>
            <w:tcW w:w="120" w:type="dxa"/>
            <w:vAlign w:val="bottom"/>
            <w:tcBorders>
              <w:top w:val="single" w:sz="8" w:color="auto"/>
            </w:tcBorders>
            <w:shd w:val="clear" w:color="auto" w:fill="CCCCCC"/>
          </w:tcPr>
          <w:p>
            <w:pPr>
              <w:spacing w:after="0"/>
              <w:rPr>
                <w:sz w:val="17"/>
                <w:szCs w:val="17"/>
                <w:color w:val="auto"/>
              </w:rPr>
            </w:pPr>
          </w:p>
        </w:tc>
        <w:tc>
          <w:tcPr>
            <w:tcW w:w="380" w:type="dxa"/>
            <w:vAlign w:val="bottom"/>
            <w:tcBorders>
              <w:top w:val="single" w:sz="8" w:color="auto"/>
            </w:tcBorders>
            <w:vMerge w:val="restart"/>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4"/>
            <w:shd w:val="clear" w:color="auto" w:fill="CCCCCC"/>
          </w:tcPr>
          <w:p>
            <w:pPr>
              <w:jc w:val="right"/>
              <w:spacing w:after="0" w:line="196" w:lineRule="exact"/>
              <w:rPr>
                <w:sz w:val="20"/>
                <w:szCs w:val="20"/>
                <w:color w:val="auto"/>
              </w:rPr>
            </w:pPr>
            <w:r>
              <w:rPr>
                <w:rFonts w:ascii="Arial" w:cs="Arial" w:eastAsia="Arial" w:hAnsi="Arial"/>
                <w:sz w:val="18"/>
                <w:szCs w:val="18"/>
                <w:color w:val="auto"/>
              </w:rPr>
              <w:t>$(1,921)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100" w:type="dxa"/>
            <w:vAlign w:val="bottom"/>
            <w:shd w:val="clear" w:color="auto" w:fill="CCCCCC"/>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vMerge w:val="continue"/>
            <w:shd w:val="clear" w:color="auto" w:fill="CCCCCC"/>
          </w:tcPr>
          <w:p>
            <w:pPr>
              <w:spacing w:after="0"/>
              <w:rPr>
                <w:sz w:val="5"/>
                <w:szCs w:val="5"/>
                <w:color w:val="auto"/>
              </w:rPr>
            </w:pPr>
          </w:p>
        </w:tc>
        <w:tc>
          <w:tcPr>
            <w:tcW w:w="660" w:type="dxa"/>
            <w:vAlign w:val="bottom"/>
            <w:vMerge w:val="continue"/>
            <w:shd w:val="clear" w:color="auto" w:fill="CCCCCC"/>
          </w:tcPr>
          <w:p>
            <w:pPr>
              <w:spacing w:after="0"/>
              <w:rPr>
                <w:sz w:val="5"/>
                <w:szCs w:val="5"/>
                <w:color w:val="auto"/>
              </w:rPr>
            </w:pPr>
          </w:p>
        </w:tc>
        <w:tc>
          <w:tcPr>
            <w:tcW w:w="120" w:type="dxa"/>
            <w:vAlign w:val="bottom"/>
            <w:shd w:val="clear" w:color="auto" w:fill="CCCCCC"/>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shd w:val="clear" w:color="auto" w:fill="CCCCCC"/>
          </w:tcPr>
          <w:p>
            <w:pPr>
              <w:spacing w:after="0"/>
              <w:rPr>
                <w:sz w:val="5"/>
                <w:szCs w:val="5"/>
                <w:color w:val="auto"/>
              </w:rPr>
            </w:pPr>
          </w:p>
        </w:tc>
        <w:tc>
          <w:tcPr>
            <w:tcW w:w="520" w:type="dxa"/>
            <w:vAlign w:val="bottom"/>
            <w:shd w:val="clear" w:color="auto" w:fill="CCCCCC"/>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CCCC"/>
          </w:tcPr>
          <w:p>
            <w:pPr>
              <w:spacing w:after="0"/>
              <w:rPr>
                <w:sz w:val="5"/>
                <w:szCs w:val="5"/>
                <w:color w:val="auto"/>
              </w:rPr>
            </w:pPr>
          </w:p>
        </w:tc>
        <w:tc>
          <w:tcPr>
            <w:tcW w:w="380" w:type="dxa"/>
            <w:vAlign w:val="bottom"/>
            <w:vMerge w:val="continue"/>
            <w:shd w:val="clear" w:color="auto" w:fill="CCCCCC"/>
          </w:tcPr>
          <w:p>
            <w:pPr>
              <w:spacing w:after="0"/>
              <w:rPr>
                <w:sz w:val="5"/>
                <w:szCs w:val="5"/>
                <w:color w:val="auto"/>
              </w:rPr>
            </w:pPr>
          </w:p>
        </w:tc>
        <w:tc>
          <w:tcPr>
            <w:tcW w:w="460" w:type="dxa"/>
            <w:vAlign w:val="bottom"/>
            <w:vMerge w:val="continue"/>
            <w:shd w:val="clear" w:color="auto" w:fill="CCCCCC"/>
          </w:tcPr>
          <w:p>
            <w:pPr>
              <w:spacing w:after="0"/>
              <w:rPr>
                <w:sz w:val="5"/>
                <w:szCs w:val="5"/>
                <w:color w:val="auto"/>
              </w:rPr>
            </w:pPr>
          </w:p>
        </w:tc>
        <w:tc>
          <w:tcPr>
            <w:tcW w:w="200" w:type="dxa"/>
            <w:vAlign w:val="bottom"/>
            <w:shd w:val="clear" w:color="auto" w:fill="CCCCCC"/>
          </w:tcPr>
          <w:p>
            <w:pPr>
              <w:ind w:left="80"/>
              <w:spacing w:after="0" w:line="68" w:lineRule="exact"/>
              <w:rPr>
                <w:sz w:val="20"/>
                <w:szCs w:val="20"/>
                <w:color w:val="auto"/>
              </w:rPr>
            </w:pPr>
            <w:r>
              <w:rPr>
                <w:rFonts w:ascii="Arial" w:cs="Arial" w:eastAsia="Arial" w:hAnsi="Arial"/>
                <w:sz w:val="7"/>
                <w:szCs w:val="7"/>
                <w:color w:val="auto"/>
              </w:rPr>
              <w:t>​</w:t>
            </w:r>
          </w:p>
        </w:tc>
        <w:tc>
          <w:tcPr>
            <w:tcW w:w="100" w:type="dxa"/>
            <w:vAlign w:val="bottom"/>
            <w:shd w:val="clear" w:color="auto" w:fill="CCCCCC"/>
          </w:tcPr>
          <w:p>
            <w:pPr>
              <w:spacing w:after="0"/>
              <w:rPr>
                <w:sz w:val="5"/>
                <w:szCs w:val="5"/>
                <w:color w:val="auto"/>
              </w:rPr>
            </w:pPr>
          </w:p>
        </w:tc>
        <w:tc>
          <w:tcPr>
            <w:tcW w:w="400" w:type="dxa"/>
            <w:vAlign w:val="bottom"/>
            <w:shd w:val="clear" w:color="auto" w:fill="CCCCCC"/>
          </w:tcPr>
          <w:p>
            <w:pPr>
              <w:spacing w:after="0"/>
              <w:rPr>
                <w:sz w:val="5"/>
                <w:szCs w:val="5"/>
                <w:color w:val="auto"/>
              </w:rPr>
            </w:pPr>
          </w:p>
        </w:tc>
        <w:tc>
          <w:tcPr>
            <w:tcW w:w="120" w:type="dxa"/>
            <w:vAlign w:val="bottom"/>
            <w:shd w:val="clear" w:color="auto" w:fill="CCCCCC"/>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Net Income Attributable to Noncontrolling Interests</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tcPr>
          <w:p>
            <w:pPr>
              <w:jc w:val="right"/>
              <w:spacing w:after="0" w:line="269" w:lineRule="exact"/>
              <w:rPr>
                <w:sz w:val="20"/>
                <w:szCs w:val="20"/>
                <w:color w:val="auto"/>
              </w:rPr>
            </w:pPr>
            <w:r>
              <w:rPr>
                <w:rFonts w:ascii="Arial" w:cs="Arial" w:eastAsia="Arial" w:hAnsi="Arial"/>
                <w:sz w:val="17"/>
                <w:szCs w:val="17"/>
                <w:color w:val="auto"/>
              </w:rPr>
              <w:t>21</w:t>
            </w:r>
            <w:r>
              <w:rPr>
                <w:rFonts w:ascii="Arial" w:cs="Arial" w:eastAsia="Arial" w:hAnsi="Arial"/>
                <w:sz w:val="31"/>
                <w:szCs w:val="31"/>
                <w:color w:val="auto"/>
                <w:vertAlign w:val="subscript"/>
              </w:rPr>
              <w:t>​</w:t>
            </w:r>
          </w:p>
        </w:tc>
        <w:tc>
          <w:tcPr>
            <w:tcW w:w="12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80" w:type="dxa"/>
            <w:vAlign w:val="bottom"/>
            <w:gridSpan w:val="3"/>
          </w:tcPr>
          <w:p>
            <w:pPr>
              <w:jc w:val="right"/>
              <w:ind w:right="60"/>
              <w:spacing w:after="0" w:line="269" w:lineRule="exact"/>
              <w:rPr>
                <w:sz w:val="20"/>
                <w:szCs w:val="20"/>
                <w:color w:val="auto"/>
              </w:rPr>
            </w:pPr>
            <w:r>
              <w:rPr>
                <w:rFonts w:ascii="Arial" w:cs="Arial" w:eastAsia="Arial" w:hAnsi="Arial"/>
                <w:sz w:val="31"/>
                <w:szCs w:val="31"/>
                <w:color w:val="auto"/>
                <w:vertAlign w:val="superscript"/>
              </w:rPr>
              <w:t>22</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6100" w:type="dxa"/>
            <w:vAlign w:val="bottom"/>
            <w:tcBorders>
              <w:top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color w:val="auto"/>
              </w:rPr>
              <w:t>Net Income (Loss)</w:t>
            </w:r>
          </w:p>
        </w:tc>
        <w:tc>
          <w:tcPr>
            <w:tcW w:w="480" w:type="dxa"/>
            <w:vAlign w:val="bottom"/>
            <w:tcBorders>
              <w:top w:val="single" w:sz="8" w:color="auto"/>
            </w:tcBorders>
            <w:vMerge w:val="restart"/>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vMerge w:val="restart"/>
            <w:shd w:val="clear" w:color="auto" w:fill="CCCCC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CCCC"/>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CCCC"/>
          </w:tcPr>
          <w:p>
            <w:pPr>
              <w:jc w:val="right"/>
              <w:spacing w:after="0" w:line="196" w:lineRule="exact"/>
              <w:rPr>
                <w:sz w:val="20"/>
                <w:szCs w:val="20"/>
                <w:color w:val="auto"/>
              </w:rPr>
            </w:pPr>
            <w:r>
              <w:rPr>
                <w:rFonts w:ascii="Arial" w:cs="Arial" w:eastAsia="Arial" w:hAnsi="Arial"/>
                <w:sz w:val="18"/>
                <w:szCs w:val="18"/>
                <w:color w:val="auto"/>
              </w:rPr>
              <w:t>(429)</w:t>
            </w:r>
          </w:p>
        </w:tc>
        <w:tc>
          <w:tcPr>
            <w:tcW w:w="120" w:type="dxa"/>
            <w:vAlign w:val="bottom"/>
            <w:tcBorders>
              <w:top w:val="single" w:sz="8" w:color="auto"/>
            </w:tcBorders>
            <w:shd w:val="clear" w:color="auto" w:fill="CCCCCC"/>
          </w:tcPr>
          <w:p>
            <w:pPr>
              <w:spacing w:after="0"/>
              <w:rPr>
                <w:sz w:val="17"/>
                <w:szCs w:val="17"/>
                <w:color w:val="auto"/>
              </w:rPr>
            </w:pPr>
          </w:p>
        </w:tc>
        <w:tc>
          <w:tcPr>
            <w:tcW w:w="380" w:type="dxa"/>
            <w:vAlign w:val="bottom"/>
            <w:tcBorders>
              <w:top w:val="single" w:sz="8" w:color="auto"/>
            </w:tcBorders>
            <w:vMerge w:val="restart"/>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vMerge w:val="restart"/>
            <w:shd w:val="clear" w:color="auto" w:fill="CCCCC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CCCC"/>
          </w:tcPr>
          <w:p>
            <w:pPr>
              <w:jc w:val="right"/>
              <w:spacing w:after="0" w:line="196" w:lineRule="exact"/>
              <w:rPr>
                <w:sz w:val="20"/>
                <w:szCs w:val="20"/>
                <w:color w:val="auto"/>
              </w:rPr>
            </w:pPr>
            <w:r>
              <w:rPr>
                <w:rFonts w:ascii="Arial" w:cs="Arial" w:eastAsia="Arial" w:hAnsi="Arial"/>
                <w:sz w:val="18"/>
                <w:szCs w:val="18"/>
                <w:color w:val="auto"/>
                <w:w w:val="98"/>
              </w:rPr>
              <w:t>​(1,899)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100" w:type="dxa"/>
            <w:vAlign w:val="bottom"/>
            <w:shd w:val="clear" w:color="auto" w:fill="CCCCCC"/>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vMerge w:val="continue"/>
            <w:shd w:val="clear" w:color="auto" w:fill="CCCCCC"/>
          </w:tcPr>
          <w:p>
            <w:pPr>
              <w:spacing w:after="0"/>
              <w:rPr>
                <w:sz w:val="5"/>
                <w:szCs w:val="5"/>
                <w:color w:val="auto"/>
              </w:rPr>
            </w:pPr>
          </w:p>
        </w:tc>
        <w:tc>
          <w:tcPr>
            <w:tcW w:w="660" w:type="dxa"/>
            <w:vAlign w:val="bottom"/>
            <w:vMerge w:val="continue"/>
            <w:shd w:val="clear" w:color="auto" w:fill="CCCCCC"/>
          </w:tcPr>
          <w:p>
            <w:pPr>
              <w:spacing w:after="0"/>
              <w:rPr>
                <w:sz w:val="5"/>
                <w:szCs w:val="5"/>
                <w:color w:val="auto"/>
              </w:rPr>
            </w:pPr>
          </w:p>
        </w:tc>
        <w:tc>
          <w:tcPr>
            <w:tcW w:w="120" w:type="dxa"/>
            <w:vAlign w:val="bottom"/>
            <w:vMerge w:val="continue"/>
            <w:shd w:val="clear" w:color="auto" w:fill="CCCCCC"/>
          </w:tcPr>
          <w:p>
            <w:pPr>
              <w:spacing w:after="0"/>
              <w:rPr>
                <w:sz w:val="5"/>
                <w:szCs w:val="5"/>
                <w:color w:val="auto"/>
              </w:rPr>
            </w:pPr>
          </w:p>
        </w:tc>
        <w:tc>
          <w:tcPr>
            <w:tcW w:w="140" w:type="dxa"/>
            <w:vAlign w:val="bottom"/>
            <w:shd w:val="clear" w:color="auto" w:fill="CCCCCC"/>
          </w:tcPr>
          <w:p>
            <w:pPr>
              <w:spacing w:after="0"/>
              <w:rPr>
                <w:sz w:val="5"/>
                <w:szCs w:val="5"/>
                <w:color w:val="auto"/>
              </w:rPr>
            </w:pPr>
          </w:p>
        </w:tc>
        <w:tc>
          <w:tcPr>
            <w:tcW w:w="520" w:type="dxa"/>
            <w:vAlign w:val="bottom"/>
            <w:shd w:val="clear" w:color="auto" w:fill="CCCCCC"/>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shd w:val="clear" w:color="auto" w:fill="CCCCCC"/>
          </w:tcPr>
          <w:p>
            <w:pPr>
              <w:spacing w:after="0"/>
              <w:rPr>
                <w:sz w:val="5"/>
                <w:szCs w:val="5"/>
                <w:color w:val="auto"/>
              </w:rPr>
            </w:pPr>
          </w:p>
        </w:tc>
        <w:tc>
          <w:tcPr>
            <w:tcW w:w="380" w:type="dxa"/>
            <w:vAlign w:val="bottom"/>
            <w:vMerge w:val="continue"/>
            <w:shd w:val="clear" w:color="auto" w:fill="CCCCCC"/>
          </w:tcPr>
          <w:p>
            <w:pPr>
              <w:spacing w:after="0"/>
              <w:rPr>
                <w:sz w:val="5"/>
                <w:szCs w:val="5"/>
                <w:color w:val="auto"/>
              </w:rPr>
            </w:pPr>
          </w:p>
        </w:tc>
        <w:tc>
          <w:tcPr>
            <w:tcW w:w="460" w:type="dxa"/>
            <w:vAlign w:val="bottom"/>
            <w:vMerge w:val="continue"/>
            <w:shd w:val="clear" w:color="auto" w:fill="CCCCCC"/>
          </w:tcPr>
          <w:p>
            <w:pPr>
              <w:spacing w:after="0"/>
              <w:rPr>
                <w:sz w:val="5"/>
                <w:szCs w:val="5"/>
                <w:color w:val="auto"/>
              </w:rPr>
            </w:pPr>
          </w:p>
        </w:tc>
        <w:tc>
          <w:tcPr>
            <w:tcW w:w="200" w:type="dxa"/>
            <w:vAlign w:val="bottom"/>
            <w:vMerge w:val="continue"/>
            <w:shd w:val="clear" w:color="auto" w:fill="CCCCCC"/>
          </w:tcPr>
          <w:p>
            <w:pPr>
              <w:spacing w:after="0"/>
              <w:rPr>
                <w:sz w:val="5"/>
                <w:szCs w:val="5"/>
                <w:color w:val="auto"/>
              </w:rPr>
            </w:pPr>
          </w:p>
        </w:tc>
        <w:tc>
          <w:tcPr>
            <w:tcW w:w="100" w:type="dxa"/>
            <w:vAlign w:val="bottom"/>
            <w:shd w:val="clear" w:color="auto" w:fill="CCCCCC"/>
          </w:tcPr>
          <w:p>
            <w:pPr>
              <w:spacing w:after="0"/>
              <w:rPr>
                <w:sz w:val="5"/>
                <w:szCs w:val="5"/>
                <w:color w:val="auto"/>
              </w:rPr>
            </w:pPr>
          </w:p>
        </w:tc>
        <w:tc>
          <w:tcPr>
            <w:tcW w:w="400" w:type="dxa"/>
            <w:vAlign w:val="bottom"/>
            <w:shd w:val="clear" w:color="auto" w:fill="CCCCCC"/>
          </w:tcPr>
          <w:p>
            <w:pPr>
              <w:spacing w:after="0"/>
              <w:rPr>
                <w:sz w:val="5"/>
                <w:szCs w:val="5"/>
                <w:color w:val="auto"/>
              </w:rPr>
            </w:pPr>
          </w:p>
        </w:tc>
        <w:tc>
          <w:tcPr>
            <w:tcW w:w="120" w:type="dxa"/>
            <w:vAlign w:val="bottom"/>
            <w:shd w:val="clear" w:color="auto" w:fill="CCCCCC"/>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Interest Expense, Net</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tcPr>
          <w:p>
            <w:pPr>
              <w:jc w:val="right"/>
              <w:spacing w:after="0" w:line="269" w:lineRule="exact"/>
              <w:rPr>
                <w:sz w:val="20"/>
                <w:szCs w:val="20"/>
                <w:color w:val="auto"/>
              </w:rPr>
            </w:pPr>
            <w:r>
              <w:rPr>
                <w:rFonts w:ascii="Arial" w:cs="Arial" w:eastAsia="Arial" w:hAnsi="Arial"/>
                <w:sz w:val="17"/>
                <w:szCs w:val="17"/>
                <w:color w:val="auto"/>
              </w:rPr>
              <w:t>260</w:t>
            </w:r>
            <w:r>
              <w:rPr>
                <w:rFonts w:ascii="Arial" w:cs="Arial" w:eastAsia="Arial" w:hAnsi="Arial"/>
                <w:sz w:val="31"/>
                <w:szCs w:val="31"/>
                <w:color w:val="auto"/>
                <w:vertAlign w:val="subscript"/>
              </w:rPr>
              <w:t>​</w:t>
            </w:r>
          </w:p>
        </w:tc>
        <w:tc>
          <w:tcPr>
            <w:tcW w:w="12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80" w:type="dxa"/>
            <w:vAlign w:val="bottom"/>
            <w:gridSpan w:val="3"/>
          </w:tcPr>
          <w:p>
            <w:pPr>
              <w:jc w:val="right"/>
              <w:ind w:right="60"/>
              <w:spacing w:after="0" w:line="269" w:lineRule="exact"/>
              <w:rPr>
                <w:sz w:val="20"/>
                <w:szCs w:val="20"/>
                <w:color w:val="auto"/>
              </w:rPr>
            </w:pPr>
            <w:r>
              <w:rPr>
                <w:rFonts w:ascii="Arial" w:cs="Arial" w:eastAsia="Arial" w:hAnsi="Arial"/>
                <w:sz w:val="17"/>
                <w:szCs w:val="17"/>
                <w:color w:val="auto"/>
              </w:rPr>
              <w:t>251</w:t>
            </w:r>
            <w:r>
              <w:rPr>
                <w:rFonts w:ascii="Arial" w:cs="Arial" w:eastAsia="Arial" w:hAnsi="Arial"/>
                <w:sz w:val="31"/>
                <w:szCs w:val="31"/>
                <w:color w:val="auto"/>
                <w:vertAlign w:val="subscript"/>
              </w:rPr>
              <w:t>​​</w:t>
            </w:r>
          </w:p>
        </w:tc>
        <w:tc>
          <w:tcPr>
            <w:tcW w:w="0" w:type="dxa"/>
            <w:vAlign w:val="bottom"/>
          </w:tcPr>
          <w:p>
            <w:pPr>
              <w:spacing w:after="0"/>
              <w:rPr>
                <w:sz w:val="1"/>
                <w:szCs w:val="1"/>
                <w:color w:val="auto"/>
              </w:rPr>
            </w:pPr>
          </w:p>
        </w:tc>
      </w:tr>
      <w:tr>
        <w:trPr>
          <w:trHeight w:val="224"/>
        </w:trPr>
        <w:tc>
          <w:tcPr>
            <w:tcW w:w="61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Loss on Extinguishment of Debt, Bond Redemption Premium and Loss on</w:t>
            </w:r>
          </w:p>
        </w:tc>
        <w:tc>
          <w:tcPr>
            <w:tcW w:w="480" w:type="dxa"/>
            <w:vAlign w:val="bottom"/>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520" w:type="dxa"/>
            <w:vAlign w:val="bottom"/>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46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400" w:type="dxa"/>
            <w:vAlign w:val="bottom"/>
            <w:shd w:val="clear" w:color="auto" w:fill="CCCCCC"/>
          </w:tcPr>
          <w:p>
            <w:pPr>
              <w:spacing w:after="0"/>
              <w:rPr>
                <w:sz w:val="19"/>
                <w:szCs w:val="19"/>
                <w:color w:val="auto"/>
              </w:rPr>
            </w:pPr>
          </w:p>
        </w:tc>
        <w:tc>
          <w:tcPr>
            <w:tcW w:w="120" w:type="dxa"/>
            <w:vAlign w:val="bottom"/>
            <w:shd w:val="clear" w:color="auto" w:fill="CCCCC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100" w:type="dxa"/>
            <w:vAlign w:val="bottom"/>
            <w:shd w:val="clear" w:color="auto" w:fill="CCCCCC"/>
          </w:tcPr>
          <w:p>
            <w:pPr>
              <w:ind w:left="40"/>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Termination of ABL Credit Agreement</w:t>
            </w:r>
          </w:p>
        </w:tc>
        <w:tc>
          <w:tcPr>
            <w:tcW w:w="480" w:type="dxa"/>
            <w:vAlign w:val="bottom"/>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CCCC"/>
          </w:tcPr>
          <w:p>
            <w:pPr>
              <w:ind w:left="2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CCCC"/>
          </w:tcPr>
          <w:p>
            <w:pPr>
              <w:spacing w:after="0"/>
              <w:rPr>
                <w:sz w:val="23"/>
                <w:szCs w:val="23"/>
                <w:color w:val="auto"/>
              </w:rPr>
            </w:pPr>
          </w:p>
        </w:tc>
        <w:tc>
          <w:tcPr>
            <w:tcW w:w="380" w:type="dxa"/>
            <w:vAlign w:val="bottom"/>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CCCC"/>
          </w:tcPr>
          <w:p>
            <w:pPr>
              <w:ind w:left="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Income Tax Provision</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520" w:type="dxa"/>
            <w:vAlign w:val="bottom"/>
          </w:tcPr>
          <w:p>
            <w:pPr>
              <w:jc w:val="right"/>
              <w:spacing w:after="0" w:line="269" w:lineRule="exact"/>
              <w:rPr>
                <w:sz w:val="20"/>
                <w:szCs w:val="20"/>
                <w:color w:val="auto"/>
              </w:rPr>
            </w:pPr>
            <w:r>
              <w:rPr>
                <w:rFonts w:ascii="Arial" w:cs="Arial" w:eastAsia="Arial" w:hAnsi="Arial"/>
                <w:sz w:val="17"/>
                <w:szCs w:val="17"/>
                <w:color w:val="auto"/>
              </w:rPr>
              <w:t>86</w:t>
            </w:r>
            <w:r>
              <w:rPr>
                <w:rFonts w:ascii="Arial" w:cs="Arial" w:eastAsia="Arial" w:hAnsi="Arial"/>
                <w:sz w:val="31"/>
                <w:szCs w:val="31"/>
                <w:color w:val="auto"/>
                <w:vertAlign w:val="subscript"/>
              </w:rPr>
              <w:t>​</w:t>
            </w:r>
          </w:p>
        </w:tc>
        <w:tc>
          <w:tcPr>
            <w:tcW w:w="12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580" w:type="dxa"/>
            <w:vAlign w:val="bottom"/>
            <w:gridSpan w:val="3"/>
          </w:tcPr>
          <w:p>
            <w:pPr>
              <w:jc w:val="right"/>
              <w:ind w:right="60"/>
              <w:spacing w:after="0" w:line="269" w:lineRule="exact"/>
              <w:rPr>
                <w:sz w:val="20"/>
                <w:szCs w:val="20"/>
                <w:color w:val="auto"/>
              </w:rPr>
            </w:pPr>
            <w:r>
              <w:rPr>
                <w:rFonts w:ascii="Arial" w:cs="Arial" w:eastAsia="Arial" w:hAnsi="Arial"/>
                <w:sz w:val="17"/>
                <w:szCs w:val="17"/>
                <w:color w:val="auto"/>
              </w:rPr>
              <w:t>85</w:t>
            </w:r>
            <w:r>
              <w:rPr>
                <w:rFonts w:ascii="Arial" w:cs="Arial" w:eastAsia="Arial" w:hAnsi="Arial"/>
                <w:sz w:val="31"/>
                <w:szCs w:val="31"/>
                <w:color w:val="auto"/>
                <w:vertAlign w:val="subscript"/>
              </w:rPr>
              <w:t>​​</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auto"/>
            </w:tcBorders>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Depreciation and Amortization</w:t>
            </w:r>
          </w:p>
        </w:tc>
        <w:tc>
          <w:tcPr>
            <w:tcW w:w="480" w:type="dxa"/>
            <w:vAlign w:val="bottom"/>
            <w:tcBorders>
              <w:bottom w:val="single" w:sz="8" w:color="auto"/>
            </w:tcBorders>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shd w:val="clear" w:color="auto" w:fill="CCCCCC"/>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520" w:type="dxa"/>
            <w:vAlign w:val="bottom"/>
            <w:tcBorders>
              <w:bottom w:val="single" w:sz="8" w:color="auto"/>
            </w:tcBorders>
            <w:shd w:val="clear" w:color="auto" w:fill="CCCCCC"/>
          </w:tcPr>
          <w:p>
            <w:pPr>
              <w:jc w:val="right"/>
              <w:spacing w:after="0" w:line="269" w:lineRule="exact"/>
              <w:rPr>
                <w:sz w:val="20"/>
                <w:szCs w:val="20"/>
                <w:color w:val="auto"/>
              </w:rPr>
            </w:pPr>
            <w:r>
              <w:rPr>
                <w:rFonts w:ascii="Arial" w:cs="Arial" w:eastAsia="Arial" w:hAnsi="Arial"/>
                <w:sz w:val="17"/>
                <w:szCs w:val="17"/>
                <w:color w:val="auto"/>
              </w:rPr>
              <w:t>440</w:t>
            </w:r>
            <w:r>
              <w:rPr>
                <w:rFonts w:ascii="Arial" w:cs="Arial" w:eastAsia="Arial" w:hAnsi="Arial"/>
                <w:sz w:val="31"/>
                <w:szCs w:val="31"/>
                <w:color w:val="auto"/>
                <w:vertAlign w:val="subscript"/>
              </w:rPr>
              <w:t>​</w:t>
            </w:r>
          </w:p>
        </w:tc>
        <w:tc>
          <w:tcPr>
            <w:tcW w:w="120" w:type="dxa"/>
            <w:vAlign w:val="bottom"/>
            <w:tcBorders>
              <w:bottom w:val="single" w:sz="8" w:color="auto"/>
            </w:tcBorders>
            <w:shd w:val="clear" w:color="auto" w:fill="CCCCCC"/>
          </w:tcPr>
          <w:p>
            <w:pPr>
              <w:spacing w:after="0"/>
              <w:rPr>
                <w:sz w:val="23"/>
                <w:szCs w:val="23"/>
                <w:color w:val="auto"/>
              </w:rPr>
            </w:pPr>
          </w:p>
        </w:tc>
        <w:tc>
          <w:tcPr>
            <w:tcW w:w="38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CCCCCC"/>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520" w:type="dxa"/>
            <w:vAlign w:val="bottom"/>
            <w:tcBorders>
              <w:bottom w:val="single" w:sz="8" w:color="auto"/>
            </w:tcBorders>
            <w:gridSpan w:val="2"/>
            <w:shd w:val="clear" w:color="auto" w:fill="CCCCCC"/>
          </w:tcPr>
          <w:p>
            <w:pPr>
              <w:jc w:val="right"/>
              <w:spacing w:after="0" w:line="269" w:lineRule="exact"/>
              <w:rPr>
                <w:sz w:val="20"/>
                <w:szCs w:val="20"/>
                <w:color w:val="auto"/>
              </w:rPr>
            </w:pPr>
            <w:r>
              <w:rPr>
                <w:rFonts w:ascii="Arial" w:cs="Arial" w:eastAsia="Arial" w:hAnsi="Arial"/>
                <w:sz w:val="17"/>
                <w:szCs w:val="17"/>
                <w:color w:val="auto"/>
              </w:rPr>
              <w:t>503</w:t>
            </w:r>
            <w:r>
              <w:rPr>
                <w:rFonts w:ascii="Arial" w:cs="Arial" w:eastAsia="Arial" w:hAnsi="Arial"/>
                <w:sz w:val="31"/>
                <w:szCs w:val="31"/>
                <w:color w:val="auto"/>
                <w:vertAlign w:val="subscript"/>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10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EBITDA</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28"/>
              <w:spacing w:after="0" w:line="196" w:lineRule="exact"/>
              <w:rPr>
                <w:sz w:val="20"/>
                <w:szCs w:val="20"/>
                <w:color w:val="auto"/>
              </w:rPr>
            </w:pPr>
            <w:r>
              <w:rPr>
                <w:rFonts w:ascii="Arial" w:cs="Arial" w:eastAsia="Arial" w:hAnsi="Arial"/>
                <w:sz w:val="18"/>
                <w:szCs w:val="18"/>
                <w:color w:val="auto"/>
              </w:rPr>
              <w:t>527</w:t>
            </w:r>
          </w:p>
        </w:tc>
        <w:tc>
          <w:tcPr>
            <w:tcW w:w="120" w:type="dxa"/>
            <w:vAlign w:val="bottom"/>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98"/>
              </w:rPr>
              <w:t>​(1,045)</w:t>
            </w:r>
          </w:p>
        </w:tc>
        <w:tc>
          <w:tcPr>
            <w:tcW w:w="0" w:type="dxa"/>
            <w:vAlign w:val="bottom"/>
          </w:tcPr>
          <w:p>
            <w:pPr>
              <w:spacing w:after="0"/>
              <w:rPr>
                <w:sz w:val="1"/>
                <w:szCs w:val="1"/>
                <w:color w:val="auto"/>
              </w:rPr>
            </w:pPr>
          </w:p>
        </w:tc>
      </w:tr>
      <w:tr>
        <w:trPr>
          <w:trHeight w:val="68"/>
        </w:trPr>
        <w:tc>
          <w:tcPr>
            <w:tcW w:w="610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78"/>
        </w:trPr>
        <w:tc>
          <w:tcPr>
            <w:tcW w:w="6100" w:type="dxa"/>
            <w:vAlign w:val="bottom"/>
            <w:shd w:val="clear" w:color="auto" w:fill="CCCCCC"/>
          </w:tcPr>
          <w:p>
            <w:pPr>
              <w:ind w:left="40"/>
              <w:spacing w:after="0" w:line="378" w:lineRule="exact"/>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Other (Income) Expense Adjustments:</w:t>
            </w:r>
          </w:p>
        </w:tc>
        <w:tc>
          <w:tcPr>
            <w:tcW w:w="480" w:type="dxa"/>
            <w:vAlign w:val="bottom"/>
            <w:shd w:val="clear" w:color="auto" w:fill="CCCCCC"/>
          </w:tcPr>
          <w:p>
            <w:pPr>
              <w:ind w:left="3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CCCC"/>
          </w:tcPr>
          <w:p>
            <w:pPr>
              <w:ind w:left="4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CCCC"/>
          </w:tcPr>
          <w:p>
            <w:pPr>
              <w:ind w:left="20"/>
              <w:spacing w:after="0"/>
              <w:rPr>
                <w:sz w:val="20"/>
                <w:szCs w:val="20"/>
                <w:color w:val="auto"/>
              </w:rPr>
            </w:pPr>
            <w:r>
              <w:rPr>
                <w:rFonts w:ascii="Arial" w:cs="Arial" w:eastAsia="Arial" w:hAnsi="Arial"/>
                <w:sz w:val="18"/>
                <w:szCs w:val="18"/>
                <w:b w:val="1"/>
                <w:bCs w:val="1"/>
                <w:color w:val="auto"/>
              </w:rPr>
              <w:t>​ ​</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CCCC"/>
          </w:tcPr>
          <w:p>
            <w:pPr>
              <w:spacing w:after="0"/>
              <w:rPr>
                <w:sz w:val="24"/>
                <w:szCs w:val="24"/>
                <w:color w:val="auto"/>
              </w:rPr>
            </w:pPr>
          </w:p>
        </w:tc>
        <w:tc>
          <w:tcPr>
            <w:tcW w:w="380" w:type="dxa"/>
            <w:vAlign w:val="bottom"/>
            <w:shd w:val="clear" w:color="auto" w:fill="CCCCCC"/>
          </w:tcPr>
          <w:p>
            <w:pPr>
              <w:ind w:left="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CCCC"/>
          </w:tcPr>
          <w:p>
            <w:pPr>
              <w:ind w:left="2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CCCC"/>
          </w:tcPr>
          <w:p>
            <w:pPr>
              <w:ind w:left="80"/>
              <w:spacing w:after="0"/>
              <w:rPr>
                <w:sz w:val="20"/>
                <w:szCs w:val="20"/>
                <w:color w:val="auto"/>
              </w:rPr>
            </w:pPr>
            <w:r>
              <w:rPr>
                <w:rFonts w:ascii="Arial" w:cs="Arial" w:eastAsia="Arial" w:hAnsi="Arial"/>
                <w:sz w:val="18"/>
                <w:szCs w:val="18"/>
                <w:b w:val="1"/>
                <w:bCs w:val="1"/>
                <w:color w:val="auto"/>
              </w:rPr>
              <w:t>​ ​</w:t>
            </w:r>
          </w:p>
        </w:tc>
        <w:tc>
          <w:tcPr>
            <w:tcW w:w="400" w:type="dxa"/>
            <w:vAlign w:val="bottom"/>
            <w:shd w:val="clear" w:color="auto" w:fill="CCCCCC"/>
          </w:tcPr>
          <w:p>
            <w:pPr>
              <w:spacing w:after="0"/>
              <w:rPr>
                <w:sz w:val="24"/>
                <w:szCs w:val="24"/>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Impairments and Other Charges (Credits)</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68"/>
        </w:trPr>
        <w:tc>
          <w:tcPr>
            <w:tcW w:w="610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70"/>
        </w:trPr>
        <w:tc>
          <w:tcPr>
            <w:tcW w:w="6100" w:type="dxa"/>
            <w:vAlign w:val="bottom"/>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Restructuring Charges</w:t>
            </w:r>
          </w:p>
        </w:tc>
        <w:tc>
          <w:tcPr>
            <w:tcW w:w="480" w:type="dxa"/>
            <w:vAlign w:val="bottom"/>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CCCC"/>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shd w:val="clear" w:color="auto" w:fill="CCCCCC"/>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120" w:type="dxa"/>
            <w:vAlign w:val="bottom"/>
            <w:shd w:val="clear" w:color="auto" w:fill="CCCCCC"/>
          </w:tcPr>
          <w:p>
            <w:pPr>
              <w:spacing w:after="0"/>
              <w:rPr>
                <w:sz w:val="23"/>
                <w:szCs w:val="23"/>
                <w:color w:val="auto"/>
              </w:rPr>
            </w:pPr>
          </w:p>
        </w:tc>
        <w:tc>
          <w:tcPr>
            <w:tcW w:w="380" w:type="dxa"/>
            <w:vAlign w:val="bottom"/>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CCCC"/>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gridSpan w:val="2"/>
            <w:shd w:val="clear" w:color="auto" w:fill="CCCCCC"/>
          </w:tcPr>
          <w:p>
            <w:pPr>
              <w:jc w:val="right"/>
              <w:spacing w:after="0" w:line="269" w:lineRule="exact"/>
              <w:rPr>
                <w:sz w:val="20"/>
                <w:szCs w:val="20"/>
                <w:color w:val="auto"/>
              </w:rPr>
            </w:pPr>
            <w:r>
              <w:rPr>
                <w:rFonts w:ascii="Arial" w:cs="Arial" w:eastAsia="Arial" w:hAnsi="Arial"/>
                <w:sz w:val="17"/>
                <w:szCs w:val="17"/>
                <w:color w:val="auto"/>
              </w:rPr>
              <w:t>206</w:t>
            </w:r>
            <w:r>
              <w:rPr>
                <w:rFonts w:ascii="Arial" w:cs="Arial" w:eastAsia="Arial" w:hAnsi="Arial"/>
                <w:sz w:val="31"/>
                <w:szCs w:val="31"/>
                <w:color w:val="auto"/>
                <w:vertAlign w:val="subscript"/>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Share-Based Compensation</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tcPr>
          <w:p>
            <w:pPr>
              <w:jc w:val="right"/>
              <w:spacing w:after="0" w:line="269" w:lineRule="exact"/>
              <w:rPr>
                <w:sz w:val="20"/>
                <w:szCs w:val="20"/>
                <w:color w:val="auto"/>
              </w:rPr>
            </w:pPr>
            <w:r>
              <w:rPr>
                <w:rFonts w:ascii="Arial" w:cs="Arial" w:eastAsia="Arial" w:hAnsi="Arial"/>
                <w:sz w:val="17"/>
                <w:szCs w:val="17"/>
                <w:color w:val="auto"/>
              </w:rPr>
              <w:t>25</w:t>
            </w:r>
            <w:r>
              <w:rPr>
                <w:rFonts w:ascii="Arial" w:cs="Arial" w:eastAsia="Arial" w:hAnsi="Arial"/>
                <w:sz w:val="31"/>
                <w:szCs w:val="31"/>
                <w:color w:val="auto"/>
                <w:vertAlign w:val="subscript"/>
              </w:rPr>
              <w:t>​</w:t>
            </w:r>
          </w:p>
        </w:tc>
        <w:tc>
          <w:tcPr>
            <w:tcW w:w="12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80" w:type="dxa"/>
            <w:vAlign w:val="bottom"/>
            <w:gridSpan w:val="3"/>
          </w:tcPr>
          <w:p>
            <w:pPr>
              <w:jc w:val="right"/>
              <w:ind w:right="6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auto"/>
            </w:tcBorders>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Other Expense, Net</w:t>
            </w:r>
          </w:p>
        </w:tc>
        <w:tc>
          <w:tcPr>
            <w:tcW w:w="480" w:type="dxa"/>
            <w:vAlign w:val="bottom"/>
            <w:tcBorders>
              <w:bottom w:val="single" w:sz="8" w:color="auto"/>
            </w:tcBorders>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shd w:val="clear" w:color="auto" w:fill="CCCCCC"/>
          </w:tcPr>
          <w:p>
            <w:pPr>
              <w:ind w:left="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tcBorders>
              <w:bottom w:val="single" w:sz="8" w:color="auto"/>
            </w:tcBorders>
            <w:shd w:val="clear" w:color="auto" w:fill="CCCCCC"/>
          </w:tcPr>
          <w:p>
            <w:pPr>
              <w:jc w:val="right"/>
              <w:spacing w:after="0" w:line="269" w:lineRule="exact"/>
              <w:rPr>
                <w:sz w:val="20"/>
                <w:szCs w:val="20"/>
                <w:color w:val="auto"/>
              </w:rPr>
            </w:pPr>
            <w:r>
              <w:rPr>
                <w:rFonts w:ascii="Arial" w:cs="Arial" w:eastAsia="Arial" w:hAnsi="Arial"/>
                <w:sz w:val="17"/>
                <w:szCs w:val="17"/>
                <w:color w:val="auto"/>
              </w:rPr>
              <w:t>29</w:t>
            </w:r>
            <w:r>
              <w:rPr>
                <w:rFonts w:ascii="Arial" w:cs="Arial" w:eastAsia="Arial" w:hAnsi="Arial"/>
                <w:sz w:val="31"/>
                <w:szCs w:val="31"/>
                <w:color w:val="auto"/>
                <w:vertAlign w:val="subscript"/>
              </w:rPr>
              <w:t>​</w:t>
            </w:r>
          </w:p>
        </w:tc>
        <w:tc>
          <w:tcPr>
            <w:tcW w:w="120" w:type="dxa"/>
            <w:vAlign w:val="bottom"/>
            <w:tcBorders>
              <w:bottom w:val="single" w:sz="8" w:color="auto"/>
            </w:tcBorders>
            <w:shd w:val="clear" w:color="auto" w:fill="CCCCCC"/>
          </w:tcPr>
          <w:p>
            <w:pPr>
              <w:spacing w:after="0"/>
              <w:rPr>
                <w:sz w:val="23"/>
                <w:szCs w:val="23"/>
                <w:color w:val="auto"/>
              </w:rPr>
            </w:pPr>
          </w:p>
        </w:tc>
        <w:tc>
          <w:tcPr>
            <w:tcW w:w="38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CCCCCC"/>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520" w:type="dxa"/>
            <w:vAlign w:val="bottom"/>
            <w:tcBorders>
              <w:bottom w:val="single" w:sz="8" w:color="auto"/>
            </w:tcBorders>
            <w:gridSpan w:val="2"/>
            <w:shd w:val="clear" w:color="auto" w:fill="CCCCCC"/>
          </w:tcPr>
          <w:p>
            <w:pPr>
              <w:jc w:val="right"/>
              <w:spacing w:after="0" w:line="269" w:lineRule="exact"/>
              <w:rPr>
                <w:sz w:val="20"/>
                <w:szCs w:val="20"/>
                <w:color w:val="auto"/>
              </w:rPr>
            </w:pPr>
            <w:r>
              <w:rPr>
                <w:rFonts w:ascii="Arial" w:cs="Arial" w:eastAsia="Arial" w:hAnsi="Arial"/>
                <w:sz w:val="31"/>
                <w:szCs w:val="31"/>
                <w:color w:val="auto"/>
                <w:vertAlign w:val="superscript"/>
              </w:rPr>
              <w:t>62</w:t>
            </w:r>
            <w:r>
              <w:rPr>
                <w:rFonts w:ascii="Arial" w:cs="Arial" w:eastAsia="Arial" w:hAnsi="Arial"/>
                <w:sz w:val="17"/>
                <w:szCs w:val="17"/>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b w:val="1"/>
                <w:bCs w:val="1"/>
                <w:color w:val="auto"/>
              </w:rPr>
              <w:t>Adjusted EBITDA</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276" w:lineRule="exact"/>
              <w:rPr>
                <w:sz w:val="20"/>
                <w:szCs w:val="20"/>
                <w:color w:val="auto"/>
              </w:rPr>
            </w:pPr>
            <w:r>
              <w:rPr>
                <w:rFonts w:ascii="Arial" w:cs="Arial" w:eastAsia="Arial" w:hAnsi="Arial"/>
                <w:sz w:val="32"/>
                <w:szCs w:val="32"/>
                <w:color w:val="auto"/>
                <w:w w:val="84"/>
                <w:vertAlign w:val="subscript"/>
              </w:rPr>
              <w:t>​</w:t>
            </w:r>
            <w:r>
              <w:rPr>
                <w:rFonts w:ascii="Arial" w:cs="Arial" w:eastAsia="Arial" w:hAnsi="Arial"/>
                <w:sz w:val="17"/>
                <w:szCs w:val="17"/>
                <w:color w:val="auto"/>
                <w:w w:val="84"/>
              </w:rPr>
              <w:t>$</w:t>
            </w:r>
          </w:p>
        </w:tc>
        <w:tc>
          <w:tcPr>
            <w:tcW w:w="140" w:type="dxa"/>
            <w:vAlign w:val="bottom"/>
          </w:tcPr>
          <w:p>
            <w:pPr>
              <w:spacing w:after="0"/>
              <w:rPr>
                <w:sz w:val="24"/>
                <w:szCs w:val="24"/>
                <w:color w:val="auto"/>
              </w:rPr>
            </w:pPr>
          </w:p>
        </w:tc>
        <w:tc>
          <w:tcPr>
            <w:tcW w:w="520" w:type="dxa"/>
            <w:vAlign w:val="bottom"/>
          </w:tcPr>
          <w:p>
            <w:pPr>
              <w:jc w:val="right"/>
              <w:spacing w:after="0" w:line="276" w:lineRule="exact"/>
              <w:rPr>
                <w:sz w:val="20"/>
                <w:szCs w:val="20"/>
                <w:color w:val="auto"/>
              </w:rPr>
            </w:pPr>
            <w:r>
              <w:rPr>
                <w:rFonts w:ascii="Arial" w:cs="Arial" w:eastAsia="Arial" w:hAnsi="Arial"/>
                <w:sz w:val="17"/>
                <w:szCs w:val="17"/>
                <w:color w:val="auto"/>
              </w:rPr>
              <w:t>571</w:t>
            </w:r>
            <w:r>
              <w:rPr>
                <w:rFonts w:ascii="Arial" w:cs="Arial" w:eastAsia="Arial" w:hAnsi="Arial"/>
                <w:sz w:val="32"/>
                <w:szCs w:val="32"/>
                <w:color w:val="auto"/>
                <w:vertAlign w:val="subscript"/>
              </w:rPr>
              <w:t>​</w:t>
            </w:r>
          </w:p>
        </w:tc>
        <w:tc>
          <w:tcPr>
            <w:tcW w:w="12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580" w:type="dxa"/>
            <w:vAlign w:val="bottom"/>
            <w:gridSpan w:val="3"/>
          </w:tcPr>
          <w:p>
            <w:pPr>
              <w:jc w:val="right"/>
              <w:ind w:right="60"/>
              <w:spacing w:after="0" w:line="276" w:lineRule="exact"/>
              <w:rPr>
                <w:sz w:val="20"/>
                <w:szCs w:val="20"/>
                <w:color w:val="auto"/>
              </w:rPr>
            </w:pPr>
            <w:r>
              <w:rPr>
                <w:rFonts w:ascii="Arial" w:cs="Arial" w:eastAsia="Arial" w:hAnsi="Arial"/>
                <w:sz w:val="17"/>
                <w:szCs w:val="17"/>
                <w:color w:val="auto"/>
              </w:rPr>
              <w:t>459</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385"/>
        </w:trPr>
        <w:tc>
          <w:tcPr>
            <w:tcW w:w="6100" w:type="dxa"/>
            <w:vAlign w:val="bottom"/>
            <w:tcBorders>
              <w:top w:val="single" w:sz="8" w:color="auto"/>
            </w:tcBorders>
            <w:shd w:val="clear" w:color="auto" w:fill="CCCCCC"/>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3"/>
            <w:shd w:val="clear" w:color="auto" w:fill="CCCCCC"/>
          </w:tcPr>
          <w:p>
            <w:pPr>
              <w:jc w:val="right"/>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3,645</w:t>
            </w:r>
            <w:r>
              <w:rPr>
                <w:rFonts w:ascii="Arial" w:cs="Arial" w:eastAsia="Arial" w:hAnsi="Arial"/>
                <w:sz w:val="35"/>
                <w:szCs w:val="35"/>
                <w:color w:val="auto"/>
                <w:vertAlign w:val="subscript"/>
              </w:rPr>
              <w:t>​</w:t>
            </w:r>
          </w:p>
        </w:tc>
        <w:tc>
          <w:tcPr>
            <w:tcW w:w="120" w:type="dxa"/>
            <w:vAlign w:val="bottom"/>
            <w:tcBorders>
              <w:top w:val="single" w:sz="8" w:color="auto"/>
            </w:tcBorders>
            <w:shd w:val="clear" w:color="auto" w:fill="CCCCCC"/>
          </w:tcPr>
          <w:p>
            <w:pPr>
              <w:spacing w:after="0"/>
              <w:rPr>
                <w:sz w:val="24"/>
                <w:szCs w:val="24"/>
                <w:color w:val="auto"/>
              </w:rPr>
            </w:pPr>
          </w:p>
        </w:tc>
        <w:tc>
          <w:tcPr>
            <w:tcW w:w="380" w:type="dxa"/>
            <w:vAlign w:val="bottom"/>
            <w:tcBorders>
              <w:top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4"/>
            <w:shd w:val="clear" w:color="auto" w:fill="CCCCCC"/>
          </w:tcPr>
          <w:p>
            <w:pPr>
              <w:jc w:val="right"/>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$ 3,685</w:t>
            </w:r>
            <w:r>
              <w:rPr>
                <w:rFonts w:ascii="Arial" w:cs="Arial" w:eastAsia="Arial" w:hAnsi="Arial"/>
                <w:sz w:val="35"/>
                <w:szCs w:val="35"/>
                <w:color w:val="auto"/>
                <w:vertAlign w:val="subscript"/>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tcPr>
          <w:p>
            <w:pPr>
              <w:ind w:left="100"/>
              <w:spacing w:after="0"/>
              <w:rPr>
                <w:sz w:val="20"/>
                <w:szCs w:val="20"/>
                <w:color w:val="auto"/>
              </w:rPr>
            </w:pPr>
            <w:r>
              <w:rPr>
                <w:rFonts w:ascii="Arial" w:cs="Arial" w:eastAsia="Arial" w:hAnsi="Arial"/>
                <w:sz w:val="18"/>
                <w:szCs w:val="18"/>
                <w:b w:val="1"/>
                <w:bCs w:val="1"/>
                <w:color w:val="auto"/>
              </w:rPr>
              <w:t>Adjusted EBITDA as a % of Revenues (“Adjusted EBITDA Margins”)</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68"/>
        </w:trPr>
        <w:tc>
          <w:tcPr>
            <w:tcW w:w="610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324"/>
        </w:trPr>
        <w:tc>
          <w:tcPr>
            <w:tcW w:w="6100" w:type="dxa"/>
            <w:vAlign w:val="bottom"/>
            <w:shd w:val="clear" w:color="auto" w:fill="CCCCCC"/>
          </w:tcPr>
          <w:p>
            <w:pPr>
              <w:ind w:left="100"/>
              <w:spacing w:after="0"/>
              <w:rPr>
                <w:sz w:val="20"/>
                <w:szCs w:val="20"/>
                <w:color w:val="auto"/>
              </w:rPr>
            </w:pPr>
            <w:r>
              <w:rPr>
                <w:rFonts w:ascii="Arial" w:cs="Arial" w:eastAsia="Arial" w:hAnsi="Arial"/>
                <w:sz w:val="18"/>
                <w:szCs w:val="18"/>
                <w:b w:val="1"/>
                <w:bCs w:val="1"/>
                <w:color w:val="auto"/>
                <w:w w:val="99"/>
              </w:rPr>
              <w:t>Adjusted EBITDA Margins basis point improvement compared to 2020</w:t>
            </w:r>
          </w:p>
        </w:tc>
        <w:tc>
          <w:tcPr>
            <w:tcW w:w="480" w:type="dxa"/>
            <w:vAlign w:val="bottom"/>
            <w:vMerge w:val="restart"/>
            <w:shd w:val="clear" w:color="auto" w:fill="CCCCCC"/>
          </w:tcPr>
          <w:p>
            <w:pPr>
              <w:ind w:left="32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CCCC"/>
          </w:tcPr>
          <w:p>
            <w:pPr>
              <w:ind w:left="4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CCC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320 bps</w:t>
            </w:r>
          </w:p>
        </w:tc>
        <w:tc>
          <w:tcPr>
            <w:tcW w:w="460" w:type="dxa"/>
            <w:vAlign w:val="bottom"/>
            <w:vMerge w:val="restart"/>
            <w:shd w:val="clear" w:color="auto" w:fill="CCCCCC"/>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CCC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CCCC"/>
          </w:tcPr>
          <w:p>
            <w:pPr>
              <w:spacing w:after="0"/>
              <w:rPr>
                <w:sz w:val="24"/>
                <w:szCs w:val="24"/>
                <w:color w:val="auto"/>
              </w:rPr>
            </w:pPr>
          </w:p>
        </w:tc>
        <w:tc>
          <w:tcPr>
            <w:tcW w:w="120" w:type="dxa"/>
            <w:vAlign w:val="bottom"/>
            <w:vMerge w:val="restart"/>
            <w:shd w:val="clear" w:color="auto" w:fill="CCCCCC"/>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100" w:type="dxa"/>
            <w:vAlign w:val="bottom"/>
            <w:tcBorders>
              <w:bottom w:val="single" w:sz="8" w:color="auto"/>
            </w:tcBorders>
            <w:shd w:val="clear" w:color="auto" w:fill="CCCCCC"/>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auto"/>
            </w:tcBorders>
            <w:vMerge w:val="continue"/>
            <w:shd w:val="clear" w:color="auto" w:fill="CCCCCC"/>
          </w:tcPr>
          <w:p>
            <w:pPr>
              <w:spacing w:after="0"/>
              <w:rPr>
                <w:sz w:val="6"/>
                <w:szCs w:val="6"/>
                <w:color w:val="auto"/>
              </w:rPr>
            </w:pPr>
          </w:p>
        </w:tc>
        <w:tc>
          <w:tcPr>
            <w:tcW w:w="660" w:type="dxa"/>
            <w:vAlign w:val="bottom"/>
            <w:tcBorders>
              <w:bottom w:val="single" w:sz="8" w:color="auto"/>
            </w:tcBorders>
            <w:vMerge w:val="continue"/>
            <w:shd w:val="clear" w:color="auto" w:fill="CCCCCC"/>
          </w:tcPr>
          <w:p>
            <w:pPr>
              <w:spacing w:after="0"/>
              <w:rPr>
                <w:sz w:val="6"/>
                <w:szCs w:val="6"/>
                <w:color w:val="auto"/>
              </w:rPr>
            </w:pPr>
          </w:p>
        </w:tc>
        <w:tc>
          <w:tcPr>
            <w:tcW w:w="120" w:type="dxa"/>
            <w:vAlign w:val="bottom"/>
            <w:tcBorders>
              <w:bottom w:val="single" w:sz="8" w:color="auto"/>
            </w:tcBorders>
            <w:vMerge w:val="continue"/>
            <w:shd w:val="clear" w:color="auto" w:fill="CCCCCC"/>
          </w:tcPr>
          <w:p>
            <w:pPr>
              <w:spacing w:after="0"/>
              <w:rPr>
                <w:sz w:val="6"/>
                <w:szCs w:val="6"/>
                <w:color w:val="auto"/>
              </w:rPr>
            </w:pPr>
          </w:p>
        </w:tc>
        <w:tc>
          <w:tcPr>
            <w:tcW w:w="140" w:type="dxa"/>
            <w:vAlign w:val="bottom"/>
            <w:tcBorders>
              <w:bottom w:val="single" w:sz="8" w:color="auto"/>
            </w:tcBorders>
            <w:shd w:val="clear" w:color="auto" w:fill="CCCCCC"/>
          </w:tcPr>
          <w:p>
            <w:pPr>
              <w:spacing w:after="0"/>
              <w:rPr>
                <w:sz w:val="6"/>
                <w:szCs w:val="6"/>
                <w:color w:val="auto"/>
              </w:rPr>
            </w:pPr>
          </w:p>
        </w:tc>
        <w:tc>
          <w:tcPr>
            <w:tcW w:w="520" w:type="dxa"/>
            <w:vAlign w:val="bottom"/>
            <w:tcBorders>
              <w:bottom w:val="single" w:sz="8" w:color="auto"/>
            </w:tcBorders>
            <w:shd w:val="clear" w:color="auto" w:fill="CCCCCC"/>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shd w:val="clear" w:color="auto" w:fill="CCCCCC"/>
          </w:tcPr>
          <w:p>
            <w:pPr>
              <w:spacing w:after="0"/>
              <w:rPr>
                <w:sz w:val="6"/>
                <w:szCs w:val="6"/>
                <w:color w:val="auto"/>
              </w:rPr>
            </w:pPr>
          </w:p>
        </w:tc>
        <w:tc>
          <w:tcPr>
            <w:tcW w:w="380" w:type="dxa"/>
            <w:vAlign w:val="bottom"/>
            <w:tcBorders>
              <w:bottom w:val="single" w:sz="8" w:color="auto"/>
            </w:tcBorders>
            <w:shd w:val="clear" w:color="auto" w:fill="CCCCCC"/>
          </w:tcPr>
          <w:p>
            <w:pPr>
              <w:ind w:left="60"/>
              <w:spacing w:after="0" w:line="68" w:lineRule="exact"/>
              <w:rPr>
                <w:sz w:val="20"/>
                <w:szCs w:val="20"/>
                <w:color w:val="auto"/>
              </w:rPr>
            </w:pPr>
            <w:r>
              <w:rPr>
                <w:rFonts w:ascii="Arial" w:cs="Arial" w:eastAsia="Arial" w:hAnsi="Arial"/>
                <w:sz w:val="7"/>
                <w:szCs w:val="7"/>
                <w:color w:val="auto"/>
              </w:rPr>
              <w:t>​</w:t>
            </w:r>
          </w:p>
        </w:tc>
        <w:tc>
          <w:tcPr>
            <w:tcW w:w="460" w:type="dxa"/>
            <w:vAlign w:val="bottom"/>
            <w:tcBorders>
              <w:bottom w:val="single" w:sz="8" w:color="auto"/>
            </w:tcBorders>
            <w:vMerge w:val="continue"/>
            <w:shd w:val="clear" w:color="auto" w:fill="CCCCCC"/>
          </w:tcPr>
          <w:p>
            <w:pPr>
              <w:spacing w:after="0"/>
              <w:rPr>
                <w:sz w:val="6"/>
                <w:szCs w:val="6"/>
                <w:color w:val="auto"/>
              </w:rPr>
            </w:pPr>
          </w:p>
        </w:tc>
        <w:tc>
          <w:tcPr>
            <w:tcW w:w="200" w:type="dxa"/>
            <w:vAlign w:val="bottom"/>
            <w:tcBorders>
              <w:bottom w:val="single" w:sz="8" w:color="auto"/>
            </w:tcBorders>
            <w:vMerge w:val="continue"/>
            <w:shd w:val="clear" w:color="auto" w:fill="CCCCCC"/>
          </w:tcPr>
          <w:p>
            <w:pPr>
              <w:spacing w:after="0"/>
              <w:rPr>
                <w:sz w:val="6"/>
                <w:szCs w:val="6"/>
                <w:color w:val="auto"/>
              </w:rPr>
            </w:pPr>
          </w:p>
        </w:tc>
        <w:tc>
          <w:tcPr>
            <w:tcW w:w="100" w:type="dxa"/>
            <w:vAlign w:val="bottom"/>
            <w:tcBorders>
              <w:bottom w:val="single" w:sz="8" w:color="auto"/>
            </w:tcBorders>
            <w:shd w:val="clear" w:color="auto" w:fill="CCCCCC"/>
          </w:tcPr>
          <w:p>
            <w:pPr>
              <w:spacing w:after="0"/>
              <w:rPr>
                <w:sz w:val="6"/>
                <w:szCs w:val="6"/>
                <w:color w:val="auto"/>
              </w:rPr>
            </w:pPr>
          </w:p>
        </w:tc>
        <w:tc>
          <w:tcPr>
            <w:tcW w:w="400" w:type="dxa"/>
            <w:vAlign w:val="bottom"/>
            <w:tcBorders>
              <w:bottom w:val="single" w:sz="8" w:color="auto"/>
            </w:tcBorders>
            <w:shd w:val="clear" w:color="auto" w:fill="CCCCCC"/>
          </w:tcPr>
          <w:p>
            <w:pPr>
              <w:spacing w:after="0"/>
              <w:rPr>
                <w:sz w:val="6"/>
                <w:szCs w:val="6"/>
                <w:color w:val="auto"/>
              </w:rPr>
            </w:pPr>
          </w:p>
        </w:tc>
        <w:tc>
          <w:tcPr>
            <w:tcW w:w="120" w:type="dxa"/>
            <w:vAlign w:val="bottom"/>
            <w:tcBorders>
              <w:bottom w:val="single" w:sz="8" w:color="auto"/>
            </w:tcBorders>
            <w:vMerge w:val="continue"/>
            <w:shd w:val="clear" w:color="auto" w:fill="CCCCCC"/>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779780</wp:posOffset>
            </wp:positionV>
            <wp:extent cx="6231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hanging="282"/>
        <w:spacing w:after="0"/>
        <w:tabs>
          <w:tab w:leader="none" w:pos="720" w:val="left"/>
        </w:tabs>
        <w:numPr>
          <w:ilvl w:val="0"/>
          <w:numId w:val="7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123825</wp:posOffset>
            </wp:positionV>
            <wp:extent cx="6231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82"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9800" w:type="dxa"/>
            <w:vAlign w:val="bottom"/>
            <w:gridSpan w:val="8"/>
          </w:tcPr>
          <w:p>
            <w:pPr>
              <w:ind w:left="4360"/>
              <w:spacing w:after="0"/>
              <w:rPr>
                <w:sz w:val="20"/>
                <w:szCs w:val="20"/>
                <w:color w:val="auto"/>
              </w:rPr>
            </w:pPr>
            <w:r>
              <w:rPr>
                <w:rFonts w:ascii="Arial" w:cs="Arial" w:eastAsia="Arial" w:hAnsi="Arial"/>
                <w:sz w:val="14"/>
                <w:szCs w:val="14"/>
                <w:b w:val="1"/>
                <w:bCs w:val="1"/>
                <w:color w:val="666666"/>
              </w:rPr>
              <w:t>ANNEX A – RECONCILIATION OF GAAP TO NON-GAAP FINANCIAL MEASURES</w:t>
            </w:r>
          </w:p>
        </w:tc>
      </w:tr>
      <w:tr>
        <w:trPr>
          <w:trHeight w:val="380"/>
        </w:trPr>
        <w:tc>
          <w:tcPr>
            <w:tcW w:w="6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1440" w:type="dxa"/>
            <w:vAlign w:val="bottom"/>
          </w:tcPr>
          <w:p>
            <w:pPr>
              <w:ind w:left="1220"/>
              <w:spacing w:after="0"/>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r>
      <w:tr>
        <w:trPr>
          <w:trHeight w:val="237"/>
        </w:trPr>
        <w:tc>
          <w:tcPr>
            <w:tcW w:w="620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Components of Net Debt</w:t>
            </w:r>
          </w:p>
        </w:tc>
        <w:tc>
          <w:tcPr>
            <w:tcW w:w="2420" w:type="dxa"/>
            <w:vAlign w:val="bottom"/>
            <w:tcBorders>
              <w:bottom w:val="single" w:sz="8" w:color="auto"/>
            </w:tcBorders>
            <w:gridSpan w:val="4"/>
          </w:tcPr>
          <w:p>
            <w:pPr>
              <w:ind w:left="128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12/31/21 </w:t>
            </w:r>
            <w:r>
              <w:rPr>
                <w:rFonts w:ascii="Arial" w:cs="Arial" w:eastAsia="Arial" w:hAnsi="Arial"/>
                <w:sz w:val="27"/>
                <w:szCs w:val="27"/>
                <w:b w:val="1"/>
                <w:bCs w:val="1"/>
                <w:color w:val="auto"/>
                <w:vertAlign w:val="subscript"/>
              </w:rPr>
              <w:t>​ ​</w:t>
            </w:r>
          </w:p>
        </w:tc>
        <w:tc>
          <w:tcPr>
            <w:tcW w:w="10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12/31/20</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r>
      <w:tr>
        <w:trPr>
          <w:trHeight w:val="263"/>
        </w:trPr>
        <w:tc>
          <w:tcPr>
            <w:tcW w:w="6200" w:type="dxa"/>
            <w:vAlign w:val="bottom"/>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Short-term Borrowings and Current Portion of Long-term Debt</w:t>
            </w:r>
          </w:p>
        </w:tc>
        <w:tc>
          <w:tcPr>
            <w:tcW w:w="1660" w:type="dxa"/>
            <w:vAlign w:val="bottom"/>
            <w:gridSpan w:val="2"/>
            <w:shd w:val="clear" w:color="auto" w:fill="CCCCCC"/>
          </w:tcPr>
          <w:p>
            <w:pPr>
              <w:ind w:left="128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3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CCCC"/>
          </w:tcPr>
          <w:p>
            <w:pPr>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CCCC"/>
          </w:tcPr>
          <w:p>
            <w:pPr>
              <w:ind w:left="1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80" w:type="dxa"/>
            <w:vAlign w:val="bottom"/>
            <w:shd w:val="clear" w:color="auto" w:fill="CCCCCC"/>
          </w:tcPr>
          <w:p>
            <w:pPr>
              <w:jc w:val="right"/>
              <w:ind w:right="2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Long-term Debt</w:t>
            </w:r>
          </w:p>
        </w:tc>
        <w:tc>
          <w:tcPr>
            <w:tcW w:w="2420" w:type="dxa"/>
            <w:vAlign w:val="bottom"/>
            <w:gridSpan w:val="4"/>
          </w:tcPr>
          <w:p>
            <w:pPr>
              <w:ind w:left="1280"/>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​2,416</w:t>
            </w:r>
            <w:r>
              <w:rPr>
                <w:rFonts w:ascii="Arial" w:cs="Arial" w:eastAsia="Arial" w:hAnsi="Arial"/>
                <w:sz w:val="31"/>
                <w:szCs w:val="31"/>
                <w:color w:val="auto"/>
                <w:vertAlign w:val="subscript"/>
              </w:rPr>
              <w:t>​​ ​</w:t>
            </w:r>
          </w:p>
        </w:tc>
        <w:tc>
          <w:tcPr>
            <w:tcW w:w="1060" w:type="dxa"/>
            <w:vAlign w:val="bottom"/>
            <w:gridSpan w:val="2"/>
          </w:tcPr>
          <w:p>
            <w:pPr>
              <w:jc w:val="right"/>
              <w:ind w:right="23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​2,601</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Less: Cash and Cash Equivalents</w:t>
            </w:r>
          </w:p>
        </w:tc>
        <w:tc>
          <w:tcPr>
            <w:tcW w:w="1660" w:type="dxa"/>
            <w:vAlign w:val="bottom"/>
            <w:gridSpan w:val="2"/>
            <w:shd w:val="clear" w:color="auto" w:fill="CCCCCC"/>
          </w:tcPr>
          <w:p>
            <w:pPr>
              <w:ind w:left="128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3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951</w:t>
            </w:r>
          </w:p>
        </w:tc>
        <w:tc>
          <w:tcPr>
            <w:tcW w:w="400" w:type="dxa"/>
            <w:vAlign w:val="bottom"/>
            <w:shd w:val="clear" w:color="auto" w:fill="CCCCCC"/>
          </w:tcPr>
          <w:p>
            <w:pPr>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CCCC"/>
          </w:tcPr>
          <w:p>
            <w:pPr>
              <w:jc w:val="right"/>
              <w:ind w:right="23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​1,118</w:t>
            </w:r>
          </w:p>
        </w:tc>
        <w:tc>
          <w:tcPr>
            <w:tcW w:w="12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tcBorders>
              <w:bottom w:val="single" w:sz="8" w:color="auto"/>
            </w:tcBorders>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Less: Restricted Cash</w:t>
            </w:r>
          </w:p>
        </w:tc>
        <w:tc>
          <w:tcPr>
            <w:tcW w:w="1660" w:type="dxa"/>
            <w:vAlign w:val="bottom"/>
            <w:tcBorders>
              <w:bottom w:val="single" w:sz="8" w:color="auto"/>
            </w:tcBorders>
            <w:gridSpan w:val="2"/>
          </w:tcPr>
          <w:p>
            <w:pPr>
              <w:ind w:left="128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auto"/>
            </w:tcBorders>
          </w:tcPr>
          <w:p>
            <w:pPr>
              <w:ind w:left="16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64"/>
        </w:trPr>
        <w:tc>
          <w:tcPr>
            <w:tcW w:w="6200" w:type="dxa"/>
            <w:vAlign w:val="bottom"/>
            <w:tcBorders>
              <w:bottom w:val="single" w:sz="8" w:color="auto"/>
            </w:tcBorders>
            <w:shd w:val="clear" w:color="auto" w:fill="CCCCCC"/>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Net Debt</w:t>
            </w:r>
          </w:p>
        </w:tc>
        <w:tc>
          <w:tcPr>
            <w:tcW w:w="2420" w:type="dxa"/>
            <w:vAlign w:val="bottom"/>
            <w:tcBorders>
              <w:bottom w:val="single" w:sz="8" w:color="auto"/>
            </w:tcBorders>
            <w:gridSpan w:val="4"/>
            <w:shd w:val="clear" w:color="auto" w:fill="CCCCCC"/>
          </w:tcPr>
          <w:p>
            <w:pPr>
              <w:ind w:left="12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$1,315</w:t>
            </w:r>
            <w:r>
              <w:rPr>
                <w:rFonts w:ascii="Arial" w:cs="Arial" w:eastAsia="Arial" w:hAnsi="Arial"/>
                <w:sz w:val="30"/>
                <w:szCs w:val="30"/>
                <w:color w:val="auto"/>
                <w:vertAlign w:val="subscript"/>
              </w:rPr>
              <w:t>​​ ​</w:t>
            </w:r>
          </w:p>
        </w:tc>
        <w:tc>
          <w:tcPr>
            <w:tcW w:w="1060" w:type="dxa"/>
            <w:vAlign w:val="bottom"/>
            <w:tcBorders>
              <w:bottom w:val="single" w:sz="8" w:color="auto"/>
            </w:tcBorders>
            <w:gridSpan w:val="2"/>
            <w:shd w:val="clear" w:color="auto" w:fill="CCCCCC"/>
          </w:tcPr>
          <w:p>
            <w:pPr>
              <w:jc w:val="right"/>
              <w:ind w:right="23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$1,329</w:t>
            </w:r>
          </w:p>
        </w:tc>
        <w:tc>
          <w:tcPr>
            <w:tcW w:w="1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w:t>
            </w:r>
          </w:p>
        </w:tc>
      </w:tr>
      <w:tr>
        <w:trPr>
          <w:trHeight w:val="371"/>
        </w:trPr>
        <w:tc>
          <w:tcPr>
            <w:tcW w:w="6200" w:type="dxa"/>
            <w:vAlign w:val="bottom"/>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Net Debt/Adjusted EBITDA</w:t>
            </w:r>
          </w:p>
        </w:tc>
        <w:tc>
          <w:tcPr>
            <w:tcW w:w="1660" w:type="dxa"/>
            <w:vAlign w:val="bottom"/>
            <w:gridSpan w:val="2"/>
          </w:tcPr>
          <w:p>
            <w:pPr>
              <w:ind w:left="1280"/>
              <w:spacing w:after="0" w:line="371"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r>
              <w:rPr>
                <w:rFonts w:ascii="Arial" w:cs="Arial" w:eastAsia="Arial" w:hAnsi="Arial"/>
                <w:sz w:val="18"/>
                <w:szCs w:val="18"/>
                <w:color w:val="auto"/>
              </w:rPr>
              <w:t>​​ ​</w:t>
            </w:r>
          </w:p>
        </w:tc>
        <w:tc>
          <w:tcPr>
            <w:tcW w:w="380" w:type="dxa"/>
            <w:vAlign w:val="bottom"/>
          </w:tcPr>
          <w:p>
            <w:pPr>
              <w:ind w:left="160"/>
              <w:spacing w:after="0" w:line="371"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385"/>
        </w:trPr>
        <w:tc>
          <w:tcPr>
            <w:tcW w:w="4640" w:type="dxa"/>
            <w:vAlign w:val="bottom"/>
            <w:tcBorders>
              <w:bottom w:val="single" w:sz="8" w:color="auto"/>
            </w:tcBorders>
            <w:shd w:val="clear" w:color="auto" w:fill="CCCCCC"/>
          </w:tcPr>
          <w:p>
            <w:pPr>
              <w:ind w:left="40"/>
              <w:spacing w:after="0" w:line="37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x-times improved in Net Debt/Adjusted EBITDA ratio</w:t>
            </w:r>
          </w:p>
        </w:tc>
        <w:tc>
          <w:tcPr>
            <w:tcW w:w="220" w:type="dxa"/>
            <w:vAlign w:val="bottom"/>
            <w:tcBorders>
              <w:bottom w:val="single" w:sz="8" w:color="auto"/>
            </w:tcBorders>
            <w:shd w:val="clear" w:color="auto" w:fill="CCCCCC"/>
          </w:tcPr>
          <w:p>
            <w:pPr>
              <w:spacing w:after="0"/>
              <w:rPr>
                <w:sz w:val="24"/>
                <w:szCs w:val="24"/>
                <w:color w:val="auto"/>
              </w:rPr>
            </w:pPr>
          </w:p>
        </w:tc>
        <w:tc>
          <w:tcPr>
            <w:tcW w:w="1360" w:type="dxa"/>
            <w:vAlign w:val="bottom"/>
            <w:tcBorders>
              <w:bottom w:val="single" w:sz="8" w:color="auto"/>
            </w:tcBorders>
            <w:shd w:val="clear" w:color="auto" w:fill="CCCCCC"/>
          </w:tcPr>
          <w:p>
            <w:pPr>
              <w:spacing w:after="0"/>
              <w:rPr>
                <w:sz w:val="24"/>
                <w:szCs w:val="24"/>
                <w:color w:val="auto"/>
              </w:rPr>
            </w:pPr>
          </w:p>
        </w:tc>
        <w:tc>
          <w:tcPr>
            <w:tcW w:w="180" w:type="dxa"/>
            <w:vAlign w:val="bottom"/>
            <w:tcBorders>
              <w:bottom w:val="single" w:sz="8" w:color="auto"/>
            </w:tcBorders>
            <w:shd w:val="clear" w:color="auto" w:fill="CCCCCC"/>
          </w:tcPr>
          <w:p>
            <w:pPr>
              <w:spacing w:after="0"/>
              <w:rPr>
                <w:sz w:val="24"/>
                <w:szCs w:val="24"/>
                <w:color w:val="auto"/>
              </w:rPr>
            </w:pPr>
          </w:p>
        </w:tc>
        <w:tc>
          <w:tcPr>
            <w:tcW w:w="1060" w:type="dxa"/>
            <w:vAlign w:val="bottom"/>
            <w:tcBorders>
              <w:bottom w:val="single" w:sz="8" w:color="auto"/>
            </w:tcBorders>
            <w:shd w:val="clear" w:color="auto" w:fill="CCCCCC"/>
          </w:tcPr>
          <w:p>
            <w:pPr>
              <w:spacing w:after="0"/>
              <w:rPr>
                <w:sz w:val="24"/>
                <w:szCs w:val="24"/>
                <w:color w:val="auto"/>
              </w:rPr>
            </w:pPr>
          </w:p>
        </w:tc>
        <w:tc>
          <w:tcPr>
            <w:tcW w:w="2340" w:type="dxa"/>
            <w:vAlign w:val="bottom"/>
            <w:tcBorders>
              <w:bottom w:val="single" w:sz="8" w:color="auto"/>
            </w:tcBorders>
            <w:gridSpan w:val="5"/>
            <w:shd w:val="clear" w:color="auto" w:fill="CCCCCC"/>
          </w:tcPr>
          <w:p>
            <w:pPr>
              <w:ind w:left="20"/>
              <w:spacing w:after="0" w:line="37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  0.6</w:t>
            </w:r>
            <w:r>
              <w:rPr>
                <w:rFonts w:ascii="Arial" w:cs="Arial" w:eastAsia="Arial" w:hAnsi="Arial"/>
                <w:sz w:val="35"/>
                <w:szCs w:val="35"/>
                <w:color w:val="auto"/>
                <w:vertAlign w:val="subscript"/>
              </w:rPr>
              <w:t>​​ ​</w:t>
            </w:r>
            <w:r>
              <w:rPr>
                <w:rFonts w:ascii="Arial" w:cs="Arial" w:eastAsia="Arial" w:hAnsi="Arial"/>
                <w:sz w:val="18"/>
                <w:szCs w:val="18"/>
                <w:color w:val="auto"/>
              </w:rPr>
              <w:t xml:space="preserve"> x  improvement </w:t>
            </w:r>
            <w:r>
              <w:rPr>
                <w:rFonts w:ascii="Arial" w:cs="Arial" w:eastAsia="Arial" w:hAnsi="Arial"/>
                <w:sz w:val="35"/>
                <w:szCs w:val="35"/>
                <w:color w:val="auto"/>
                <w:vertAlign w:val="subscript"/>
              </w:rPr>
              <w:t>​</w:t>
            </w:r>
          </w:p>
        </w:tc>
      </w:tr>
      <w:tr>
        <w:trPr>
          <w:trHeight w:val="625"/>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Combined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46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ind w:left="10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Years Ended</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Successor</w:t>
            </w:r>
          </w:p>
        </w:tc>
        <w:tc>
          <w:tcPr>
            <w:tcW w:w="1200" w:type="dxa"/>
            <w:vAlign w:val="bottom"/>
            <w:gridSpan w:val="3"/>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Predecessor </w:t>
            </w:r>
            <w:r>
              <w:rPr>
                <w:rFonts w:ascii="Arial" w:cs="Arial" w:eastAsia="Arial" w:hAnsi="Arial"/>
                <w:sz w:val="22"/>
                <w:szCs w:val="22"/>
                <w:b w:val="1"/>
                <w:bCs w:val="1"/>
                <w:color w:val="auto"/>
                <w:vertAlign w:val="subscript"/>
              </w:rPr>
              <w:t>​</w:t>
            </w:r>
          </w:p>
        </w:tc>
      </w:tr>
      <w:tr>
        <w:trPr>
          <w:trHeight w:val="187"/>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 &amp;</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12/13/2019 –  </w:t>
            </w:r>
          </w:p>
        </w:tc>
        <w:tc>
          <w:tcPr>
            <w:tcW w:w="220" w:type="dxa"/>
            <w:vAlign w:val="bottom"/>
          </w:tcPr>
          <w:p>
            <w:pPr>
              <w:spacing w:after="0"/>
              <w:rPr>
                <w:sz w:val="16"/>
                <w:szCs w:val="16"/>
                <w:color w:val="auto"/>
              </w:rPr>
            </w:pPr>
          </w:p>
        </w:tc>
        <w:tc>
          <w:tcPr>
            <w:tcW w:w="8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1/1/19 –  </w:t>
            </w:r>
          </w:p>
        </w:tc>
        <w:tc>
          <w:tcPr>
            <w:tcW w:w="120" w:type="dxa"/>
            <w:vAlign w:val="bottom"/>
          </w:tcPr>
          <w:p>
            <w:pPr>
              <w:spacing w:after="0"/>
              <w:rPr>
                <w:sz w:val="16"/>
                <w:szCs w:val="16"/>
                <w:color w:val="auto"/>
              </w:rPr>
            </w:pPr>
          </w:p>
        </w:tc>
      </w:tr>
      <w:tr>
        <w:trPr>
          <w:trHeight w:val="198"/>
        </w:trPr>
        <w:tc>
          <w:tcPr>
            <w:tcW w:w="4640" w:type="dxa"/>
            <w:vAlign w:val="bottom"/>
            <w:tcBorders>
              <w:bottom w:val="single" w:sz="8" w:color="auto"/>
            </w:tcBorders>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Free Cash Flow</w:t>
            </w:r>
          </w:p>
        </w:tc>
        <w:tc>
          <w:tcPr>
            <w:tcW w:w="176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12/31/21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12/31/20 </w:t>
            </w:r>
            <w:r>
              <w:rPr>
                <w:rFonts w:ascii="Arial" w:cs="Arial" w:eastAsia="Arial" w:hAnsi="Arial"/>
                <w:sz w:val="22"/>
                <w:szCs w:val="22"/>
                <w:b w:val="1"/>
                <w:bCs w:val="1"/>
                <w:color w:val="auto"/>
                <w:vertAlign w:val="subscript"/>
              </w:rPr>
              <w:t>​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12/31/2019</w:t>
            </w:r>
          </w:p>
        </w:tc>
        <w:tc>
          <w:tcPr>
            <w:tcW w:w="1200" w:type="dxa"/>
            <w:vAlign w:val="bottom"/>
            <w:tcBorders>
              <w:bottom w:val="single" w:sz="8" w:color="auto"/>
            </w:tcBorders>
            <w:gridSpan w:val="3"/>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12/13/19   </w:t>
            </w:r>
            <w:r>
              <w:rPr>
                <w:rFonts w:ascii="Arial" w:cs="Arial" w:eastAsia="Arial" w:hAnsi="Arial"/>
                <w:sz w:val="22"/>
                <w:szCs w:val="22"/>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-8255</wp:posOffset>
            </wp:positionV>
            <wp:extent cx="6223635" cy="180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23635" cy="180340"/>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p>
      <w:pPr>
        <w:ind w:left="480"/>
        <w:spacing w:after="0" w:line="184"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Cash Flows Provided by Operating Activities</w:t>
      </w:r>
    </w:p>
    <w:p>
      <w:pPr>
        <w:spacing w:after="0" w:line="1" w:lineRule="exact"/>
        <w:rPr>
          <w:sz w:val="20"/>
          <w:szCs w:val="20"/>
          <w:color w:val="auto"/>
        </w:rPr>
      </w:pPr>
    </w:p>
    <w:p>
      <w:pPr>
        <w:ind w:left="480"/>
        <w:spacing w:after="0" w:line="184" w:lineRule="auto"/>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Captial Expenditures for Property, Plant and Equipment </w:t>
      </w:r>
      <w:r>
        <w:rPr>
          <w:rFonts w:ascii="Arial" w:cs="Arial" w:eastAsia="Arial" w:hAnsi="Arial"/>
          <w:sz w:val="29"/>
          <w:szCs w:val="29"/>
          <w:color w:val="auto"/>
          <w:vertAlign w:val="subscript"/>
        </w:rPr>
        <w:t>​</w:t>
      </w:r>
      <w:r>
        <w:rPr>
          <w:rFonts w:ascii="Arial" w:cs="Arial" w:eastAsia="Arial" w:hAnsi="Arial"/>
          <w:sz w:val="16"/>
          <w:szCs w:val="16"/>
          <w:color w:val="auto"/>
        </w:rPr>
        <w:t>Proceeds from Disposition of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2"/>
        </w:trPr>
        <w:tc>
          <w:tcPr>
            <w:tcW w:w="700" w:type="dxa"/>
            <w:vAlign w:val="bottom"/>
            <w:gridSpan w:val="2"/>
          </w:tcPr>
          <w:p>
            <w:pPr>
              <w:spacing w:after="0" w:line="291" w:lineRule="exact"/>
              <w:rPr>
                <w:sz w:val="20"/>
                <w:szCs w:val="20"/>
                <w:color w:val="auto"/>
              </w:rPr>
            </w:pPr>
            <w:r>
              <w:rPr>
                <w:rFonts w:ascii="Arial" w:cs="Arial" w:eastAsia="Arial" w:hAnsi="Arial"/>
                <w:sz w:val="33"/>
                <w:szCs w:val="33"/>
                <w:color w:val="auto"/>
                <w:vertAlign w:val="subscript"/>
              </w:rPr>
              <w:t>​ ​ ​</w:t>
            </w:r>
            <w:r>
              <w:rPr>
                <w:rFonts w:ascii="Arial" w:cs="Arial" w:eastAsia="Arial" w:hAnsi="Arial"/>
                <w:sz w:val="17"/>
                <w:szCs w:val="17"/>
                <w:color w:val="auto"/>
              </w:rPr>
              <w:t>$322</w:t>
            </w:r>
          </w:p>
        </w:tc>
        <w:tc>
          <w:tcPr>
            <w:tcW w:w="760" w:type="dxa"/>
            <w:vAlign w:val="bottom"/>
          </w:tcPr>
          <w:p>
            <w:pPr>
              <w:ind w:left="20"/>
              <w:spacing w:after="0" w:line="291" w:lineRule="exact"/>
              <w:rPr>
                <w:sz w:val="20"/>
                <w:szCs w:val="20"/>
                <w:color w:val="auto"/>
              </w:rPr>
            </w:pPr>
            <w:r>
              <w:rPr>
                <w:rFonts w:ascii="Arial" w:cs="Arial" w:eastAsia="Arial" w:hAnsi="Arial"/>
                <w:sz w:val="33"/>
                <w:szCs w:val="33"/>
                <w:color w:val="auto"/>
                <w:vertAlign w:val="subscript"/>
              </w:rPr>
              <w:t>​​ ​ ​</w:t>
            </w:r>
            <w:r>
              <w:rPr>
                <w:rFonts w:ascii="Arial" w:cs="Arial" w:eastAsia="Arial" w:hAnsi="Arial"/>
                <w:sz w:val="17"/>
                <w:szCs w:val="17"/>
                <w:color w:val="auto"/>
              </w:rPr>
              <w:t>$ 210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$(686)</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 ​</w:t>
            </w:r>
          </w:p>
        </w:tc>
        <w:tc>
          <w:tcPr>
            <w:tcW w:w="52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​(85)</w:t>
            </w:r>
          </w:p>
        </w:tc>
        <w:tc>
          <w:tcPr>
            <w:tcW w:w="1120" w:type="dxa"/>
            <w:vAlign w:val="bottom"/>
            <w:gridSpan w:val="2"/>
          </w:tcPr>
          <w:p>
            <w:pPr>
              <w:jc w:val="right"/>
              <w:ind w:right="5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​(154)</w:t>
            </w: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​(270)</w:t>
            </w:r>
          </w:p>
        </w:tc>
      </w:tr>
      <w:tr>
        <w:trPr>
          <w:trHeight w:val="253"/>
        </w:trPr>
        <w:tc>
          <w:tcPr>
            <w:tcW w:w="180" w:type="dxa"/>
            <w:vAlign w:val="bottom"/>
          </w:tcPr>
          <w:p>
            <w:pPr>
              <w:spacing w:after="0"/>
              <w:rPr>
                <w:sz w:val="20"/>
                <w:szCs w:val="20"/>
                <w:color w:val="auto"/>
              </w:rPr>
            </w:pPr>
            <w:r>
              <w:rPr>
                <w:rFonts w:ascii="Arial" w:cs="Arial" w:eastAsia="Arial" w:hAnsi="Arial"/>
                <w:sz w:val="18"/>
                <w:szCs w:val="18"/>
                <w:color w:val="auto"/>
              </w:rPr>
              <w:t>​ ​</w:t>
            </w:r>
          </w:p>
        </w:tc>
        <w:tc>
          <w:tcPr>
            <w:tcW w:w="520" w:type="dxa"/>
            <w:vAlign w:val="bottom"/>
          </w:tcPr>
          <w:p>
            <w:pPr>
              <w:ind w:left="40"/>
              <w:spacing w:after="0" w:line="253"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 41</w:t>
            </w:r>
          </w:p>
        </w:tc>
        <w:tc>
          <w:tcPr>
            <w:tcW w:w="760" w:type="dxa"/>
            <w:vAlign w:val="bottom"/>
          </w:tcPr>
          <w:p>
            <w:pPr>
              <w:ind w:left="20"/>
              <w:spacing w:after="0" w:line="253"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 22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 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-173990</wp:posOffset>
            </wp:positionV>
            <wp:extent cx="622363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2363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2"/>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90"/>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$ 61</w:t>
            </w:r>
          </w:p>
        </w:tc>
        <w:tc>
          <w:tcPr>
            <w:tcW w:w="420" w:type="dxa"/>
            <w:vAlign w:val="bottom"/>
          </w:tcPr>
          <w:p>
            <w:pPr>
              <w:ind w:left="100"/>
              <w:spacing w:after="0"/>
              <w:rPr>
                <w:sz w:val="20"/>
                <w:szCs w:val="20"/>
                <w:color w:val="auto"/>
              </w:rPr>
            </w:pPr>
            <w:r>
              <w:rPr>
                <w:rFonts w:ascii="Arial" w:cs="Arial" w:eastAsia="Arial" w:hAnsi="Arial"/>
                <w:sz w:val="18"/>
                <w:szCs w:val="18"/>
                <w:color w:val="auto"/>
              </w:rPr>
              <w:t>​​ ​</w:t>
            </w:r>
          </w:p>
        </w:tc>
        <w:tc>
          <w:tcPr>
            <w:tcW w:w="700" w:type="dxa"/>
            <w:vAlign w:val="bottom"/>
          </w:tcPr>
          <w:p>
            <w:pPr>
              <w:ind w:left="100"/>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$(747)</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tcPr>
          <w:p>
            <w:pPr>
              <w:ind w:left="100"/>
              <w:spacing w:after="0"/>
              <w:rPr>
                <w:sz w:val="20"/>
                <w:szCs w:val="20"/>
                <w:color w:val="auto"/>
              </w:rPr>
            </w:pPr>
            <w:r>
              <w:rPr>
                <w:rFonts w:ascii="Arial" w:cs="Arial" w:eastAsia="Arial" w:hAnsi="Arial"/>
                <w:sz w:val="18"/>
                <w:szCs w:val="18"/>
                <w:color w:val="auto"/>
              </w:rPr>
              <w:t>​​ ​</w:t>
            </w:r>
          </w:p>
        </w:tc>
        <w:tc>
          <w:tcPr>
            <w:tcW w:w="700" w:type="dxa"/>
            <w:vAlign w:val="bottom"/>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​(250)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53"/>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420" w:type="dxa"/>
            <w:vAlign w:val="bottom"/>
          </w:tcPr>
          <w:p>
            <w:pPr>
              <w:ind w:left="100"/>
              <w:spacing w:after="0"/>
              <w:rPr>
                <w:sz w:val="20"/>
                <w:szCs w:val="20"/>
                <w:color w:val="auto"/>
              </w:rPr>
            </w:pPr>
            <w:r>
              <w:rPr>
                <w:rFonts w:ascii="Arial" w:cs="Arial" w:eastAsia="Arial" w:hAnsi="Arial"/>
                <w:sz w:val="18"/>
                <w:szCs w:val="18"/>
                <w:color w:val="auto"/>
              </w:rPr>
              <w:t>​​ ​</w:t>
            </w:r>
          </w:p>
        </w:tc>
        <w:tc>
          <w:tcPr>
            <w:tcW w:w="700" w:type="dxa"/>
            <w:vAlign w:val="bottom"/>
          </w:tcPr>
          <w:p>
            <w:pPr>
              <w:ind w:left="100"/>
              <w:spacing w:after="0" w:line="253"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 84</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3">
            <w:col w:w="4900" w:space="280"/>
            <w:col w:w="2480" w:space="240"/>
            <w:col w:w="2340"/>
          </w:cols>
          <w:pgMar w:left="580" w:top="97" w:right="1079" w:bottom="1440" w:gutter="0" w:footer="0" w:header="0"/>
          <w:type w:val="continuous"/>
        </w:sectPr>
      </w:pPr>
    </w:p>
    <w:tbl>
      <w:tblPr>
        <w:tblLayout w:type="fixed"/>
        <w:tblInd w:w="440" w:type="dxa"/>
        <w:tblCellMar>
          <w:top w:w="0" w:type="dxa"/>
          <w:left w:w="0" w:type="dxa"/>
          <w:bottom w:w="0" w:type="dxa"/>
          <w:right w:w="0" w:type="dxa"/>
        </w:tblCellMar>
      </w:tblPr>
      <w:tr>
        <w:trPr>
          <w:trHeight w:val="279"/>
        </w:trPr>
        <w:tc>
          <w:tcPr>
            <w:tcW w:w="4580" w:type="dxa"/>
            <w:vAlign w:val="bottom"/>
            <w:tcBorders>
              <w:bottom w:val="single" w:sz="8" w:color="auto"/>
            </w:tcBorders>
          </w:tcPr>
          <w:p>
            <w:pPr>
              <w:ind w:left="4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b w:val="1"/>
                <w:bCs w:val="1"/>
                <w:color w:val="auto"/>
              </w:rPr>
              <w:t>Free Cash Flow</w:t>
            </w:r>
          </w:p>
        </w:tc>
        <w:tc>
          <w:tcPr>
            <w:tcW w:w="840" w:type="dxa"/>
            <w:vAlign w:val="bottom"/>
            <w:tcBorders>
              <w:bottom w:val="single" w:sz="8" w:color="auto"/>
            </w:tcBorders>
            <w:gridSpan w:val="2"/>
          </w:tcPr>
          <w:p>
            <w:pPr>
              <w:jc w:val="right"/>
              <w:spacing w:after="0" w:line="278" w:lineRule="exact"/>
              <w:rPr>
                <w:sz w:val="20"/>
                <w:szCs w:val="20"/>
                <w:color w:val="auto"/>
              </w:rPr>
            </w:pPr>
            <w:r>
              <w:rPr>
                <w:rFonts w:ascii="Arial" w:cs="Arial" w:eastAsia="Arial" w:hAnsi="Arial"/>
                <w:sz w:val="32"/>
                <w:szCs w:val="32"/>
                <w:color w:val="auto"/>
                <w:vertAlign w:val="subscript"/>
              </w:rPr>
              <w:t>​ ​ ​</w:t>
            </w:r>
            <w:r>
              <w:rPr>
                <w:rFonts w:ascii="Arial" w:cs="Arial" w:eastAsia="Arial" w:hAnsi="Arial"/>
                <w:sz w:val="17"/>
                <w:szCs w:val="17"/>
                <w:color w:val="auto"/>
              </w:rPr>
              <w:t>$278</w:t>
            </w:r>
          </w:p>
        </w:tc>
        <w:tc>
          <w:tcPr>
            <w:tcW w:w="500" w:type="dxa"/>
            <w:vAlign w:val="bottom"/>
            <w:tcBorders>
              <w:bottom w:val="single" w:sz="8" w:color="auto"/>
            </w:tcBorders>
          </w:tcPr>
          <w:p>
            <w:pPr>
              <w:ind w:left="40"/>
              <w:spacing w:after="0" w:line="278" w:lineRule="exact"/>
              <w:rPr>
                <w:sz w:val="20"/>
                <w:szCs w:val="20"/>
                <w:color w:val="auto"/>
              </w:rPr>
            </w:pPr>
            <w:r>
              <w:rPr>
                <w:rFonts w:ascii="Arial" w:cs="Arial" w:eastAsia="Arial" w:hAnsi="Arial"/>
                <w:sz w:val="17"/>
                <w:szCs w:val="17"/>
                <w:color w:val="auto"/>
              </w:rPr>
              <w:t>​​ ​ ​</w:t>
            </w:r>
            <w:r>
              <w:rPr>
                <w:rFonts w:ascii="Arial" w:cs="Arial" w:eastAsia="Arial" w:hAnsi="Arial"/>
                <w:sz w:val="32"/>
                <w:szCs w:val="32"/>
                <w:color w:val="auto"/>
                <w:vertAlign w:val="superscript"/>
              </w:rPr>
              <w:t>$</w:t>
            </w:r>
          </w:p>
        </w:tc>
        <w:tc>
          <w:tcPr>
            <w:tcW w:w="640" w:type="dxa"/>
            <w:vAlign w:val="bottom"/>
            <w:tcBorders>
              <w:bottom w:val="single" w:sz="8" w:color="auto"/>
            </w:tcBorders>
          </w:tcPr>
          <w:p>
            <w:pPr>
              <w:jc w:val="right"/>
              <w:ind w:right="52"/>
              <w:spacing w:after="0" w:line="278" w:lineRule="exact"/>
              <w:rPr>
                <w:sz w:val="20"/>
                <w:szCs w:val="20"/>
                <w:color w:val="auto"/>
              </w:rPr>
            </w:pPr>
            <w:r>
              <w:rPr>
                <w:rFonts w:ascii="Arial" w:cs="Arial" w:eastAsia="Arial" w:hAnsi="Arial"/>
                <w:sz w:val="32"/>
                <w:szCs w:val="32"/>
                <w:color w:val="auto"/>
                <w:vertAlign w:val="superscript"/>
              </w:rPr>
              <w:t>78</w:t>
            </w:r>
            <w:r>
              <w:rPr>
                <w:rFonts w:ascii="Arial" w:cs="Arial" w:eastAsia="Arial" w:hAnsi="Arial"/>
                <w:sz w:val="17"/>
                <w:szCs w:val="17"/>
                <w:color w:val="auto"/>
              </w:rPr>
              <w:t xml:space="preserve"> ​​ ​</w:t>
            </w:r>
          </w:p>
        </w:tc>
        <w:tc>
          <w:tcPr>
            <w:tcW w:w="780" w:type="dxa"/>
            <w:vAlign w:val="bottom"/>
            <w:tcBorders>
              <w:bottom w:val="single" w:sz="8" w:color="auto"/>
            </w:tcBorders>
            <w:gridSpan w:val="2"/>
          </w:tcPr>
          <w:p>
            <w:pPr>
              <w:ind w:left="12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$(872)</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ind w:left="12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$ 41</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gridSpan w:val="2"/>
          </w:tcPr>
          <w:p>
            <w:pPr>
              <w:ind w:left="10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$(913)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371"/>
        </w:trPr>
        <w:tc>
          <w:tcPr>
            <w:tcW w:w="4580" w:type="dxa"/>
            <w:vAlign w:val="bottom"/>
            <w:shd w:val="clear" w:color="auto" w:fill="CCCCCC"/>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Free Cash Flow Improvement 2021 vs 2020</w:t>
            </w:r>
          </w:p>
        </w:tc>
        <w:tc>
          <w:tcPr>
            <w:tcW w:w="340" w:type="dxa"/>
            <w:vAlign w:val="bottom"/>
            <w:shd w:val="clear" w:color="auto" w:fill="CCCCCC"/>
          </w:tcPr>
          <w:p>
            <w:pPr>
              <w:ind w:left="16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CCCC"/>
          </w:tcPr>
          <w:p>
            <w:pPr>
              <w:jc w:val="right"/>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$200</w:t>
            </w:r>
          </w:p>
        </w:tc>
        <w:tc>
          <w:tcPr>
            <w:tcW w:w="500" w:type="dxa"/>
            <w:vAlign w:val="bottom"/>
            <w:shd w:val="clear" w:color="auto" w:fill="CCCCCC"/>
          </w:tcPr>
          <w:p>
            <w:pPr>
              <w:ind w:left="40"/>
              <w:spacing w:after="0"/>
              <w:rPr>
                <w:sz w:val="20"/>
                <w:szCs w:val="20"/>
                <w:color w:val="auto"/>
              </w:rPr>
            </w:pPr>
            <w:r>
              <w:rPr>
                <w:rFonts w:ascii="Arial" w:cs="Arial" w:eastAsia="Arial" w:hAnsi="Arial"/>
                <w:sz w:val="18"/>
                <w:szCs w:val="18"/>
                <w:color w:val="auto"/>
              </w:rPr>
              <w:t>​​ ​ ​ ​</w:t>
            </w:r>
          </w:p>
        </w:tc>
        <w:tc>
          <w:tcPr>
            <w:tcW w:w="64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CCCC"/>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ind w:left="12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CCCC"/>
          </w:tcPr>
          <w:p>
            <w:pPr>
              <w:ind w:lef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CCCC"/>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ind w:left="80"/>
              <w:spacing w:after="0"/>
              <w:rPr>
                <w:sz w:val="20"/>
                <w:szCs w:val="20"/>
                <w:color w:val="auto"/>
              </w:rPr>
            </w:pPr>
            <w:r>
              <w:rPr>
                <w:rFonts w:ascii="Arial" w:cs="Arial" w:eastAsia="Arial" w:hAnsi="Arial"/>
                <w:sz w:val="18"/>
                <w:szCs w:val="18"/>
                <w:color w:val="auto"/>
              </w:rPr>
              <w:t>​​</w:t>
            </w:r>
          </w:p>
        </w:tc>
      </w:tr>
      <w:tr>
        <w:trPr>
          <w:trHeight w:val="385"/>
        </w:trPr>
        <w:tc>
          <w:tcPr>
            <w:tcW w:w="4580" w:type="dxa"/>
            <w:vAlign w:val="bottom"/>
            <w:tcBorders>
              <w:bottom w:val="single" w:sz="8" w:color="auto"/>
            </w:tcBorders>
          </w:tcPr>
          <w:p>
            <w:pPr>
              <w:ind w:left="40"/>
              <w:spacing w:after="0" w:line="37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Free Cash Flow Improvement 2020 vs 2019 Combined</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right"/>
              <w:spacing w:after="0" w:line="37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$950</w:t>
            </w:r>
          </w:p>
        </w:tc>
        <w:tc>
          <w:tcPr>
            <w:tcW w:w="500" w:type="dxa"/>
            <w:vAlign w:val="bottom"/>
            <w:tcBorders>
              <w:bottom w:val="single" w:sz="8" w:color="auto"/>
            </w:tcBorders>
          </w:tcPr>
          <w:p>
            <w:pPr>
              <w:ind w:left="40"/>
              <w:spacing w:after="0" w:line="378" w:lineRule="exact"/>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color w:val="auto"/>
                <w:vertAlign w:val="superscript"/>
              </w:rPr>
              <w:t>​</w:t>
            </w:r>
          </w:p>
        </w:tc>
        <w:tc>
          <w:tcPr>
            <w:tcW w:w="640" w:type="dxa"/>
            <w:vAlign w:val="bottom"/>
            <w:tcBorders>
              <w:bottom w:val="single" w:sz="8" w:color="auto"/>
            </w:tcBorders>
          </w:tcPr>
          <w:p>
            <w:pPr>
              <w:jc w:val="right"/>
              <w:ind w:right="52"/>
              <w:spacing w:after="0" w:line="378"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w:t>
            </w:r>
          </w:p>
        </w:tc>
        <w:tc>
          <w:tcPr>
            <w:tcW w:w="440" w:type="dxa"/>
            <w:vAlign w:val="bottom"/>
            <w:tcBorders>
              <w:bottom w:val="single" w:sz="8" w:color="auto"/>
            </w:tcBorders>
          </w:tcPr>
          <w:p>
            <w:pPr>
              <w:ind w:left="120"/>
              <w:spacing w:after="0" w:line="378"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ind w:left="120"/>
              <w:spacing w:after="0" w:line="378"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auto"/>
            </w:tcBorders>
          </w:tcPr>
          <w:p>
            <w:pPr>
              <w:ind w:left="100"/>
              <w:spacing w:after="0" w:line="378"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3763010</wp:posOffset>
            </wp:positionV>
            <wp:extent cx="6231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40"/>
        <w:spacing w:after="0"/>
        <w:rPr>
          <w:sz w:val="20"/>
          <w:szCs w:val="20"/>
          <w:color w:val="auto"/>
        </w:rPr>
      </w:pPr>
      <w:r>
        <w:rPr>
          <w:rFonts w:ascii="Arial" w:cs="Arial" w:eastAsia="Arial" w:hAnsi="Arial"/>
          <w:sz w:val="14"/>
          <w:szCs w:val="14"/>
          <w:color w:val="666666"/>
        </w:rPr>
        <w:t xml:space="preserve">Weatherford International plc – 2022 Proxy Statement  </w:t>
      </w:r>
      <w:r>
        <w:rPr>
          <w:rFonts w:ascii="Arial" w:cs="Arial" w:eastAsia="Arial" w:hAnsi="Arial"/>
          <w:sz w:val="14"/>
          <w:szCs w:val="14"/>
          <w:b w:val="1"/>
          <w:bCs w:val="1"/>
          <w:color w:val="66666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156845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0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5005" cy="90309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1710055</wp:posOffset>
            </wp:positionV>
            <wp:extent cx="488950" cy="4889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439"/>
        <w:spacing w:after="0"/>
        <w:rPr>
          <w:sz w:val="20"/>
          <w:szCs w:val="20"/>
          <w:color w:val="auto"/>
        </w:rPr>
      </w:pPr>
      <w:r>
        <w:rPr>
          <w:rFonts w:ascii="Arial" w:cs="Arial" w:eastAsia="Arial" w:hAnsi="Arial"/>
          <w:sz w:val="29"/>
          <w:szCs w:val="29"/>
          <w:color w:val="191919"/>
        </w:rPr>
        <w:t>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6165215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2783205</wp:posOffset>
            </wp:positionV>
            <wp:extent cx="1945640" cy="5829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45640" cy="5829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-81280</wp:posOffset>
            </wp:positionV>
            <wp:extent cx="6643370" cy="8597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39370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-80645</wp:posOffset>
            </wp:positionV>
            <wp:extent cx="6643370" cy="85979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upperLetter"/>
      <w:start w:val="35"/>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2"/>
      <w:numFmt w:val="bullet"/>
      <w:start w:val="1"/>
    </w:lvl>
  </w:abstractNum>
  <w:abstractNum w:abstractNumId="7">
    <w:nsid w:val="580BD78F"/>
    <w:multiLevelType w:val="hybridMultilevel"/>
    <w:lvl w:ilvl="0">
      <w:lvlJc w:val="left"/>
      <w:lvlText w:val="(%1)"/>
      <w:numFmt w:val="lowerRoman"/>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4"/>
      <w:numFmt w:val="bullet"/>
      <w:start w:val="1"/>
    </w:lvl>
  </w:abstractNum>
  <w:abstractNum w:abstractNumId="10">
    <w:nsid w:val="70A64E2A"/>
    <w:multiLevelType w:val="hybridMultilevel"/>
    <w:lvl w:ilvl="0">
      <w:lvlJc w:val="left"/>
      <w:lvlText w:val="6"/>
      <w:numFmt w:val="bullet"/>
      <w:start w:val="1"/>
    </w:lvl>
  </w:abstractNum>
  <w:abstractNum w:abstractNumId="11">
    <w:nsid w:val="6A2342EC"/>
    <w:multiLevelType w:val="hybridMultilevel"/>
    <w:lvl w:ilvl="0">
      <w:lvlJc w:val="left"/>
      <w:lvlText w:val="8"/>
      <w:numFmt w:val="bullet"/>
      <w:start w:val="1"/>
    </w:lvl>
  </w:abstractNum>
  <w:abstractNum w:abstractNumId="12">
    <w:nsid w:val="2A487CB0"/>
    <w:multiLevelType w:val="hybridMultilevel"/>
    <w:lvl w:ilvl="0">
      <w:lvlJc w:val="left"/>
      <w:lvlText w:val="%1"/>
      <w:numFmt w:val="decimal"/>
      <w:start w:val="10"/>
    </w:lvl>
  </w:abstractNum>
  <w:abstractNum w:abstractNumId="13">
    <w:nsid w:val="1D4ED43B"/>
    <w:multiLevelType w:val="hybridMultilevel"/>
    <w:lvl w:ilvl="0">
      <w:lvlJc w:val="left"/>
      <w:lvlText w:val="%1"/>
      <w:numFmt w:val="decimal"/>
      <w:start w:val="12"/>
    </w:lvl>
  </w:abstractNum>
  <w:abstractNum w:abstractNumId="14">
    <w:nsid w:val="725A06FB"/>
    <w:multiLevelType w:val="hybridMultilevel"/>
    <w:lvl w:ilvl="0">
      <w:lvlJc w:val="left"/>
      <w:lvlText w:val="%1"/>
      <w:numFmt w:val="decimal"/>
      <w:start w:val="14"/>
    </w:lvl>
  </w:abstractNum>
  <w:abstractNum w:abstractNumId="15">
    <w:nsid w:val="2CD89A32"/>
    <w:multiLevelType w:val="hybridMultilevel"/>
    <w:lvl w:ilvl="0">
      <w:lvlJc w:val="left"/>
      <w:lvlText w:val="%1"/>
      <w:numFmt w:val="decimal"/>
      <w:start w:val="16"/>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8"/>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20"/>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22"/>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24"/>
    </w:lvl>
  </w:abstractNum>
  <w:abstractNum w:abstractNumId="28">
    <w:nsid w:val="1BA026FA"/>
    <w:multiLevelType w:val="hybridMultilevel"/>
    <w:lvl w:ilvl="0">
      <w:lvlJc w:val="left"/>
      <w:lvlText w:val="%1"/>
      <w:numFmt w:val="decimal"/>
      <w:start w:val="26"/>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28"/>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30"/>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32"/>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34"/>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36"/>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lowerRoman"/>
      <w:start w:val="1"/>
    </w:lvl>
  </w:abstractNum>
  <w:abstractNum w:abstractNumId="46">
    <w:nsid w:val="741226BB"/>
    <w:multiLevelType w:val="hybridMultilevel"/>
    <w:lvl w:ilvl="0">
      <w:lvlJc w:val="left"/>
      <w:lvlText w:val="%1"/>
      <w:numFmt w:val="decimal"/>
      <w:start w:val="38"/>
    </w:lvl>
  </w:abstractNum>
  <w:abstractNum w:abstractNumId="47">
    <w:nsid w:val="D34B6A8"/>
    <w:multiLevelType w:val="hybridMultilevel"/>
    <w:lvl w:ilvl="0">
      <w:lvlJc w:val="left"/>
      <w:lvlText w:val="%1"/>
      <w:numFmt w:val="decimal"/>
      <w:start w:val="40"/>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9"/>
    </w:lvl>
  </w:abstractNum>
  <w:abstractNum w:abstractNumId="50">
    <w:nsid w:val="61574095"/>
    <w:multiLevelType w:val="hybridMultilevel"/>
    <w:lvl w:ilvl="0">
      <w:lvlJc w:val="left"/>
      <w:lvlText w:val="(%1)"/>
      <w:numFmt w:val="decimal"/>
      <w:start w:val="10"/>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42"/>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7"/>
    </w:lvl>
  </w:abstractNum>
  <w:abstractNum w:abstractNumId="55">
    <w:nsid w:val="5FF87E05"/>
    <w:multiLevelType w:val="hybridMultilevel"/>
    <w:lvl w:ilvl="0">
      <w:lvlJc w:val="left"/>
      <w:lvlText w:val="%1"/>
      <w:numFmt w:val="decimal"/>
      <w:start w:val="44"/>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46"/>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48"/>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7"/>
    </w:lvl>
  </w:abstractNum>
  <w:abstractNum w:abstractNumId="63">
    <w:nsid w:val="100F8FCA"/>
    <w:multiLevelType w:val="hybridMultilevel"/>
    <w:lvl w:ilvl="0">
      <w:lvlJc w:val="left"/>
      <w:lvlText w:val="%1"/>
      <w:numFmt w:val="decimal"/>
      <w:start w:val="50"/>
    </w:lvl>
  </w:abstractNum>
  <w:abstractNum w:abstractNumId="64">
    <w:nsid w:val="6590700B"/>
    <w:multiLevelType w:val="hybridMultilevel"/>
    <w:lvl w:ilvl="0">
      <w:lvlJc w:val="left"/>
      <w:lvlText w:val="%1"/>
      <w:numFmt w:val="decimal"/>
      <w:start w:val="52"/>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54"/>
    </w:lvl>
  </w:abstractNum>
  <w:abstractNum w:abstractNumId="69">
    <w:nsid w:val="6B94764"/>
    <w:multiLevelType w:val="hybridMultilevel"/>
    <w:lvl w:ilvl="0">
      <w:lvlJc w:val="left"/>
      <w:lvlText w:val="(%1)"/>
      <w:numFmt w:val="decimal"/>
      <w:start w:val="8"/>
    </w:lvl>
  </w:abstractNum>
  <w:abstractNum w:abstractNumId="70">
    <w:nsid w:val="42C296BD"/>
    <w:multiLevelType w:val="hybridMultilevel"/>
    <w:lvl w:ilvl="0">
      <w:lvlJc w:val="left"/>
      <w:lvlText w:val="(%1)"/>
      <w:numFmt w:val="lowerRoman"/>
      <w:start w:val="2"/>
    </w:lvl>
  </w:abstractNum>
  <w:abstractNum w:abstractNumId="71">
    <w:nsid w:val="168E121F"/>
    <w:multiLevelType w:val="hybridMultilevel"/>
    <w:lvl w:ilvl="0">
      <w:lvlJc w:val="left"/>
      <w:lvlText w:val="%1"/>
      <w:numFmt w:val="decimal"/>
      <w:start w:val="56"/>
    </w:lvl>
  </w:abstractNum>
  <w:abstractNum w:abstractNumId="72">
    <w:nsid w:val="1EBA5D23"/>
    <w:multiLevelType w:val="hybridMultilevel"/>
    <w:lvl w:ilvl="0">
      <w:lvlJc w:val="left"/>
      <w:lvlText w:val="%1"/>
      <w:numFmt w:val="decimal"/>
      <w:start w:val="5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2022-04-22T15:45:11Z</dcterms:created>
  <dcterms:modified xsi:type="dcterms:W3CDTF">2022-04-22T15:45:11Z</dcterms:modified>
</cp:coreProperties>
</file>