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2" w:lineRule="exact"/>
        <w:rPr>
          <w:sz w:val="24"/>
          <w:szCs w:val="24"/>
          <w:color w:val="auto"/>
        </w:rPr>
      </w:pPr>
    </w:p>
    <w:p>
      <w:pPr>
        <w:jc w:val="center"/>
        <w:ind w:left="760"/>
        <w:spacing w:after="0"/>
        <w:rPr>
          <w:sz w:val="20"/>
          <w:szCs w:val="20"/>
          <w:color w:val="auto"/>
        </w:rPr>
      </w:pPr>
      <w:r>
        <w:rPr>
          <w:rFonts w:ascii="Arial" w:cs="Arial" w:eastAsia="Arial" w:hAnsi="Arial"/>
          <w:sz w:val="18"/>
          <w:szCs w:val="18"/>
          <w:b w:val="1"/>
          <w:bCs w:val="1"/>
          <w:color w:val="auto"/>
        </w:rPr>
        <w:t>SECURITIES AND EXCHANGE COMMISSION</w:t>
      </w:r>
    </w:p>
    <w:p>
      <w:pPr>
        <w:spacing w:after="0" w:line="18" w:lineRule="exact"/>
        <w:rPr>
          <w:sz w:val="24"/>
          <w:szCs w:val="24"/>
          <w:color w:val="auto"/>
        </w:rPr>
      </w:pPr>
    </w:p>
    <w:p>
      <w:pPr>
        <w:jc w:val="center"/>
        <w:ind w:left="760"/>
        <w:spacing w:after="0"/>
        <w:rPr>
          <w:sz w:val="20"/>
          <w:szCs w:val="20"/>
          <w:color w:val="auto"/>
        </w:rPr>
      </w:pPr>
      <w:r>
        <w:rPr>
          <w:rFonts w:ascii="Arial" w:cs="Arial" w:eastAsia="Arial" w:hAnsi="Arial"/>
          <w:sz w:val="18"/>
          <w:szCs w:val="18"/>
          <w:b w:val="1"/>
          <w:bCs w:val="1"/>
          <w:color w:val="auto"/>
        </w:rPr>
        <w:t>WASHINGTON, D.C. 20549</w:t>
      </w:r>
    </w:p>
    <w:p>
      <w:pPr>
        <w:spacing w:after="0" w:line="133" w:lineRule="exact"/>
        <w:rPr>
          <w:sz w:val="24"/>
          <w:szCs w:val="24"/>
          <w:color w:val="auto"/>
        </w:rPr>
      </w:pPr>
    </w:p>
    <w:p>
      <w:pPr>
        <w:ind w:left="660"/>
        <w:spacing w:after="0"/>
        <w:tabs>
          <w:tab w:leader="none" w:pos="5400" w:val="left"/>
          <w:tab w:leader="none" w:pos="61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8"/>
          <w:szCs w:val="18"/>
          <w:b w:val="1"/>
          <w:bCs w:val="1"/>
          <w:color w:val="auto"/>
        </w:rPr>
        <w:t>Form</w:t>
      </w:r>
      <w:r>
        <w:rPr>
          <w:sz w:val="20"/>
          <w:szCs w:val="20"/>
          <w:color w:val="auto"/>
        </w:rPr>
        <w:tab/>
      </w:r>
      <w:r>
        <w:rPr>
          <w:rFonts w:ascii="Arial" w:cs="Arial" w:eastAsia="Arial" w:hAnsi="Arial"/>
          <w:sz w:val="17"/>
          <w:szCs w:val="17"/>
          <w:b w:val="1"/>
          <w:bCs w:val="1"/>
          <w:color w:val="auto"/>
        </w:rPr>
        <w:t>10-Q</w:t>
      </w:r>
    </w:p>
    <w:p>
      <w:pPr>
        <w:spacing w:after="0" w:line="124" w:lineRule="exact"/>
        <w:rPr>
          <w:sz w:val="24"/>
          <w:szCs w:val="24"/>
          <w:color w:val="auto"/>
        </w:rPr>
      </w:pPr>
    </w:p>
    <w:p>
      <w:pPr>
        <w:ind w:left="1200" w:hanging="540"/>
        <w:spacing w:after="0"/>
        <w:tabs>
          <w:tab w:leader="none" w:pos="120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6" w:lineRule="exact"/>
        <w:rPr>
          <w:sz w:val="24"/>
          <w:szCs w:val="24"/>
          <w:color w:val="auto"/>
        </w:rPr>
      </w:pPr>
    </w:p>
    <w:p>
      <w:pPr>
        <w:ind w:left="1200"/>
        <w:spacing w:after="0"/>
        <w:tabs>
          <w:tab w:leader="none" w:pos="416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2022</w:t>
      </w:r>
    </w:p>
    <w:p>
      <w:pPr>
        <w:spacing w:after="0" w:line="4"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or</w:t>
      </w:r>
    </w:p>
    <w:p>
      <w:pPr>
        <w:spacing w:after="0" w:line="16" w:lineRule="exact"/>
        <w:rPr>
          <w:sz w:val="24"/>
          <w:szCs w:val="24"/>
          <w:color w:val="auto"/>
        </w:rPr>
      </w:pPr>
    </w:p>
    <w:p>
      <w:pPr>
        <w:ind w:left="1200" w:hanging="540"/>
        <w:spacing w:after="0"/>
        <w:tabs>
          <w:tab w:leader="none" w:pos="120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4" w:lineRule="exact"/>
        <w:rPr>
          <w:sz w:val="24"/>
          <w:szCs w:val="24"/>
          <w:color w:val="auto"/>
        </w:rPr>
      </w:pPr>
    </w:p>
    <w:tbl>
      <w:tblPr>
        <w:tblLayout w:type="fixed"/>
        <w:tblInd w:w="1200" w:type="dxa"/>
        <w:tblCellMar>
          <w:top w:w="0" w:type="dxa"/>
          <w:left w:w="0" w:type="dxa"/>
          <w:bottom w:w="0" w:type="dxa"/>
          <w:right w:w="0" w:type="dxa"/>
        </w:tblCellMar>
      </w:tblPr>
      <w:tr>
        <w:trPr>
          <w:trHeight w:val="223"/>
        </w:trPr>
        <w:tc>
          <w:tcPr>
            <w:tcW w:w="238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360" w:type="dxa"/>
            <w:vAlign w:val="bottom"/>
          </w:tcPr>
          <w:p>
            <w:pPr>
              <w:jc w:val="right"/>
              <w:spacing w:after="0"/>
              <w:rPr>
                <w:sz w:val="20"/>
                <w:szCs w:val="20"/>
                <w:color w:val="auto"/>
              </w:rPr>
            </w:pPr>
            <w:r>
              <w:rPr>
                <w:rFonts w:ascii="Arial" w:cs="Arial" w:eastAsia="Arial" w:hAnsi="Arial"/>
                <w:sz w:val="18"/>
                <w:szCs w:val="18"/>
                <w:color w:val="auto"/>
              </w:rPr>
              <w:t>001-36504</w:t>
            </w:r>
          </w:p>
        </w:tc>
      </w:tr>
    </w:tbl>
    <w:p>
      <w:pPr>
        <w:spacing w:after="0" w:line="80"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Weatherford International plc</w:t>
      </w:r>
    </w:p>
    <w:p>
      <w:pPr>
        <w:spacing w:after="0" w:line="6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(Exact Name of Registrant as Specified in Its Charter)</w:t>
      </w:r>
    </w:p>
    <w:p>
      <w:pPr>
        <w:spacing w:after="0" w:line="132" w:lineRule="exact"/>
        <w:rPr>
          <w:sz w:val="24"/>
          <w:szCs w:val="24"/>
          <w:color w:val="auto"/>
        </w:rPr>
      </w:pPr>
    </w:p>
    <w:tbl>
      <w:tblPr>
        <w:tblLayout w:type="fixed"/>
        <w:tblInd w:w="360" w:type="dxa"/>
        <w:tblCellMar>
          <w:top w:w="0" w:type="dxa"/>
          <w:left w:w="0" w:type="dxa"/>
          <w:bottom w:w="0" w:type="dxa"/>
          <w:right w:w="0" w:type="dxa"/>
        </w:tblCellMar>
      </w:tblPr>
      <w:tr>
        <w:trPr>
          <w:trHeight w:val="230"/>
        </w:trPr>
        <w:tc>
          <w:tcPr>
            <w:tcW w:w="2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left="432"/>
              <w:spacing w:after="0"/>
              <w:rPr>
                <w:sz w:val="20"/>
                <w:szCs w:val="20"/>
                <w:color w:val="auto"/>
              </w:rPr>
            </w:pPr>
            <w:r>
              <w:rPr>
                <w:rFonts w:ascii="Arial" w:cs="Arial" w:eastAsia="Arial" w:hAnsi="Arial"/>
                <w:sz w:val="18"/>
                <w:szCs w:val="18"/>
                <w:b w:val="1"/>
                <w:bCs w:val="1"/>
                <w:color w:val="auto"/>
                <w:w w:val="91"/>
              </w:rPr>
              <w:t>Ireland</w:t>
            </w:r>
          </w:p>
        </w:tc>
        <w:tc>
          <w:tcPr>
            <w:tcW w:w="29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right"/>
              <w:ind w:right="1052"/>
              <w:spacing w:after="0"/>
              <w:rPr>
                <w:sz w:val="20"/>
                <w:szCs w:val="20"/>
                <w:color w:val="auto"/>
              </w:rPr>
            </w:pPr>
            <w:r>
              <w:rPr>
                <w:rFonts w:ascii="Arial" w:cs="Arial" w:eastAsia="Arial" w:hAnsi="Arial"/>
                <w:sz w:val="18"/>
                <w:szCs w:val="18"/>
                <w:b w:val="1"/>
                <w:bCs w:val="1"/>
                <w:color w:val="auto"/>
              </w:rPr>
              <w:t>98-0606750</w:t>
            </w:r>
          </w:p>
        </w:tc>
      </w:tr>
      <w:tr>
        <w:trPr>
          <w:trHeight w:val="218"/>
        </w:trPr>
        <w:tc>
          <w:tcPr>
            <w:tcW w:w="7940" w:type="dxa"/>
            <w:vAlign w:val="bottom"/>
            <w:gridSpan w:val="7"/>
          </w:tcPr>
          <w:p>
            <w:pPr>
              <w:jc w:val="center"/>
              <w:ind w:right="60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2920" w:type="dxa"/>
            <w:vAlign w:val="bottom"/>
          </w:tcPr>
          <w:p>
            <w:pPr>
              <w:jc w:val="center"/>
              <w:ind w:right="112"/>
              <w:spacing w:after="0"/>
              <w:rPr>
                <w:sz w:val="20"/>
                <w:szCs w:val="20"/>
                <w:color w:val="auto"/>
              </w:rPr>
            </w:pPr>
            <w:r>
              <w:rPr>
                <w:rFonts w:ascii="Arial" w:cs="Arial" w:eastAsia="Arial" w:hAnsi="Arial"/>
                <w:sz w:val="18"/>
                <w:szCs w:val="18"/>
                <w:color w:val="auto"/>
                <w:w w:val="92"/>
              </w:rPr>
              <w:t>(I.R.S. Employer Identification No.)</w:t>
            </w:r>
          </w:p>
        </w:tc>
      </w:tr>
      <w:tr>
        <w:trPr>
          <w:trHeight w:val="478"/>
        </w:trPr>
        <w:tc>
          <w:tcPr>
            <w:tcW w:w="220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86"/>
              </w:rPr>
              <w:t>2000 St. James Place</w:t>
            </w: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Houston</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Texas</w:t>
            </w:r>
          </w:p>
        </w:tc>
        <w:tc>
          <w:tcPr>
            <w:tcW w:w="4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right"/>
              <w:ind w:right="1252"/>
              <w:spacing w:after="0"/>
              <w:rPr>
                <w:sz w:val="20"/>
                <w:szCs w:val="20"/>
                <w:color w:val="auto"/>
              </w:rPr>
            </w:pPr>
            <w:r>
              <w:rPr>
                <w:rFonts w:ascii="Arial" w:cs="Arial" w:eastAsia="Arial" w:hAnsi="Arial"/>
                <w:sz w:val="18"/>
                <w:szCs w:val="18"/>
                <w:b w:val="1"/>
                <w:bCs w:val="1"/>
                <w:color w:val="auto"/>
              </w:rPr>
              <w:t>77056</w:t>
            </w:r>
          </w:p>
        </w:tc>
      </w:tr>
      <w:tr>
        <w:trPr>
          <w:trHeight w:val="218"/>
        </w:trPr>
        <w:tc>
          <w:tcPr>
            <w:tcW w:w="2200" w:type="dxa"/>
            <w:vAlign w:val="bottom"/>
          </w:tcPr>
          <w:p>
            <w:pPr>
              <w:spacing w:after="0"/>
              <w:rPr>
                <w:sz w:val="18"/>
                <w:szCs w:val="18"/>
                <w:color w:val="auto"/>
              </w:rPr>
            </w:pPr>
          </w:p>
        </w:tc>
        <w:tc>
          <w:tcPr>
            <w:tcW w:w="5740" w:type="dxa"/>
            <w:vAlign w:val="bottom"/>
            <w:gridSpan w:val="6"/>
          </w:tcPr>
          <w:p>
            <w:pPr>
              <w:jc w:val="center"/>
              <w:ind w:right="2820"/>
              <w:spacing w:after="0"/>
              <w:rPr>
                <w:sz w:val="20"/>
                <w:szCs w:val="20"/>
                <w:color w:val="auto"/>
              </w:rPr>
            </w:pPr>
            <w:r>
              <w:rPr>
                <w:rFonts w:ascii="Arial" w:cs="Arial" w:eastAsia="Arial" w:hAnsi="Arial"/>
                <w:sz w:val="18"/>
                <w:szCs w:val="18"/>
                <w:color w:val="auto"/>
                <w:w w:val="91"/>
              </w:rPr>
              <w:t>(Address of Principal Executive Offices)</w:t>
            </w:r>
          </w:p>
        </w:tc>
        <w:tc>
          <w:tcPr>
            <w:tcW w:w="2920" w:type="dxa"/>
            <w:vAlign w:val="bottom"/>
          </w:tcPr>
          <w:p>
            <w:pPr>
              <w:jc w:val="center"/>
              <w:ind w:right="132"/>
              <w:spacing w:after="0"/>
              <w:rPr>
                <w:sz w:val="20"/>
                <w:szCs w:val="20"/>
                <w:color w:val="auto"/>
              </w:rPr>
            </w:pPr>
            <w:r>
              <w:rPr>
                <w:rFonts w:ascii="Arial" w:cs="Arial" w:eastAsia="Arial" w:hAnsi="Arial"/>
                <w:sz w:val="18"/>
                <w:szCs w:val="18"/>
                <w:color w:val="auto"/>
                <w:w w:val="91"/>
              </w:rPr>
              <w:t>(Zip Code)</w:t>
            </w:r>
          </w:p>
        </w:tc>
      </w:tr>
      <w:tr>
        <w:trPr>
          <w:trHeight w:val="292"/>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0" w:type="dxa"/>
            <w:vAlign w:val="bottom"/>
            <w:gridSpan w:val="5"/>
          </w:tcPr>
          <w:p>
            <w:pPr>
              <w:ind w:left="2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713.836.4000</w:t>
            </w:r>
          </w:p>
        </w:tc>
        <w:tc>
          <w:tcPr>
            <w:tcW w:w="2920" w:type="dxa"/>
            <w:vAlign w:val="bottom"/>
          </w:tcPr>
          <w:p>
            <w:pPr>
              <w:spacing w:after="0"/>
              <w:rPr>
                <w:sz w:val="24"/>
                <w:szCs w:val="24"/>
                <w:color w:val="auto"/>
              </w:rPr>
            </w:pPr>
          </w:p>
        </w:tc>
      </w:tr>
    </w:tbl>
    <w:p>
      <w:pPr>
        <w:spacing w:after="0" w:line="115" w:lineRule="exact"/>
        <w:rPr>
          <w:sz w:val="24"/>
          <w:szCs w:val="24"/>
          <w:color w:val="auto"/>
        </w:rPr>
      </w:pPr>
    </w:p>
    <w:p>
      <w:pPr>
        <w:jc w:val="center"/>
        <w:ind w:left="7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567690</wp:posOffset>
            </wp:positionH>
            <wp:positionV relativeFrom="paragraph">
              <wp:posOffset>14605</wp:posOffset>
            </wp:positionV>
            <wp:extent cx="6268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8085" cy="8255"/>
                    </a:xfrm>
                    <a:prstGeom prst="rect">
                      <a:avLst/>
                    </a:prstGeom>
                    <a:noFill/>
                  </pic:spPr>
                </pic:pic>
              </a:graphicData>
            </a:graphic>
          </wp:anchor>
        </w:drawing>
      </w:r>
    </w:p>
    <w:p>
      <w:pPr>
        <w:spacing w:after="0" w:line="18"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8" w:lineRule="exact"/>
        <w:rPr>
          <w:sz w:val="24"/>
          <w:szCs w:val="24"/>
          <w:color w:val="auto"/>
        </w:rPr>
      </w:pPr>
    </w:p>
    <w:tbl>
      <w:tblPr>
        <w:tblLayout w:type="fixed"/>
        <w:tblInd w:w="320" w:type="dxa"/>
        <w:tblCellMar>
          <w:top w:w="0" w:type="dxa"/>
          <w:left w:w="0" w:type="dxa"/>
          <w:bottom w:w="0" w:type="dxa"/>
          <w:right w:w="0" w:type="dxa"/>
        </w:tblCellMar>
      </w:tblPr>
      <w:tr>
        <w:trPr>
          <w:trHeight w:val="230"/>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25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Trading Symbol(s)</w:t>
            </w:r>
          </w:p>
        </w:tc>
        <w:tc>
          <w:tcPr>
            <w:tcW w:w="434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18"/>
        </w:trPr>
        <w:tc>
          <w:tcPr>
            <w:tcW w:w="4100" w:type="dxa"/>
            <w:vAlign w:val="bottom"/>
          </w:tcPr>
          <w:p>
            <w:pPr>
              <w:jc w:val="center"/>
              <w:spacing w:after="0"/>
              <w:rPr>
                <w:sz w:val="20"/>
                <w:szCs w:val="20"/>
                <w:color w:val="auto"/>
              </w:rPr>
            </w:pPr>
            <w:r>
              <w:rPr>
                <w:rFonts w:ascii="Arial" w:cs="Arial" w:eastAsia="Arial" w:hAnsi="Arial"/>
                <w:sz w:val="18"/>
                <w:szCs w:val="18"/>
                <w:color w:val="auto"/>
                <w:w w:val="87"/>
              </w:rPr>
              <w:t>Ordinary shares, $0.001 par value per share</w:t>
            </w:r>
          </w:p>
        </w:tc>
        <w:tc>
          <w:tcPr>
            <w:tcW w:w="2540" w:type="dxa"/>
            <w:vAlign w:val="bottom"/>
          </w:tcPr>
          <w:p>
            <w:pPr>
              <w:jc w:val="center"/>
              <w:ind w:right="12"/>
              <w:spacing w:after="0"/>
              <w:rPr>
                <w:sz w:val="20"/>
                <w:szCs w:val="20"/>
                <w:color w:val="auto"/>
              </w:rPr>
            </w:pPr>
            <w:r>
              <w:rPr>
                <w:rFonts w:ascii="Arial" w:cs="Arial" w:eastAsia="Arial" w:hAnsi="Arial"/>
                <w:sz w:val="18"/>
                <w:szCs w:val="18"/>
                <w:color w:val="auto"/>
                <w:w w:val="96"/>
              </w:rPr>
              <w:t>WFRD</w:t>
            </w:r>
          </w:p>
        </w:tc>
        <w:tc>
          <w:tcPr>
            <w:tcW w:w="4340" w:type="dxa"/>
            <w:vAlign w:val="bottom"/>
          </w:tcPr>
          <w:p>
            <w:pPr>
              <w:jc w:val="center"/>
              <w:ind w:left="92"/>
              <w:spacing w:after="0"/>
              <w:rPr>
                <w:sz w:val="20"/>
                <w:szCs w:val="20"/>
                <w:color w:val="auto"/>
              </w:rPr>
            </w:pPr>
            <w:r>
              <w:rPr>
                <w:rFonts w:ascii="Arial" w:cs="Arial" w:eastAsia="Arial" w:hAnsi="Arial"/>
                <w:sz w:val="18"/>
                <w:szCs w:val="18"/>
                <w:color w:val="auto"/>
                <w:w w:val="88"/>
              </w:rPr>
              <w:t>The Nasdaq Global Select Market</w:t>
            </w:r>
          </w:p>
        </w:tc>
      </w:tr>
    </w:tbl>
    <w:p>
      <w:pPr>
        <w:spacing w:after="0" w:line="373" w:lineRule="exact"/>
        <w:rPr>
          <w:sz w:val="24"/>
          <w:szCs w:val="24"/>
          <w:color w:val="auto"/>
        </w:rPr>
      </w:pPr>
    </w:p>
    <w:p>
      <w:pPr>
        <w:jc w:val="both"/>
        <w:ind w:right="60" w:firstLine="318"/>
        <w:spacing w:after="0" w:line="30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3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4" w:lineRule="exact"/>
        <w:rPr>
          <w:sz w:val="24"/>
          <w:szCs w:val="24"/>
          <w:color w:val="auto"/>
        </w:rPr>
      </w:pPr>
    </w:p>
    <w:p>
      <w:pPr>
        <w:jc w:val="both"/>
        <w:ind w:right="60" w:firstLine="397"/>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202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1" w:lineRule="exact"/>
        <w:rPr>
          <w:sz w:val="24"/>
          <w:szCs w:val="24"/>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1640" w:type="dxa"/>
        <w:tblCellMar>
          <w:top w:w="0" w:type="dxa"/>
          <w:left w:w="0" w:type="dxa"/>
          <w:bottom w:w="0" w:type="dxa"/>
          <w:right w:w="0" w:type="dxa"/>
        </w:tblCellMar>
      </w:tblPr>
      <w:tr>
        <w:trPr>
          <w:trHeight w:val="265"/>
        </w:trPr>
        <w:tc>
          <w:tcPr>
            <w:tcW w:w="3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30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3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8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July 21, 2022, there were 70,545,415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570230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320" w:top="1314" w:right="27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10-Q for the Second Quarter and Six Months Ended June 30,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20" w:type="dxa"/>
            <w:vAlign w:val="bottom"/>
            <w:gridSpan w:val="3"/>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8"/>
        </w:trPr>
        <w:tc>
          <w:tcPr>
            <w:tcW w:w="320" w:type="dxa"/>
            <w:vAlign w:val="bottom"/>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w w:val="93"/>
              </w:rPr>
              <w:t>PAGE</w:t>
            </w:r>
          </w:p>
        </w:tc>
      </w:tr>
      <w:tr>
        <w:trPr>
          <w:trHeight w:val="186"/>
        </w:trPr>
        <w:tc>
          <w:tcPr>
            <w:tcW w:w="320" w:type="dxa"/>
            <w:vAlign w:val="bottom"/>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0000FF"/>
            </w:tcBorders>
            <w:gridSpan w:val="12"/>
            <w:shd w:val="clear" w:color="auto" w:fill="CCEEFF"/>
          </w:tcPr>
          <w:p>
            <w:pPr>
              <w:spacing w:after="0" w:line="166" w:lineRule="exact"/>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 FINANCIAL INFORMATION</w:t>
              </w:r>
            </w:hyperlink>
          </w:p>
        </w:tc>
        <w:tc>
          <w:tcPr>
            <w:tcW w:w="6520" w:type="dxa"/>
            <w:vAlign w:val="bottom"/>
            <w:tcBorders>
              <w:bottom w:val="single" w:sz="8" w:color="CCEEFF"/>
            </w:tcBorders>
            <w:gridSpan w:val="3"/>
            <w:shd w:val="clear" w:color="auto" w:fill="CCEEFF"/>
          </w:tcPr>
          <w:p>
            <w:pPr>
              <w:spacing w:after="0"/>
              <w:rPr>
                <w:sz w:val="16"/>
                <w:szCs w:val="16"/>
                <w:color w:val="auto"/>
              </w:rPr>
            </w:pPr>
          </w:p>
        </w:tc>
        <w:tc>
          <w:tcPr>
            <w:tcW w:w="74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20" w:type="dxa"/>
            <w:vAlign w:val="bottom"/>
            <w:gridSpan w:val="15"/>
          </w:tcPr>
          <w:p>
            <w:pPr>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840" w:type="dxa"/>
            <w:vAlign w:val="bottom"/>
            <w:gridSpan w:val="2"/>
          </w:tcPr>
          <w:p>
            <w:pPr>
              <w:jc w:val="center"/>
              <w:ind w:left="652"/>
              <w:spacing w:after="0" w:line="18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
        </w:trPr>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3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20" w:type="dxa"/>
            <w:vAlign w:val="bottom"/>
            <w:gridSpan w:val="15"/>
            <w:shd w:val="clear" w:color="auto" w:fill="CCEEFF"/>
          </w:tcPr>
          <w:p>
            <w:pPr>
              <w:spacing w:after="0" w:line="195" w:lineRule="exact"/>
              <w:rPr>
                <w:rFonts w:ascii="Arial" w:cs="Arial" w:eastAsia="Arial" w:hAnsi="Arial"/>
                <w:sz w:val="18"/>
                <w:szCs w:val="18"/>
                <w:color w:val="0000FF"/>
              </w:rPr>
            </w:pPr>
            <w:hyperlink w:anchor="page16">
              <w:r>
                <w:rPr>
                  <w:rFonts w:ascii="Arial" w:cs="Arial" w:eastAsia="Arial" w:hAnsi="Arial"/>
                  <w:sz w:val="18"/>
                  <w:szCs w:val="18"/>
                  <w:color w:val="0000FF"/>
                </w:rPr>
                <w:t>Item 2. Management's Discussion and Analysis of Financial Condition and Results of Operations.</w:t>
              </w:r>
            </w:hyperlink>
          </w:p>
        </w:tc>
        <w:tc>
          <w:tcPr>
            <w:tcW w:w="960" w:type="dxa"/>
            <w:vAlign w:val="bottom"/>
            <w:gridSpan w:val="3"/>
            <w:shd w:val="clear" w:color="auto" w:fill="CCEEFF"/>
          </w:tcPr>
          <w:p>
            <w:pPr>
              <w:jc w:val="center"/>
              <w:ind w:left="532"/>
              <w:spacing w:after="0" w:line="195"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16</w:t>
              </w:r>
            </w:hyperlink>
          </w:p>
        </w:tc>
        <w:tc>
          <w:tcPr>
            <w:tcW w:w="100" w:type="dxa"/>
            <w:vAlign w:val="bottom"/>
            <w:shd w:val="clear" w:color="auto" w:fill="CCEEFF"/>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900" w:type="dxa"/>
            <w:vAlign w:val="bottom"/>
            <w:tcBorders>
              <w:top w:val="single" w:sz="8" w:color="0000FF"/>
            </w:tcBorders>
            <w:gridSpan w:val="14"/>
          </w:tcPr>
          <w:p>
            <w:pPr>
              <w:spacing w:after="0" w:line="186" w:lineRule="exact"/>
              <w:rPr>
                <w:rFonts w:ascii="Arial" w:cs="Arial" w:eastAsia="Arial" w:hAnsi="Arial"/>
                <w:sz w:val="18"/>
                <w:szCs w:val="18"/>
                <w:color w:val="0000FF"/>
              </w:rPr>
            </w:pPr>
            <w:hyperlink w:anchor="page27">
              <w:r>
                <w:rPr>
                  <w:rFonts w:ascii="Arial" w:cs="Arial" w:eastAsia="Arial" w:hAnsi="Arial"/>
                  <w:sz w:val="18"/>
                  <w:szCs w:val="18"/>
                  <w:color w:val="0000FF"/>
                </w:rPr>
                <w:t>Item 3. Quantitative and Qualitative Disclosures About Market Risk.</w:t>
              </w:r>
            </w:hyperlink>
          </w:p>
        </w:tc>
        <w:tc>
          <w:tcPr>
            <w:tcW w:w="27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5" w:lineRule="exact"/>
              <w:rPr>
                <w:rFonts w:ascii="Arial" w:cs="Arial" w:eastAsia="Arial" w:hAnsi="Arial"/>
                <w:sz w:val="17"/>
                <w:szCs w:val="17"/>
                <w:color w:val="0000FF"/>
                <w:w w:val="73"/>
              </w:rPr>
            </w:pPr>
            <w:hyperlink w:anchor="page27">
              <w:r>
                <w:rPr>
                  <w:rFonts w:ascii="Arial" w:cs="Arial" w:eastAsia="Arial" w:hAnsi="Arial"/>
                  <w:sz w:val="17"/>
                  <w:szCs w:val="17"/>
                  <w:color w:val="0000FF"/>
                  <w:w w:val="73"/>
                </w:rPr>
                <w:t>26</w:t>
              </w:r>
            </w:hyperlink>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3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60" w:type="dxa"/>
            <w:vAlign w:val="bottom"/>
            <w:tcBorders>
              <w:top w:val="single" w:sz="8" w:color="0000FF"/>
            </w:tcBorders>
            <w:gridSpan w:val="13"/>
            <w:shd w:val="clear" w:color="auto" w:fill="CCEEFF"/>
          </w:tcPr>
          <w:p>
            <w:pPr>
              <w:spacing w:after="0" w:line="195" w:lineRule="exact"/>
              <w:rPr>
                <w:rFonts w:ascii="Arial" w:cs="Arial" w:eastAsia="Arial" w:hAnsi="Arial"/>
                <w:sz w:val="18"/>
                <w:szCs w:val="18"/>
                <w:color w:val="0000FF"/>
              </w:rPr>
            </w:pPr>
            <w:hyperlink w:anchor="page27">
              <w:r>
                <w:rPr>
                  <w:rFonts w:ascii="Arial" w:cs="Arial" w:eastAsia="Arial" w:hAnsi="Arial"/>
                  <w:sz w:val="18"/>
                  <w:szCs w:val="18"/>
                  <w:color w:val="0000FF"/>
                </w:rPr>
                <w:t>Item 4. Controls and Procedures.</w:t>
              </w:r>
            </w:hyperlink>
          </w:p>
        </w:tc>
        <w:tc>
          <w:tcPr>
            <w:tcW w:w="4760" w:type="dxa"/>
            <w:vAlign w:val="bottom"/>
            <w:gridSpan w:val="2"/>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27">
              <w:r>
                <w:rPr>
                  <w:rFonts w:ascii="Arial" w:cs="Arial" w:eastAsia="Arial" w:hAnsi="Arial"/>
                  <w:sz w:val="17"/>
                  <w:szCs w:val="17"/>
                  <w:color w:val="0000FF"/>
                  <w:w w:val="73"/>
                </w:rPr>
                <w:t>27</w:t>
              </w:r>
            </w:hyperlink>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2"/>
        </w:trPr>
        <w:tc>
          <w:tcPr>
            <w:tcW w:w="320" w:type="dxa"/>
            <w:vAlign w:val="bottom"/>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272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5"/>
        </w:trPr>
        <w:tc>
          <w:tcPr>
            <w:tcW w:w="3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20" w:type="dxa"/>
            <w:vAlign w:val="bottom"/>
            <w:gridSpan w:val="15"/>
            <w:shd w:val="clear" w:color="auto" w:fill="CCEEFF"/>
          </w:tcPr>
          <w:p>
            <w:pPr>
              <w:spacing w:after="0" w:line="186" w:lineRule="exact"/>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 OTHER INFORMATION</w:t>
              </w:r>
            </w:hyperlink>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320" w:type="dxa"/>
            <w:vAlign w:val="bottom"/>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900" w:type="dxa"/>
            <w:vAlign w:val="bottom"/>
            <w:tcBorders>
              <w:top w:val="single" w:sz="8" w:color="0000FF"/>
              <w:bottom w:val="single" w:sz="8" w:color="0000FF"/>
            </w:tcBorders>
            <w:gridSpan w:val="6"/>
          </w:tcPr>
          <w:p>
            <w:pPr>
              <w:spacing w:after="0" w:line="186" w:lineRule="exact"/>
              <w:rPr>
                <w:rFonts w:ascii="Arial" w:cs="Arial" w:eastAsia="Arial" w:hAnsi="Arial"/>
                <w:sz w:val="18"/>
                <w:szCs w:val="18"/>
                <w:color w:val="0000FF"/>
                <w:w w:val="87"/>
              </w:rPr>
            </w:pPr>
            <w:hyperlink w:anchor="page28">
              <w:r>
                <w:rPr>
                  <w:rFonts w:ascii="Arial" w:cs="Arial" w:eastAsia="Arial" w:hAnsi="Arial"/>
                  <w:sz w:val="18"/>
                  <w:szCs w:val="18"/>
                  <w:color w:val="0000FF"/>
                  <w:w w:val="87"/>
                </w:rPr>
                <w:t>Item 1. Legal Proceedings.</w:t>
              </w:r>
            </w:hyperlink>
          </w:p>
        </w:tc>
        <w:tc>
          <w:tcPr>
            <w:tcW w:w="900" w:type="dxa"/>
            <w:vAlign w:val="bottom"/>
            <w:tcBorders>
              <w:top w:val="single" w:sz="8" w:color="0000FF"/>
            </w:tcBorders>
            <w:gridSpan w:val="4"/>
          </w:tcPr>
          <w:p>
            <w:pPr>
              <w:spacing w:after="0"/>
              <w:rPr>
                <w:sz w:val="16"/>
                <w:szCs w:val="16"/>
                <w:color w:val="auto"/>
              </w:rPr>
            </w:pPr>
          </w:p>
        </w:tc>
        <w:tc>
          <w:tcPr>
            <w:tcW w:w="6820" w:type="dxa"/>
            <w:vAlign w:val="bottom"/>
            <w:tcBorders>
              <w:top w:val="single" w:sz="8" w:color="CCEEFF"/>
            </w:tcBorders>
            <w:gridSpan w:val="5"/>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00" w:type="dxa"/>
            <w:vAlign w:val="bottom"/>
            <w:tcBorders>
              <w:top w:val="single" w:sz="8" w:color="CCEEFF"/>
              <w:bottom w:val="single" w:sz="8" w:color="0000FF"/>
            </w:tcBorders>
          </w:tcPr>
          <w:p>
            <w:pPr>
              <w:jc w:val="center"/>
              <w:spacing w:after="0" w:line="185"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27</w:t>
              </w:r>
            </w:hyperlink>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5"/>
        </w:trPr>
        <w:tc>
          <w:tcPr>
            <w:tcW w:w="3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20" w:type="dxa"/>
            <w:vAlign w:val="bottom"/>
            <w:gridSpan w:val="15"/>
            <w:shd w:val="clear" w:color="auto" w:fill="CCEEFF"/>
          </w:tcPr>
          <w:p>
            <w:pPr>
              <w:spacing w:after="0" w:line="195" w:lineRule="exact"/>
              <w:rPr>
                <w:rFonts w:ascii="Arial" w:cs="Arial" w:eastAsia="Arial" w:hAnsi="Arial"/>
                <w:sz w:val="18"/>
                <w:szCs w:val="18"/>
                <w:color w:val="0000FF"/>
              </w:rPr>
            </w:pPr>
            <w:hyperlink w:anchor="page28">
              <w:r>
                <w:rPr>
                  <w:rFonts w:ascii="Arial" w:cs="Arial" w:eastAsia="Arial" w:hAnsi="Arial"/>
                  <w:sz w:val="18"/>
                  <w:szCs w:val="18"/>
                  <w:color w:val="0000FF"/>
                </w:rPr>
                <w:t>Item 1A. Risk Factors.</w:t>
              </w:r>
            </w:hyperlink>
          </w:p>
        </w:tc>
        <w:tc>
          <w:tcPr>
            <w:tcW w:w="960" w:type="dxa"/>
            <w:vAlign w:val="bottom"/>
            <w:gridSpan w:val="3"/>
            <w:shd w:val="clear" w:color="auto" w:fill="CCEEFF"/>
          </w:tcPr>
          <w:p>
            <w:pPr>
              <w:jc w:val="center"/>
              <w:ind w:left="532"/>
              <w:spacing w:after="0" w:line="195"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100" w:type="dxa"/>
            <w:vAlign w:val="bottom"/>
            <w:shd w:val="clear" w:color="auto" w:fill="CCEEFF"/>
          </w:tcPr>
          <w:p>
            <w:pPr>
              <w:spacing w:after="0"/>
              <w:rPr>
                <w:sz w:val="16"/>
                <w:szCs w:val="16"/>
                <w:color w:val="auto"/>
              </w:rPr>
            </w:pPr>
          </w:p>
        </w:tc>
      </w:tr>
      <w:tr>
        <w:trPr>
          <w:trHeight w:val="40"/>
        </w:trPr>
        <w:tc>
          <w:tcPr>
            <w:tcW w:w="320" w:type="dxa"/>
            <w:vAlign w:val="bottom"/>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7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95"/>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60" w:type="dxa"/>
            <w:vAlign w:val="bottom"/>
            <w:tcBorders>
              <w:bottom w:val="single" w:sz="8" w:color="0000FF"/>
            </w:tcBorders>
            <w:gridSpan w:val="13"/>
          </w:tcPr>
          <w:p>
            <w:pPr>
              <w:spacing w:after="0" w:line="186" w:lineRule="exact"/>
              <w:rPr>
                <w:rFonts w:ascii="Arial" w:cs="Arial" w:eastAsia="Arial" w:hAnsi="Arial"/>
                <w:sz w:val="18"/>
                <w:szCs w:val="18"/>
                <w:color w:val="0000FF"/>
                <w:w w:val="87"/>
              </w:rPr>
            </w:pPr>
            <w:hyperlink w:anchor="page28">
              <w:r>
                <w:rPr>
                  <w:rFonts w:ascii="Arial" w:cs="Arial" w:eastAsia="Arial" w:hAnsi="Arial"/>
                  <w:sz w:val="18"/>
                  <w:szCs w:val="18"/>
                  <w:color w:val="0000FF"/>
                  <w:w w:val="87"/>
                </w:rPr>
                <w:t>Item 2. Unregistered Sales of Equity Securities and Use of Proceeds.</w:t>
              </w:r>
            </w:hyperlink>
          </w:p>
        </w:tc>
        <w:tc>
          <w:tcPr>
            <w:tcW w:w="476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27</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95" w:lineRule="exact"/>
              <w:rPr>
                <w:rFonts w:ascii="Arial" w:cs="Arial" w:eastAsia="Arial" w:hAnsi="Arial"/>
                <w:sz w:val="18"/>
                <w:szCs w:val="18"/>
                <w:color w:val="0000FF"/>
                <w:w w:val="90"/>
              </w:rPr>
            </w:pPr>
            <w:hyperlink w:anchor="page28">
              <w:r>
                <w:rPr>
                  <w:rFonts w:ascii="Arial" w:cs="Arial" w:eastAsia="Arial" w:hAnsi="Arial"/>
                  <w:sz w:val="18"/>
                  <w:szCs w:val="18"/>
                  <w:color w:val="0000FF"/>
                  <w:w w:val="90"/>
                </w:rPr>
                <w:t>Item 3.</w:t>
              </w:r>
            </w:hyperlink>
          </w:p>
        </w:tc>
        <w:tc>
          <w:tcPr>
            <w:tcW w:w="9100" w:type="dxa"/>
            <w:vAlign w:val="bottom"/>
            <w:gridSpan w:val="14"/>
            <w:shd w:val="clear" w:color="auto" w:fill="CCEEFF"/>
          </w:tcPr>
          <w:p>
            <w:pPr>
              <w:ind w:left="20"/>
              <w:spacing w:after="0" w:line="195" w:lineRule="exact"/>
              <w:rPr>
                <w:rFonts w:ascii="Arial" w:cs="Arial" w:eastAsia="Arial" w:hAnsi="Arial"/>
                <w:sz w:val="18"/>
                <w:szCs w:val="18"/>
                <w:color w:val="0000FF"/>
              </w:rPr>
            </w:pPr>
            <w:hyperlink w:anchor="page28">
              <w:r>
                <w:rPr>
                  <w:rFonts w:ascii="Arial" w:cs="Arial" w:eastAsia="Arial" w:hAnsi="Arial"/>
                  <w:sz w:val="18"/>
                  <w:szCs w:val="18"/>
                  <w:color w:val="0000FF"/>
                </w:rPr>
                <w:t>Defaults Upon Senior Securities.</w:t>
              </w:r>
            </w:hyperlink>
          </w:p>
        </w:tc>
        <w:tc>
          <w:tcPr>
            <w:tcW w:w="960" w:type="dxa"/>
            <w:vAlign w:val="bottom"/>
            <w:gridSpan w:val="3"/>
            <w:shd w:val="clear" w:color="auto" w:fill="CCEEFF"/>
          </w:tcPr>
          <w:p>
            <w:pPr>
              <w:jc w:val="center"/>
              <w:ind w:left="532"/>
              <w:spacing w:after="0" w:line="195"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100" w:type="dxa"/>
            <w:vAlign w:val="bottom"/>
            <w:shd w:val="clear" w:color="auto" w:fill="CCEEFF"/>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6" w:lineRule="exact"/>
              <w:rPr>
                <w:rFonts w:ascii="Arial" w:cs="Arial" w:eastAsia="Arial" w:hAnsi="Arial"/>
                <w:sz w:val="18"/>
                <w:szCs w:val="18"/>
                <w:color w:val="0000FF"/>
                <w:w w:val="90"/>
              </w:rPr>
            </w:pPr>
            <w:hyperlink w:anchor="page28">
              <w:r>
                <w:rPr>
                  <w:rFonts w:ascii="Arial" w:cs="Arial" w:eastAsia="Arial" w:hAnsi="Arial"/>
                  <w:sz w:val="18"/>
                  <w:szCs w:val="18"/>
                  <w:color w:val="0000FF"/>
                  <w:w w:val="90"/>
                </w:rPr>
                <w:t>Item 4.</w:t>
              </w:r>
            </w:hyperlink>
          </w:p>
        </w:tc>
        <w:tc>
          <w:tcPr>
            <w:tcW w:w="2340" w:type="dxa"/>
            <w:vAlign w:val="bottom"/>
            <w:tcBorders>
              <w:top w:val="single" w:sz="8" w:color="0000FF"/>
            </w:tcBorders>
            <w:gridSpan w:val="10"/>
          </w:tcPr>
          <w:p>
            <w:pPr>
              <w:ind w:left="20"/>
              <w:spacing w:after="0" w:line="186" w:lineRule="exact"/>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r>
              <w:rPr>
                <w:rFonts w:ascii="Arial" w:cs="Arial" w:eastAsia="Arial" w:hAnsi="Arial"/>
                <w:sz w:val="18"/>
                <w:szCs w:val="18"/>
                <w:color w:val="000000"/>
              </w:rPr>
              <w:t>.</w:t>
            </w:r>
          </w:p>
        </w:tc>
        <w:tc>
          <w:tcPr>
            <w:tcW w:w="6760" w:type="dxa"/>
            <w:vAlign w:val="bottom"/>
            <w:tcBorders>
              <w:top w:val="single" w:sz="8" w:color="CCEEFF"/>
            </w:tcBorders>
            <w:gridSpan w:val="4"/>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5"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27</w:t>
              </w:r>
            </w:hyperlink>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320" w:type="dxa"/>
            <w:vAlign w:val="bottom"/>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5" w:lineRule="exact"/>
              <w:rPr>
                <w:rFonts w:ascii="Arial" w:cs="Arial" w:eastAsia="Arial" w:hAnsi="Arial"/>
                <w:sz w:val="18"/>
                <w:szCs w:val="18"/>
                <w:color w:val="0000FF"/>
                <w:w w:val="90"/>
              </w:rPr>
            </w:pPr>
            <w:hyperlink w:anchor="page28">
              <w:r>
                <w:rPr>
                  <w:rFonts w:ascii="Arial" w:cs="Arial" w:eastAsia="Arial" w:hAnsi="Arial"/>
                  <w:sz w:val="18"/>
                  <w:szCs w:val="18"/>
                  <w:color w:val="0000FF"/>
                  <w:w w:val="90"/>
                </w:rPr>
                <w:t>Item 5.</w:t>
              </w:r>
            </w:hyperlink>
          </w:p>
        </w:tc>
        <w:tc>
          <w:tcPr>
            <w:tcW w:w="1360" w:type="dxa"/>
            <w:vAlign w:val="bottom"/>
            <w:tcBorders>
              <w:top w:val="single" w:sz="8" w:color="0000FF"/>
              <w:bottom w:val="single" w:sz="8" w:color="0000FF"/>
            </w:tcBorders>
            <w:gridSpan w:val="4"/>
            <w:shd w:val="clear" w:color="auto" w:fill="CCEEFF"/>
          </w:tcPr>
          <w:p>
            <w:pPr>
              <w:ind w:left="20"/>
              <w:spacing w:after="0" w:line="195" w:lineRule="exact"/>
              <w:rPr>
                <w:rFonts w:ascii="Arial" w:cs="Arial" w:eastAsia="Arial" w:hAnsi="Arial"/>
                <w:sz w:val="18"/>
                <w:szCs w:val="18"/>
                <w:color w:val="0000FF"/>
                <w:w w:val="90"/>
              </w:rPr>
            </w:pPr>
            <w:hyperlink w:anchor="page28">
              <w:r>
                <w:rPr>
                  <w:rFonts w:ascii="Arial" w:cs="Arial" w:eastAsia="Arial" w:hAnsi="Arial"/>
                  <w:sz w:val="18"/>
                  <w:szCs w:val="18"/>
                  <w:color w:val="0000FF"/>
                  <w:w w:val="90"/>
                </w:rPr>
                <w:t>Other Information.</w:t>
              </w:r>
            </w:hyperlink>
          </w:p>
        </w:tc>
        <w:tc>
          <w:tcPr>
            <w:tcW w:w="4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7340" w:type="dxa"/>
            <w:vAlign w:val="bottom"/>
            <w:tcBorders>
              <w:bottom w:val="single" w:sz="8" w:color="CCEEFF"/>
            </w:tcBorders>
            <w:gridSpan w:val="7"/>
            <w:shd w:val="clear" w:color="auto" w:fill="CCEEFF"/>
          </w:tcPr>
          <w:p>
            <w:pPr>
              <w:spacing w:after="0"/>
              <w:rPr>
                <w:sz w:val="18"/>
                <w:szCs w:val="18"/>
                <w:color w:val="auto"/>
              </w:rPr>
            </w:pPr>
          </w:p>
        </w:tc>
        <w:tc>
          <w:tcPr>
            <w:tcW w:w="7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27</w:t>
              </w:r>
            </w:hyperlink>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Borders>
              <w:bottom w:val="single" w:sz="8" w:color="0000FF"/>
            </w:tcBorders>
          </w:tcPr>
          <w:p>
            <w:pPr>
              <w:spacing w:after="0" w:line="186" w:lineRule="exact"/>
              <w:rPr>
                <w:rFonts w:ascii="Arial" w:cs="Arial" w:eastAsia="Arial" w:hAnsi="Arial"/>
                <w:sz w:val="18"/>
                <w:szCs w:val="18"/>
                <w:color w:val="0000FF"/>
                <w:w w:val="90"/>
              </w:rPr>
            </w:pPr>
            <w:hyperlink w:anchor="page28">
              <w:r>
                <w:rPr>
                  <w:rFonts w:ascii="Arial" w:cs="Arial" w:eastAsia="Arial" w:hAnsi="Arial"/>
                  <w:sz w:val="18"/>
                  <w:szCs w:val="18"/>
                  <w:color w:val="0000FF"/>
                  <w:w w:val="90"/>
                </w:rPr>
                <w:t>Item 6.</w:t>
              </w:r>
            </w:hyperlink>
          </w:p>
        </w:tc>
        <w:tc>
          <w:tcPr>
            <w:tcW w:w="660" w:type="dxa"/>
            <w:vAlign w:val="bottom"/>
            <w:tcBorders>
              <w:bottom w:val="single" w:sz="8" w:color="0000FF"/>
            </w:tcBorders>
            <w:gridSpan w:val="2"/>
          </w:tcPr>
          <w:p>
            <w:pPr>
              <w:ind w:left="20"/>
              <w:spacing w:after="0" w:line="186" w:lineRule="exact"/>
              <w:rPr>
                <w:rFonts w:ascii="Arial" w:cs="Arial" w:eastAsia="Arial" w:hAnsi="Arial"/>
                <w:sz w:val="18"/>
                <w:szCs w:val="18"/>
                <w:color w:val="0000FF"/>
                <w:w w:val="91"/>
              </w:rPr>
            </w:pPr>
            <w:hyperlink w:anchor="page28">
              <w:r>
                <w:rPr>
                  <w:rFonts w:ascii="Arial" w:cs="Arial" w:eastAsia="Arial" w:hAnsi="Arial"/>
                  <w:sz w:val="18"/>
                  <w:szCs w:val="18"/>
                  <w:color w:val="0000FF"/>
                  <w:w w:val="91"/>
                </w:rPr>
                <w:t>Exhibits.</w:t>
              </w:r>
            </w:hyperlink>
          </w:p>
        </w:tc>
        <w:tc>
          <w:tcPr>
            <w:tcW w:w="8440" w:type="dxa"/>
            <w:vAlign w:val="bottom"/>
            <w:gridSpan w:val="12"/>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28</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20" w:type="dxa"/>
            <w:vAlign w:val="bottom"/>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90"/>
              </w:rPr>
            </w:pPr>
            <w:hyperlink w:anchor="page29">
              <w:r>
                <w:rPr>
                  <w:rFonts w:ascii="Arial" w:cs="Arial" w:eastAsia="Arial" w:hAnsi="Arial"/>
                  <w:sz w:val="18"/>
                  <w:szCs w:val="18"/>
                  <w:color w:val="0000FF"/>
                  <w:w w:val="90"/>
                </w:rPr>
                <w:t>SIGNATURES</w:t>
              </w:r>
            </w:hyperlink>
          </w:p>
        </w:tc>
        <w:tc>
          <w:tcPr>
            <w:tcW w:w="8540" w:type="dxa"/>
            <w:vAlign w:val="bottom"/>
            <w:tcBorders>
              <w:bottom w:val="single" w:sz="8" w:color="CCEEFF"/>
            </w:tcBorders>
            <w:gridSpan w:val="13"/>
            <w:shd w:val="clear" w:color="auto" w:fill="CCEEFF"/>
          </w:tcPr>
          <w:p>
            <w:pPr>
              <w:spacing w:after="0"/>
              <w:rPr>
                <w:sz w:val="18"/>
                <w:szCs w:val="18"/>
                <w:color w:val="auto"/>
              </w:rPr>
            </w:pPr>
          </w:p>
        </w:tc>
        <w:tc>
          <w:tcPr>
            <w:tcW w:w="7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29</w:t>
              </w:r>
            </w:hyperlink>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887"/>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80" w:type="dxa"/>
            <w:vAlign w:val="bottom"/>
            <w:gridSpan w:val="13"/>
          </w:tcPr>
          <w:p>
            <w:pPr>
              <w:ind w:left="4560"/>
              <w:spacing w:after="0"/>
              <w:rPr>
                <w:sz w:val="20"/>
                <w:szCs w:val="20"/>
                <w:color w:val="auto"/>
              </w:rPr>
            </w:pPr>
            <w:r>
              <w:rPr>
                <w:rFonts w:ascii="Arial" w:cs="Arial" w:eastAsia="Arial" w:hAnsi="Arial"/>
                <w:sz w:val="18"/>
                <w:szCs w:val="18"/>
                <w:color w:val="auto"/>
              </w:rPr>
              <w:t>1</w:t>
            </w:r>
          </w:p>
        </w:tc>
        <w:tc>
          <w:tcPr>
            <w:tcW w:w="2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87"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218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19"/>
                <w:szCs w:val="19"/>
                <w:color w:val="auto"/>
              </w:rPr>
            </w:pPr>
          </w:p>
        </w:tc>
      </w:tr>
      <w:tr>
        <w:trPr>
          <w:trHeight w:val="219"/>
        </w:trPr>
        <w:tc>
          <w:tcPr>
            <w:tcW w:w="524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2021</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5240" w:type="dxa"/>
            <w:vAlign w:val="bottom"/>
          </w:tcPr>
          <w:p>
            <w:pPr>
              <w:ind w:left="420"/>
              <w:spacing w:after="0"/>
              <w:rPr>
                <w:sz w:val="20"/>
                <w:szCs w:val="20"/>
                <w:color w:val="auto"/>
              </w:rPr>
            </w:pPr>
            <w:r>
              <w:rPr>
                <w:rFonts w:ascii="Arial" w:cs="Arial" w:eastAsia="Arial" w:hAnsi="Arial"/>
                <w:sz w:val="18"/>
                <w:szCs w:val="18"/>
                <w:color w:val="auto"/>
              </w:rPr>
              <w:t>Services</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656</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1,249</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5"/>
        </w:trPr>
        <w:tc>
          <w:tcPr>
            <w:tcW w:w="52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Products</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408</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753</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9"/>
        </w:trPr>
        <w:tc>
          <w:tcPr>
            <w:tcW w:w="5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 Revenues</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1,064</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2,002</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1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Costs and Expenses:</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5240" w:type="dxa"/>
            <w:vAlign w:val="bottom"/>
          </w:tcPr>
          <w:p>
            <w:pPr>
              <w:ind w:left="420"/>
              <w:spacing w:after="0"/>
              <w:rPr>
                <w:sz w:val="20"/>
                <w:szCs w:val="20"/>
                <w:color w:val="auto"/>
              </w:rPr>
            </w:pPr>
            <w:r>
              <w:rPr>
                <w:rFonts w:ascii="Arial" w:cs="Arial" w:eastAsia="Arial" w:hAnsi="Arial"/>
                <w:sz w:val="18"/>
                <w:szCs w:val="18"/>
                <w:color w:val="auto"/>
              </w:rPr>
              <w:t>Cost of Services</w:t>
            </w:r>
          </w:p>
        </w:tc>
        <w:tc>
          <w:tcPr>
            <w:tcW w:w="5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418</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803</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Products</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338</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5"/>
        </w:trPr>
        <w:tc>
          <w:tcPr>
            <w:tcW w:w="52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374</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37</w:t>
            </w:r>
          </w:p>
        </w:tc>
      </w:tr>
      <w:tr>
        <w:trPr>
          <w:trHeight w:val="225"/>
        </w:trPr>
        <w:tc>
          <w:tcPr>
            <w:tcW w:w="524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5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2C2C2C"/>
              </w:rPr>
              <w:t>—</w:t>
            </w:r>
          </w:p>
        </w:tc>
        <w:tc>
          <w:tcPr>
            <w:tcW w:w="5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52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Charges (Credits)</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2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Costs and Expenses</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960</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1,880</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19"/>
        </w:trPr>
        <w:tc>
          <w:tcPr>
            <w:tcW w:w="5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104</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52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52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rPr>
              <w:t>(11)</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rPr>
              <w:t>(1</w:t>
            </w:r>
          </w:p>
        </w:tc>
      </w:tr>
      <w:tr>
        <w:trPr>
          <w:trHeight w:val="218"/>
        </w:trPr>
        <w:tc>
          <w:tcPr>
            <w:tcW w:w="524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5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5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52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5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5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5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Net Income (Loss) Attributable to Weatherford</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(74)</w:t>
            </w: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8"/>
        </w:trPr>
        <w:tc>
          <w:tcPr>
            <w:tcW w:w="5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25"/>
        </w:trPr>
        <w:tc>
          <w:tcPr>
            <w:tcW w:w="5240" w:type="dxa"/>
            <w:vAlign w:val="bottom"/>
          </w:tcPr>
          <w:p>
            <w:pPr>
              <w:ind w:left="340"/>
              <w:spacing w:after="0"/>
              <w:rPr>
                <w:sz w:val="20"/>
                <w:szCs w:val="20"/>
                <w:color w:val="auto"/>
              </w:rPr>
            </w:pPr>
            <w:r>
              <w:rPr>
                <w:rFonts w:ascii="Arial" w:cs="Arial" w:eastAsia="Arial" w:hAnsi="Arial"/>
                <w:sz w:val="18"/>
                <w:szCs w:val="18"/>
                <w:color w:val="auto"/>
              </w:rPr>
              <w:t>Basic and Diluted Income (Loss) per Share</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0.08</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4"/>
        </w:trPr>
        <w:tc>
          <w:tcPr>
            <w:tcW w:w="5240" w:type="dxa"/>
            <w:vAlign w:val="bottom"/>
          </w:tcPr>
          <w:p>
            <w:pPr>
              <w:ind w:left="34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47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823"/>
        </w:trPr>
        <w:tc>
          <w:tcPr>
            <w:tcW w:w="1260" w:type="dxa"/>
            <w:vAlign w:val="bottom"/>
            <w:tcBorders>
              <w:top w:val="single" w:sz="8" w:color="0000FF"/>
            </w:tcBorders>
          </w:tcPr>
          <w:p>
            <w:pPr>
              <w:spacing w:after="0"/>
              <w:rPr>
                <w:sz w:val="24"/>
                <w:szCs w:val="24"/>
                <w:color w:val="auto"/>
              </w:rPr>
            </w:pPr>
          </w:p>
        </w:tc>
        <w:tc>
          <w:tcPr>
            <w:tcW w:w="6920" w:type="dxa"/>
            <w:vAlign w:val="bottom"/>
            <w:gridSpan w:val="7"/>
          </w:tcPr>
          <w:p>
            <w:pPr>
              <w:jc w:val="center"/>
              <w:ind w:left="1392"/>
              <w:spacing w:after="0"/>
              <w:rPr>
                <w:sz w:val="20"/>
                <w:szCs w:val="20"/>
                <w:color w:val="auto"/>
              </w:rPr>
            </w:pPr>
            <w:r>
              <w:rPr>
                <w:rFonts w:ascii="Arial" w:cs="Arial" w:eastAsia="Arial" w:hAnsi="Arial"/>
                <w:sz w:val="18"/>
                <w:szCs w:val="18"/>
                <w:b w:val="1"/>
                <w:bCs w:val="1"/>
                <w:color w:val="auto"/>
                <w:w w:val="99"/>
              </w:rPr>
              <w:t>WEATHERFORD INTERNATIONAL PLC AND SUBSIDIARIES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8520" w:type="dxa"/>
            <w:vAlign w:val="bottom"/>
            <w:gridSpan w:val="9"/>
          </w:tcPr>
          <w:p>
            <w:pPr>
              <w:jc w:val="center"/>
              <w:ind w:right="32"/>
              <w:spacing w:after="0"/>
              <w:rPr>
                <w:sz w:val="20"/>
                <w:szCs w:val="20"/>
                <w:color w:val="auto"/>
              </w:rPr>
            </w:pPr>
            <w:r>
              <w:rPr>
                <w:rFonts w:ascii="Arial" w:cs="Arial" w:eastAsia="Arial" w:hAnsi="Arial"/>
                <w:sz w:val="18"/>
                <w:szCs w:val="18"/>
                <w:b w:val="1"/>
                <w:bCs w:val="1"/>
                <w:color w:val="auto"/>
                <w:w w:val="97"/>
              </w:rPr>
              <w:t>CONDENSED CONSOLIDATED STATEMENTS OF COMPREHENSIVE INCOME (LOSS)</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12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920" w:type="dxa"/>
            <w:vAlign w:val="bottom"/>
            <w:gridSpan w:val="3"/>
          </w:tcPr>
          <w:p>
            <w:pPr>
              <w:jc w:val="center"/>
              <w:ind w:right="632"/>
              <w:spacing w:after="0"/>
              <w:rPr>
                <w:sz w:val="20"/>
                <w:szCs w:val="20"/>
                <w:color w:val="auto"/>
              </w:rPr>
            </w:pPr>
            <w:r>
              <w:rPr>
                <w:rFonts w:ascii="Arial" w:cs="Arial" w:eastAsia="Arial" w:hAnsi="Arial"/>
                <w:sz w:val="18"/>
                <w:szCs w:val="18"/>
                <w:b w:val="1"/>
                <w:bCs w:val="1"/>
                <w:color w:val="auto"/>
              </w:rPr>
              <w:t>(UNAUDITED)</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8"/>
        </w:trPr>
        <w:tc>
          <w:tcPr>
            <w:tcW w:w="12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8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1"/>
                <w:szCs w:val="21"/>
                <w:color w:val="auto"/>
              </w:rPr>
            </w:pPr>
          </w:p>
        </w:tc>
        <w:tc>
          <w:tcPr>
            <w:tcW w:w="228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12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r>
      <w:tr>
        <w:trPr>
          <w:trHeight w:val="219"/>
        </w:trPr>
        <w:tc>
          <w:tcPr>
            <w:tcW w:w="4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r>
      <w:tr>
        <w:trPr>
          <w:trHeight w:val="219"/>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5"/>
        </w:trPr>
        <w:tc>
          <w:tcPr>
            <w:tcW w:w="4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59</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8"/>
        </w:trPr>
        <w:tc>
          <w:tcPr>
            <w:tcW w:w="486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8"/>
        </w:trPr>
        <w:tc>
          <w:tcPr>
            <w:tcW w:w="4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w w:val="89"/>
              </w:rPr>
              <w:t>Comprehensive Income Attributable to Noncontrolling Interests</w:t>
            </w: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86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96"/>
              </w:rPr>
              <w:t>Comprehensive Income (Loss) Attributable to Weatherford</w:t>
            </w: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65</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6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3"/>
        </w:trPr>
        <w:tc>
          <w:tcPr>
            <w:tcW w:w="30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680" w:type="dxa"/>
            <w:vAlign w:val="bottom"/>
            <w:gridSpan w:val="3"/>
          </w:tcPr>
          <w:p>
            <w:pPr>
              <w:jc w:val="right"/>
              <w:ind w:right="852"/>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80" w:type="dxa"/>
            <w:vAlign w:val="bottom"/>
            <w:gridSpan w:val="3"/>
          </w:tcPr>
          <w:p>
            <w:pPr>
              <w:jc w:val="right"/>
              <w:ind w:right="1292"/>
              <w:spacing w:after="0"/>
              <w:rPr>
                <w:sz w:val="20"/>
                <w:szCs w:val="20"/>
                <w:color w:val="auto"/>
              </w:rPr>
            </w:pPr>
            <w:r>
              <w:rPr>
                <w:rFonts w:ascii="Arial" w:cs="Arial" w:eastAsia="Arial" w:hAnsi="Arial"/>
                <w:sz w:val="18"/>
                <w:szCs w:val="18"/>
                <w:b w:val="1"/>
                <w:bCs w:val="1"/>
                <w:color w:val="auto"/>
              </w:rPr>
              <w:t>CONDENSED CONSOLIDATED BALANCE SHEETS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00" w:type="dxa"/>
            <w:vAlign w:val="bottom"/>
            <w:tcBorders>
              <w:bottom w:val="single" w:sz="8" w:color="auto"/>
            </w:tcBorders>
          </w:tcPr>
          <w:p>
            <w:pPr>
              <w:spacing w:after="0"/>
              <w:rPr>
                <w:sz w:val="21"/>
                <w:szCs w:val="21"/>
                <w:color w:val="auto"/>
              </w:rPr>
            </w:pPr>
          </w:p>
        </w:tc>
        <w:tc>
          <w:tcPr>
            <w:tcW w:w="6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4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w w:val="99"/>
              </w:rPr>
              <w:t>June 30, 2022</w:t>
            </w: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0"/>
              </w:rPr>
              <w:t>December 31, 2021</w:t>
            </w:r>
          </w:p>
        </w:tc>
        <w:tc>
          <w:tcPr>
            <w:tcW w:w="0" w:type="dxa"/>
            <w:vAlign w:val="bottom"/>
          </w:tcPr>
          <w:p>
            <w:pPr>
              <w:spacing w:after="0"/>
              <w:rPr>
                <w:sz w:val="1"/>
                <w:szCs w:val="1"/>
                <w:color w:val="auto"/>
              </w:rPr>
            </w:pPr>
          </w:p>
        </w:tc>
      </w:tr>
      <w:tr>
        <w:trPr>
          <w:trHeight w:val="219"/>
        </w:trPr>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879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740" w:type="dxa"/>
            <w:vAlign w:val="bottom"/>
            <w:gridSpan w:val="2"/>
          </w:tcPr>
          <w:p>
            <w:pPr>
              <w:ind w:left="120"/>
              <w:spacing w:after="0" w:line="173" w:lineRule="exact"/>
              <w:rPr>
                <w:sz w:val="20"/>
                <w:szCs w:val="20"/>
                <w:color w:val="auto"/>
              </w:rPr>
            </w:pPr>
            <w:r>
              <w:rPr>
                <w:rFonts w:ascii="Arial" w:cs="Arial" w:eastAsia="Arial" w:hAnsi="Arial"/>
                <w:sz w:val="18"/>
                <w:szCs w:val="18"/>
                <w:color w:val="auto"/>
                <w:w w:val="91"/>
              </w:rPr>
              <w:t>Accounts Receivable, Net of Allowance for Credit Losses of $30 at June 30, 2022 and $31</w:t>
            </w:r>
          </w:p>
        </w:tc>
        <w:tc>
          <w:tcPr>
            <w:tcW w:w="440" w:type="dxa"/>
            <w:vAlign w:val="bottom"/>
          </w:tcPr>
          <w:p>
            <w:pPr>
              <w:spacing w:after="0"/>
              <w:rPr>
                <w:sz w:val="15"/>
                <w:szCs w:val="15"/>
                <w:color w:val="auto"/>
              </w:rPr>
            </w:pPr>
          </w:p>
        </w:tc>
        <w:tc>
          <w:tcPr>
            <w:tcW w:w="1760" w:type="dxa"/>
            <w:vAlign w:val="bottom"/>
            <w:vMerge w:val="restart"/>
          </w:tcPr>
          <w:p>
            <w:pPr>
              <w:jc w:val="right"/>
              <w:ind w:right="152"/>
              <w:spacing w:after="0"/>
              <w:rPr>
                <w:sz w:val="20"/>
                <w:szCs w:val="20"/>
                <w:color w:val="auto"/>
              </w:rPr>
            </w:pPr>
            <w:r>
              <w:rPr>
                <w:rFonts w:ascii="Arial" w:cs="Arial" w:eastAsia="Arial" w:hAnsi="Arial"/>
                <w:sz w:val="18"/>
                <w:szCs w:val="18"/>
                <w:color w:val="auto"/>
              </w:rPr>
              <w:t>930</w:t>
            </w:r>
          </w:p>
        </w:tc>
        <w:tc>
          <w:tcPr>
            <w:tcW w:w="3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4"/>
        </w:trPr>
        <w:tc>
          <w:tcPr>
            <w:tcW w:w="7040" w:type="dxa"/>
            <w:vAlign w:val="bottom"/>
            <w:gridSpan w:val="3"/>
          </w:tcPr>
          <w:p>
            <w:pPr>
              <w:ind w:left="100"/>
              <w:spacing w:after="0"/>
              <w:rPr>
                <w:sz w:val="20"/>
                <w:szCs w:val="20"/>
                <w:color w:val="auto"/>
              </w:rPr>
            </w:pPr>
            <w:r>
              <w:rPr>
                <w:rFonts w:ascii="Arial" w:cs="Arial" w:eastAsia="Arial" w:hAnsi="Arial"/>
                <w:sz w:val="18"/>
                <w:szCs w:val="18"/>
                <w:color w:val="auto"/>
              </w:rPr>
              <w:t>at December 31, 2021</w:t>
            </w:r>
          </w:p>
        </w:tc>
        <w:tc>
          <w:tcPr>
            <w:tcW w:w="4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716</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5"/>
        </w:trPr>
        <w:tc>
          <w:tcPr>
            <w:tcW w:w="300" w:type="dxa"/>
            <w:vAlign w:val="bottom"/>
            <w:tcBorders>
              <w:bottom w:val="single" w:sz="8" w:color="auto"/>
            </w:tcBorders>
          </w:tcPr>
          <w:p>
            <w:pPr>
              <w:spacing w:after="0"/>
              <w:rPr>
                <w:sz w:val="19"/>
                <w:szCs w:val="19"/>
                <w:color w:val="auto"/>
              </w:rPr>
            </w:pPr>
          </w:p>
        </w:tc>
        <w:tc>
          <w:tcPr>
            <w:tcW w:w="67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9"/>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3,010</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740" w:type="dxa"/>
            <w:vAlign w:val="bottom"/>
            <w:gridSpan w:val="2"/>
          </w:tcPr>
          <w:p>
            <w:pPr>
              <w:ind w:left="120"/>
              <w:spacing w:after="0" w:line="173" w:lineRule="exact"/>
              <w:rPr>
                <w:sz w:val="20"/>
                <w:szCs w:val="20"/>
                <w:color w:val="auto"/>
              </w:rPr>
            </w:pPr>
            <w:r>
              <w:rPr>
                <w:rFonts w:ascii="Arial" w:cs="Arial" w:eastAsia="Arial" w:hAnsi="Arial"/>
                <w:sz w:val="18"/>
                <w:szCs w:val="18"/>
                <w:color w:val="auto"/>
                <w:w w:val="91"/>
              </w:rPr>
              <w:t>Property, Plant and Equipment, Net of Accumulated Depreciation of $718 at June 30, 2022</w:t>
            </w:r>
          </w:p>
        </w:tc>
        <w:tc>
          <w:tcPr>
            <w:tcW w:w="440" w:type="dxa"/>
            <w:vAlign w:val="bottom"/>
          </w:tcPr>
          <w:p>
            <w:pPr>
              <w:spacing w:after="0"/>
              <w:rPr>
                <w:sz w:val="15"/>
                <w:szCs w:val="15"/>
                <w:color w:val="auto"/>
              </w:rPr>
            </w:pPr>
          </w:p>
        </w:tc>
        <w:tc>
          <w:tcPr>
            <w:tcW w:w="1760" w:type="dxa"/>
            <w:vAlign w:val="bottom"/>
            <w:vMerge w:val="restart"/>
          </w:tcPr>
          <w:p>
            <w:pPr>
              <w:jc w:val="right"/>
              <w:ind w:right="152"/>
              <w:spacing w:after="0"/>
              <w:rPr>
                <w:sz w:val="20"/>
                <w:szCs w:val="20"/>
                <w:color w:val="auto"/>
              </w:rPr>
            </w:pPr>
            <w:r>
              <w:rPr>
                <w:rFonts w:ascii="Arial" w:cs="Arial" w:eastAsia="Arial" w:hAnsi="Arial"/>
                <w:sz w:val="18"/>
                <w:szCs w:val="18"/>
                <w:color w:val="auto"/>
              </w:rPr>
              <w:t>939</w:t>
            </w:r>
          </w:p>
        </w:tc>
        <w:tc>
          <w:tcPr>
            <w:tcW w:w="3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4"/>
        </w:trPr>
        <w:tc>
          <w:tcPr>
            <w:tcW w:w="7040" w:type="dxa"/>
            <w:vAlign w:val="bottom"/>
            <w:gridSpan w:val="3"/>
          </w:tcPr>
          <w:p>
            <w:pPr>
              <w:ind w:left="100"/>
              <w:spacing w:after="0"/>
              <w:rPr>
                <w:sz w:val="20"/>
                <w:szCs w:val="20"/>
                <w:color w:val="auto"/>
              </w:rPr>
            </w:pPr>
            <w:r>
              <w:rPr>
                <w:rFonts w:ascii="Arial" w:cs="Arial" w:eastAsia="Arial" w:hAnsi="Arial"/>
                <w:sz w:val="18"/>
                <w:szCs w:val="18"/>
                <w:color w:val="auto"/>
              </w:rPr>
              <w:t>and $623 at December 31, 2021</w:t>
            </w:r>
          </w:p>
        </w:tc>
        <w:tc>
          <w:tcPr>
            <w:tcW w:w="4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00" w:type="dxa"/>
            <w:vAlign w:val="bottom"/>
            <w:shd w:val="clear" w:color="auto" w:fill="CCEEFF"/>
          </w:tcPr>
          <w:p>
            <w:pPr>
              <w:spacing w:after="0"/>
              <w:rPr>
                <w:sz w:val="15"/>
                <w:szCs w:val="15"/>
                <w:color w:val="auto"/>
              </w:rPr>
            </w:pPr>
          </w:p>
        </w:tc>
        <w:tc>
          <w:tcPr>
            <w:tcW w:w="6740" w:type="dxa"/>
            <w:vAlign w:val="bottom"/>
            <w:gridSpan w:val="2"/>
            <w:shd w:val="clear" w:color="auto" w:fill="CCEEFF"/>
          </w:tcPr>
          <w:p>
            <w:pPr>
              <w:ind w:left="120"/>
              <w:spacing w:after="0" w:line="174" w:lineRule="exact"/>
              <w:rPr>
                <w:sz w:val="20"/>
                <w:szCs w:val="20"/>
                <w:color w:val="auto"/>
              </w:rPr>
            </w:pPr>
            <w:r>
              <w:rPr>
                <w:rFonts w:ascii="Arial" w:cs="Arial" w:eastAsia="Arial" w:hAnsi="Arial"/>
                <w:sz w:val="18"/>
                <w:szCs w:val="18"/>
                <w:color w:val="auto"/>
                <w:w w:val="92"/>
              </w:rPr>
              <w:t>Intangible Assets, Net of Accumulated Amortization of $403 at June 30, 2022 and $328 at</w:t>
            </w:r>
          </w:p>
        </w:tc>
        <w:tc>
          <w:tcPr>
            <w:tcW w:w="4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579</w:t>
            </w:r>
          </w:p>
        </w:tc>
        <w:tc>
          <w:tcPr>
            <w:tcW w:w="30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4"/>
        </w:trPr>
        <w:tc>
          <w:tcPr>
            <w:tcW w:w="7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December 31, 2021</w:t>
            </w:r>
          </w:p>
        </w:tc>
        <w:tc>
          <w:tcPr>
            <w:tcW w:w="4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tcPr>
          <w:p>
            <w:pPr>
              <w:spacing w:after="0"/>
              <w:rPr>
                <w:sz w:val="19"/>
                <w:szCs w:val="19"/>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5"/>
        </w:trPr>
        <w:tc>
          <w:tcPr>
            <w:tcW w:w="300" w:type="dxa"/>
            <w:vAlign w:val="bottom"/>
            <w:tcBorders>
              <w:bottom w:val="single" w:sz="8" w:color="auto"/>
            </w:tcBorders>
            <w:shd w:val="clear" w:color="auto" w:fill="CCEEFF"/>
          </w:tcPr>
          <w:p>
            <w:pPr>
              <w:spacing w:after="0"/>
              <w:rPr>
                <w:sz w:val="19"/>
                <w:szCs w:val="19"/>
                <w:color w:val="auto"/>
              </w:rPr>
            </w:pPr>
          </w:p>
        </w:tc>
        <w:tc>
          <w:tcPr>
            <w:tcW w:w="67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8"/>
        </w:trPr>
        <w:tc>
          <w:tcPr>
            <w:tcW w:w="300" w:type="dxa"/>
            <w:vAlign w:val="bottom"/>
            <w:tcBorders>
              <w:bottom w:val="single" w:sz="8" w:color="auto"/>
            </w:tcBorders>
          </w:tcPr>
          <w:p>
            <w:pPr>
              <w:spacing w:after="0"/>
              <w:rPr>
                <w:sz w:val="19"/>
                <w:szCs w:val="19"/>
                <w:color w:val="auto"/>
              </w:rPr>
            </w:pPr>
          </w:p>
        </w:tc>
        <w:tc>
          <w:tcPr>
            <w:tcW w:w="6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4,735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9"/>
                <w:szCs w:val="19"/>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Salaries and Benefits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Income Taxes Payable</w:t>
            </w:r>
          </w:p>
        </w:tc>
        <w:tc>
          <w:tcPr>
            <w:tcW w:w="440" w:type="dxa"/>
            <w:vAlign w:val="bottom"/>
          </w:tcPr>
          <w:p>
            <w:pPr>
              <w:spacing w:after="0"/>
              <w:rPr>
                <w:sz w:val="19"/>
                <w:szCs w:val="19"/>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300" w:type="dxa"/>
            <w:vAlign w:val="bottom"/>
            <w:tcBorders>
              <w:bottom w:val="single" w:sz="8" w:color="auto"/>
            </w:tcBorders>
          </w:tcPr>
          <w:p>
            <w:pPr>
              <w:spacing w:after="0"/>
              <w:rPr>
                <w:sz w:val="19"/>
                <w:szCs w:val="19"/>
                <w:color w:val="auto"/>
              </w:rPr>
            </w:pPr>
          </w:p>
        </w:tc>
        <w:tc>
          <w:tcPr>
            <w:tcW w:w="67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385</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9"/>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1,383</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9"/>
                <w:szCs w:val="19"/>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2,366</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Non-current Taxes Payable</w:t>
            </w:r>
          </w:p>
        </w:tc>
        <w:tc>
          <w:tcPr>
            <w:tcW w:w="440" w:type="dxa"/>
            <w:vAlign w:val="bottom"/>
          </w:tcPr>
          <w:p>
            <w:pPr>
              <w:spacing w:after="0"/>
              <w:rPr>
                <w:sz w:val="19"/>
                <w:szCs w:val="19"/>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5"/>
        </w:trPr>
        <w:tc>
          <w:tcPr>
            <w:tcW w:w="300" w:type="dxa"/>
            <w:vAlign w:val="bottom"/>
            <w:tcBorders>
              <w:bottom w:val="single" w:sz="8" w:color="auto"/>
            </w:tcBorders>
            <w:shd w:val="clear" w:color="auto" w:fill="CCEEFF"/>
          </w:tcPr>
          <w:p>
            <w:pPr>
              <w:spacing w:after="0"/>
              <w:rPr>
                <w:sz w:val="19"/>
                <w:szCs w:val="19"/>
                <w:color w:val="auto"/>
              </w:rPr>
            </w:pPr>
          </w:p>
        </w:tc>
        <w:tc>
          <w:tcPr>
            <w:tcW w:w="67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135</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9"/>
                <w:szCs w:val="19"/>
                <w:color w:val="auto"/>
              </w:rPr>
            </w:pPr>
          </w:p>
        </w:tc>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4,244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160"/>
        </w:trPr>
        <w:tc>
          <w:tcPr>
            <w:tcW w:w="300" w:type="dxa"/>
            <w:vAlign w:val="bottom"/>
            <w:shd w:val="clear" w:color="auto" w:fill="CCEEFF"/>
          </w:tcPr>
          <w:p>
            <w:pPr>
              <w:spacing w:after="0"/>
              <w:rPr>
                <w:sz w:val="13"/>
                <w:szCs w:val="13"/>
                <w:color w:val="auto"/>
              </w:rPr>
            </w:pPr>
          </w:p>
        </w:tc>
        <w:tc>
          <w:tcPr>
            <w:tcW w:w="6740" w:type="dxa"/>
            <w:vAlign w:val="bottom"/>
            <w:gridSpan w:val="2"/>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00" w:type="dxa"/>
            <w:vAlign w:val="bottom"/>
            <w:shd w:val="clear" w:color="auto" w:fill="CCEEFF"/>
          </w:tcPr>
          <w:p>
            <w:pPr>
              <w:spacing w:after="0"/>
              <w:rPr>
                <w:sz w:val="15"/>
                <w:szCs w:val="15"/>
                <w:color w:val="auto"/>
              </w:rPr>
            </w:pPr>
          </w:p>
        </w:tc>
        <w:tc>
          <w:tcPr>
            <w:tcW w:w="6740" w:type="dxa"/>
            <w:vAlign w:val="bottom"/>
            <w:gridSpan w:val="2"/>
            <w:shd w:val="clear" w:color="auto" w:fill="CCEEFF"/>
          </w:tcPr>
          <w:p>
            <w:pPr>
              <w:ind w:left="120"/>
              <w:spacing w:after="0" w:line="173" w:lineRule="exact"/>
              <w:rPr>
                <w:sz w:val="20"/>
                <w:szCs w:val="20"/>
                <w:color w:val="auto"/>
              </w:rPr>
            </w:pPr>
            <w:r>
              <w:rPr>
                <w:rFonts w:ascii="Arial" w:cs="Arial" w:eastAsia="Arial" w:hAnsi="Arial"/>
                <w:sz w:val="18"/>
                <w:szCs w:val="18"/>
                <w:color w:val="auto"/>
                <w:w w:val="92"/>
              </w:rPr>
              <w:t>Ordinary Shares - Par Value $0.001; Authorized 1,356 shares, Issued and Outstanding 70</w:t>
            </w:r>
          </w:p>
        </w:tc>
        <w:tc>
          <w:tcPr>
            <w:tcW w:w="4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7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shares at June 30, 2022 and December 31, 2021</w:t>
            </w:r>
          </w:p>
        </w:tc>
        <w:tc>
          <w:tcPr>
            <w:tcW w:w="44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Capital in Excess of Par Value</w:t>
            </w:r>
          </w:p>
        </w:tc>
        <w:tc>
          <w:tcPr>
            <w:tcW w:w="440" w:type="dxa"/>
            <w:vAlign w:val="bottom"/>
          </w:tcPr>
          <w:p>
            <w:pPr>
              <w:spacing w:after="0"/>
              <w:rPr>
                <w:sz w:val="19"/>
                <w:szCs w:val="19"/>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2,913</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26"/>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Deficit</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(2,471)</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25"/>
        </w:trPr>
        <w:tc>
          <w:tcPr>
            <w:tcW w:w="300" w:type="dxa"/>
            <w:vAlign w:val="bottom"/>
            <w:tcBorders>
              <w:bottom w:val="single" w:sz="8" w:color="auto"/>
            </w:tcBorders>
          </w:tcPr>
          <w:p>
            <w:pPr>
              <w:spacing w:after="0"/>
              <w:rPr>
                <w:sz w:val="19"/>
                <w:szCs w:val="19"/>
                <w:color w:val="auto"/>
              </w:rPr>
            </w:pPr>
          </w:p>
        </w:tc>
        <w:tc>
          <w:tcPr>
            <w:tcW w:w="67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30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Weatherford Shareholders’ Equity</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5"/>
        </w:trPr>
        <w:tc>
          <w:tcPr>
            <w:tcW w:w="300" w:type="dxa"/>
            <w:vAlign w:val="bottom"/>
            <w:tcBorders>
              <w:bottom w:val="single" w:sz="8" w:color="auto"/>
            </w:tcBorders>
          </w:tcPr>
          <w:p>
            <w:pPr>
              <w:spacing w:after="0"/>
              <w:rPr>
                <w:sz w:val="19"/>
                <w:szCs w:val="19"/>
                <w:color w:val="auto"/>
              </w:rPr>
            </w:pPr>
          </w:p>
        </w:tc>
        <w:tc>
          <w:tcPr>
            <w:tcW w:w="6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300" w:type="dxa"/>
            <w:vAlign w:val="bottom"/>
            <w:tcBorders>
              <w:bottom w:val="single" w:sz="8" w:color="auto"/>
            </w:tcBorders>
            <w:shd w:val="clear" w:color="auto" w:fill="CCEEFF"/>
          </w:tcPr>
          <w:p>
            <w:pPr>
              <w:spacing w:after="0"/>
              <w:rPr>
                <w:sz w:val="19"/>
                <w:szCs w:val="19"/>
                <w:color w:val="auto"/>
              </w:rPr>
            </w:pPr>
          </w:p>
        </w:tc>
        <w:tc>
          <w:tcPr>
            <w:tcW w:w="67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491</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9"/>
        </w:trPr>
        <w:tc>
          <w:tcPr>
            <w:tcW w:w="300" w:type="dxa"/>
            <w:vAlign w:val="bottom"/>
            <w:tcBorders>
              <w:bottom w:val="single" w:sz="8" w:color="auto"/>
            </w:tcBorders>
          </w:tcPr>
          <w:p>
            <w:pPr>
              <w:spacing w:after="0"/>
              <w:rPr>
                <w:sz w:val="19"/>
                <w:szCs w:val="19"/>
                <w:color w:val="auto"/>
              </w:rPr>
            </w:pPr>
          </w:p>
        </w:tc>
        <w:tc>
          <w:tcPr>
            <w:tcW w:w="6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4,735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449"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0"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Six Months Ended 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40" w:type="dxa"/>
            <w:vAlign w:val="bottom"/>
            <w:tcBorders>
              <w:bottom w:val="single" w:sz="8" w:color="auto"/>
            </w:tcBorders>
          </w:tcPr>
          <w:p>
            <w:pPr>
              <w:ind w:left="340"/>
              <w:spacing w:after="0"/>
              <w:rPr>
                <w:sz w:val="20"/>
                <w:szCs w:val="20"/>
                <w:color w:val="auto"/>
              </w:rPr>
            </w:pPr>
            <w:r>
              <w:rPr>
                <w:rFonts w:ascii="Arial" w:cs="Arial" w:eastAsia="Arial" w:hAnsi="Arial"/>
                <w:sz w:val="16"/>
                <w:szCs w:val="16"/>
                <w:i w:val="1"/>
                <w:iCs w:val="1"/>
                <w:color w:val="auto"/>
              </w:rPr>
              <w:t>(Dollars in millions)</w:t>
            </w:r>
          </w:p>
        </w:tc>
        <w:tc>
          <w:tcPr>
            <w:tcW w:w="6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0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8"/>
                <w:szCs w:val="18"/>
                <w:b w:val="1"/>
                <w:bCs w:val="1"/>
                <w:color w:val="auto"/>
              </w:rPr>
              <w:t>2021</w:t>
            </w:r>
          </w:p>
        </w:tc>
      </w:tr>
      <w:tr>
        <w:trPr>
          <w:trHeight w:val="203"/>
        </w:trPr>
        <w:tc>
          <w:tcPr>
            <w:tcW w:w="7040" w:type="dxa"/>
            <w:vAlign w:val="bottom"/>
          </w:tcPr>
          <w:p>
            <w:pPr>
              <w:ind w:left="340"/>
              <w:spacing w:after="0"/>
              <w:rPr>
                <w:sz w:val="20"/>
                <w:szCs w:val="20"/>
                <w:color w:val="auto"/>
              </w:rPr>
            </w:pPr>
            <w:r>
              <w:rPr>
                <w:rFonts w:ascii="Arial" w:cs="Arial" w:eastAsia="Arial" w:hAnsi="Arial"/>
                <w:sz w:val="16"/>
                <w:szCs w:val="16"/>
                <w:b w:val="1"/>
                <w:bCs w:val="1"/>
                <w:color w:val="auto"/>
              </w:rPr>
              <w:t>Cash Flows From Operating Activities:</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4"/>
        </w:trPr>
        <w:tc>
          <w:tcPr>
            <w:tcW w:w="7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Loss</w:t>
            </w:r>
          </w:p>
        </w:tc>
        <w:tc>
          <w:tcPr>
            <w:tcW w:w="6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(62)</w:t>
            </w:r>
          </w:p>
        </w:tc>
        <w:tc>
          <w:tcPr>
            <w:tcW w:w="5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0"/>
        </w:trPr>
        <w:tc>
          <w:tcPr>
            <w:tcW w:w="7040" w:type="dxa"/>
            <w:vAlign w:val="bottom"/>
          </w:tcPr>
          <w:p>
            <w:pPr>
              <w:ind w:left="4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7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177</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09"/>
        </w:trPr>
        <w:tc>
          <w:tcPr>
            <w:tcW w:w="7040" w:type="dxa"/>
            <w:vAlign w:val="bottom"/>
          </w:tcPr>
          <w:p>
            <w:pPr>
              <w:ind w:left="420"/>
              <w:spacing w:after="0"/>
              <w:rPr>
                <w:sz w:val="20"/>
                <w:szCs w:val="20"/>
                <w:color w:val="auto"/>
              </w:rPr>
            </w:pPr>
            <w:r>
              <w:rPr>
                <w:rFonts w:ascii="Arial" w:cs="Arial" w:eastAsia="Arial" w:hAnsi="Arial"/>
                <w:sz w:val="16"/>
                <w:szCs w:val="16"/>
                <w:color w:val="auto"/>
              </w:rPr>
              <w:t>Asset Write-downs and Other Charges</w:t>
            </w:r>
          </w:p>
        </w:tc>
        <w:tc>
          <w:tcPr>
            <w:tcW w:w="680" w:type="dxa"/>
            <w:vAlign w:val="bottom"/>
          </w:tcPr>
          <w:p>
            <w:pPr>
              <w:spacing w:after="0"/>
              <w:rPr>
                <w:sz w:val="18"/>
                <w:szCs w:val="18"/>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Inventory Charges</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7040" w:type="dxa"/>
            <w:vAlign w:val="bottom"/>
          </w:tcPr>
          <w:p>
            <w:pPr>
              <w:ind w:left="420"/>
              <w:spacing w:after="0"/>
              <w:rPr>
                <w:sz w:val="20"/>
                <w:szCs w:val="20"/>
                <w:color w:val="auto"/>
              </w:rPr>
            </w:pPr>
            <w:r>
              <w:rPr>
                <w:rFonts w:ascii="Arial" w:cs="Arial" w:eastAsia="Arial" w:hAnsi="Arial"/>
                <w:sz w:val="16"/>
                <w:szCs w:val="16"/>
                <w:color w:val="auto"/>
              </w:rPr>
              <w:t>Gain on Disposition of Assets</w:t>
            </w:r>
          </w:p>
        </w:tc>
        <w:tc>
          <w:tcPr>
            <w:tcW w:w="680" w:type="dxa"/>
            <w:vAlign w:val="bottom"/>
          </w:tcPr>
          <w:p>
            <w:pPr>
              <w:spacing w:after="0"/>
              <w:rPr>
                <w:sz w:val="18"/>
                <w:szCs w:val="18"/>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4"/>
        </w:trPr>
        <w:tc>
          <w:tcPr>
            <w:tcW w:w="7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Income Tax Provision</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040" w:type="dxa"/>
            <w:vAlign w:val="bottom"/>
          </w:tcPr>
          <w:p>
            <w:pPr>
              <w:ind w:left="420"/>
              <w:spacing w:after="0"/>
              <w:rPr>
                <w:sz w:val="20"/>
                <w:szCs w:val="20"/>
                <w:color w:val="auto"/>
              </w:rPr>
            </w:pPr>
            <w:r>
              <w:rPr>
                <w:rFonts w:ascii="Arial" w:cs="Arial" w:eastAsia="Arial" w:hAnsi="Arial"/>
                <w:sz w:val="16"/>
                <w:szCs w:val="16"/>
                <w:color w:val="auto"/>
              </w:rPr>
              <w:t>Share-Based Compensation</w:t>
            </w:r>
          </w:p>
        </w:tc>
        <w:tc>
          <w:tcPr>
            <w:tcW w:w="680" w:type="dxa"/>
            <w:vAlign w:val="bottom"/>
          </w:tcPr>
          <w:p>
            <w:pPr>
              <w:spacing w:after="0"/>
              <w:rPr>
                <w:sz w:val="18"/>
                <w:szCs w:val="18"/>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4"/>
        </w:trPr>
        <w:tc>
          <w:tcPr>
            <w:tcW w:w="7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Changes in Operating Assets and Liabilities, Net:</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704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680" w:type="dxa"/>
            <w:vAlign w:val="bottom"/>
          </w:tcPr>
          <w:p>
            <w:pPr>
              <w:spacing w:after="0"/>
              <w:rPr>
                <w:sz w:val="18"/>
                <w:szCs w:val="18"/>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(86)</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7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70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680" w:type="dxa"/>
            <w:vAlign w:val="bottom"/>
          </w:tcPr>
          <w:p>
            <w:pPr>
              <w:spacing w:after="0"/>
              <w:rPr>
                <w:sz w:val="18"/>
                <w:szCs w:val="18"/>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62</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2"/>
        </w:trPr>
        <w:tc>
          <w:tcPr>
            <w:tcW w:w="70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Other Assets and Liabilities, Net</w:t>
            </w:r>
          </w:p>
        </w:tc>
        <w:tc>
          <w:tcPr>
            <w:tcW w:w="6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6"/>
        </w:trPr>
        <w:tc>
          <w:tcPr>
            <w:tcW w:w="70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07"/>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Cash Flows From Investing Activities:</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040" w:type="dxa"/>
            <w:vAlign w:val="bottom"/>
          </w:tcPr>
          <w:p>
            <w:pPr>
              <w:ind w:left="420"/>
              <w:spacing w:after="0"/>
              <w:rPr>
                <w:sz w:val="20"/>
                <w:szCs w:val="20"/>
                <w:color w:val="auto"/>
              </w:rPr>
            </w:pPr>
            <w:r>
              <w:rPr>
                <w:rFonts w:ascii="Arial" w:cs="Arial" w:eastAsia="Arial" w:hAnsi="Arial"/>
                <w:sz w:val="16"/>
                <w:szCs w:val="16"/>
                <w:color w:val="auto"/>
              </w:rPr>
              <w:t>Capital Expenditures for Property, Plant and Equipment</w:t>
            </w:r>
          </w:p>
        </w:tc>
        <w:tc>
          <w:tcPr>
            <w:tcW w:w="680" w:type="dxa"/>
            <w:vAlign w:val="bottom"/>
          </w:tcPr>
          <w:p>
            <w:pPr>
              <w:spacing w:after="0"/>
              <w:rPr>
                <w:sz w:val="18"/>
                <w:szCs w:val="18"/>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7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Proceeds from Disposition of Assets</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70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Other Investing Activities</w:t>
            </w:r>
          </w:p>
        </w:tc>
        <w:tc>
          <w:tcPr>
            <w:tcW w:w="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0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6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5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7040" w:type="dxa"/>
            <w:vAlign w:val="bottom"/>
          </w:tcPr>
          <w:p>
            <w:pPr>
              <w:ind w:left="340"/>
              <w:spacing w:after="0"/>
              <w:rPr>
                <w:sz w:val="20"/>
                <w:szCs w:val="20"/>
                <w:color w:val="auto"/>
              </w:rPr>
            </w:pPr>
            <w:r>
              <w:rPr>
                <w:rFonts w:ascii="Arial" w:cs="Arial" w:eastAsia="Arial" w:hAnsi="Arial"/>
                <w:sz w:val="16"/>
                <w:szCs w:val="16"/>
                <w:b w:val="1"/>
                <w:bCs w:val="1"/>
                <w:color w:val="auto"/>
              </w:rPr>
              <w:t>Cash Flows From Financing Activities:</w:t>
            </w: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4"/>
        </w:trPr>
        <w:tc>
          <w:tcPr>
            <w:tcW w:w="7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Repayments of Long-term Debt</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040" w:type="dxa"/>
            <w:vAlign w:val="bottom"/>
          </w:tcPr>
          <w:p>
            <w:pPr>
              <w:ind w:left="420"/>
              <w:spacing w:after="0"/>
              <w:rPr>
                <w:sz w:val="20"/>
                <w:szCs w:val="20"/>
                <w:color w:val="auto"/>
              </w:rPr>
            </w:pPr>
            <w:r>
              <w:rPr>
                <w:rFonts w:ascii="Arial" w:cs="Arial" w:eastAsia="Arial" w:hAnsi="Arial"/>
                <w:sz w:val="16"/>
                <w:szCs w:val="16"/>
                <w:color w:val="auto"/>
              </w:rPr>
              <w:t>Repayments of Short-term Debt, Net</w:t>
            </w:r>
          </w:p>
        </w:tc>
        <w:tc>
          <w:tcPr>
            <w:tcW w:w="680" w:type="dxa"/>
            <w:vAlign w:val="bottom"/>
          </w:tcPr>
          <w:p>
            <w:pPr>
              <w:spacing w:after="0"/>
              <w:rPr>
                <w:sz w:val="18"/>
                <w:szCs w:val="18"/>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70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Other Financing Activities</w:t>
            </w:r>
          </w:p>
        </w:tc>
        <w:tc>
          <w:tcPr>
            <w:tcW w:w="6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70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Net Cash Used in Financing Activities</w:t>
            </w:r>
          </w:p>
        </w:tc>
        <w:tc>
          <w:tcPr>
            <w:tcW w:w="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(25)</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040" w:type="dxa"/>
            <w:vAlign w:val="bottom"/>
          </w:tcPr>
          <w:p>
            <w:pPr>
              <w:ind w:left="3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680" w:type="dxa"/>
            <w:vAlign w:val="bottom"/>
          </w:tcPr>
          <w:p>
            <w:pPr>
              <w:spacing w:after="0"/>
              <w:rPr>
                <w:sz w:val="18"/>
                <w:szCs w:val="18"/>
                <w:color w:val="auto"/>
              </w:rPr>
            </w:pPr>
          </w:p>
        </w:tc>
        <w:tc>
          <w:tcPr>
            <w:tcW w:w="14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2"/>
        </w:trPr>
        <w:tc>
          <w:tcPr>
            <w:tcW w:w="70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6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1,113</w:t>
            </w: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05"/>
        </w:trPr>
        <w:tc>
          <w:tcPr>
            <w:tcW w:w="70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Cash, Cash Equivalents and Restricted Cash at End of Period</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1,090</w:t>
            </w:r>
          </w:p>
        </w:tc>
        <w:tc>
          <w:tcPr>
            <w:tcW w:w="5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8"/>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Supplemental Cash Flow Information:</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040" w:type="dxa"/>
            <w:vAlign w:val="bottom"/>
          </w:tcPr>
          <w:p>
            <w:pPr>
              <w:ind w:left="420"/>
              <w:spacing w:after="0"/>
              <w:rPr>
                <w:sz w:val="20"/>
                <w:szCs w:val="20"/>
                <w:color w:val="auto"/>
              </w:rPr>
            </w:pPr>
            <w:r>
              <w:rPr>
                <w:rFonts w:ascii="Arial" w:cs="Arial" w:eastAsia="Arial" w:hAnsi="Arial"/>
                <w:sz w:val="16"/>
                <w:szCs w:val="16"/>
                <w:color w:val="auto"/>
              </w:rPr>
              <w:t>Interest Paid</w:t>
            </w: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117</w:t>
            </w:r>
          </w:p>
        </w:tc>
        <w:tc>
          <w:tcPr>
            <w:tcW w:w="5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7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Taxes Paid, Net of Refunds</w:t>
            </w:r>
          </w:p>
        </w:tc>
        <w:tc>
          <w:tcPr>
            <w:tcW w:w="6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5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472" w:right="339" w:bottom="1440" w:gutter="0" w:footer="0" w:header="0"/>
        </w:sectPr>
      </w:pPr>
    </w:p>
    <w:bookmarkStart w:id="6" w:name="page7"/>
    <w:bookmarkEnd w:id="6"/>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 Basis of Presentation and Summary of Significant Accounting Policies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Annual Report on Form 10-K for the year ended December 31, 2021 (“2021 Annual Report”).</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Please refer to “Note 1 – Summary of Significant Accounting Policies” of our Consolidated Financial Statements from our 2021 Annual Report for the discussion on our significant accounting policies. Certain reclassifications have been made to the financial statements and accompanying footnotes for the three and six months ended June 30, 2021 to conform to the presentation for the three and six months ended June 30, 2022, including the change in reportable segments made during the fourth quarter of 2021.</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 new accounting pronouncements that have been issued but not yet effective are currently being evaluated and at this time are not expected to have a material impact on our financial position or results of operations.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 Segment Information</w:t>
      </w:r>
    </w:p>
    <w:p>
      <w:pPr>
        <w:spacing w:after="0" w:line="2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Financial information by segment is summarized below. The accounting policies of the segments are the same as those described in the summary of significant accounting policies as presented in our 2021 Annual Report. During the fourth quarter of 2021, our chief operating decision maker changed the information regularly reviewed to be aligned with how we offer our services and technologies in relation to the life cycle of a well and we have realigned our reportable segments to reflect the change. All of our segments are enabled by a full suite of digital, monitoring, optimization and artificial intelligence solutions providing services throughout the well life cycle, including responsible abandonment. We have three reportable segments: (1) Drilling and Evaluation, (2) Well Construction and Completions, and (3) Production and Intervention. Previously we had two geographic based reportable segments, Western Hemisphere and Eastern Hemisphere.</w:t>
      </w:r>
    </w:p>
    <w:p>
      <w:pPr>
        <w:spacing w:after="0" w:line="22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Corporate and other includes business activities related to all other segments (profit and loss), corporate and other expenses (overhead support and centrally managed or shared facilities costs) that do not individually meet the criteria for segment reporting.</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 w:name="page8"/>
    <w:bookmarkEnd w:id="7"/>
    <w:tbl>
      <w:tblPr>
        <w:tblLayout w:type="fixed"/>
        <w:tblInd w:w="155" w:type="dxa"/>
        <w:tblCellMar>
          <w:top w:w="0" w:type="dxa"/>
          <w:left w:w="0" w:type="dxa"/>
          <w:bottom w:w="0" w:type="dxa"/>
          <w:right w:w="0" w:type="dxa"/>
        </w:tblCellMar>
      </w:tblPr>
      <w:tr>
        <w:trPr>
          <w:trHeight w:val="207"/>
        </w:trPr>
        <w:tc>
          <w:tcPr>
            <w:tcW w:w="39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973"/>
        </w:trPr>
        <w:tc>
          <w:tcPr>
            <w:tcW w:w="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Pr>
          <w:p>
            <w:pPr>
              <w:spacing w:after="0"/>
              <w:rPr>
                <w:sz w:val="24"/>
                <w:szCs w:val="24"/>
                <w:color w:val="auto"/>
              </w:rPr>
            </w:pPr>
          </w:p>
        </w:tc>
        <w:tc>
          <w:tcPr>
            <w:tcW w:w="278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0"/>
        </w:trPr>
        <w:tc>
          <w:tcPr>
            <w:tcW w:w="80" w:type="dxa"/>
            <w:vAlign w:val="bottom"/>
          </w:tcPr>
          <w:p>
            <w:pPr>
              <w:spacing w:after="0"/>
              <w:rPr>
                <w:sz w:val="19"/>
                <w:szCs w:val="19"/>
                <w:color w:val="auto"/>
              </w:rPr>
            </w:pPr>
          </w:p>
        </w:tc>
        <w:tc>
          <w:tcPr>
            <w:tcW w:w="38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5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r>
      <w:tr>
        <w:trPr>
          <w:trHeight w:val="218"/>
        </w:trPr>
        <w:tc>
          <w:tcPr>
            <w:tcW w:w="80" w:type="dxa"/>
            <w:vAlign w:val="bottom"/>
          </w:tcPr>
          <w:p>
            <w:pPr>
              <w:spacing w:after="0"/>
              <w:rPr>
                <w:sz w:val="19"/>
                <w:szCs w:val="19"/>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80" w:type="dxa"/>
            <w:vAlign w:val="bottom"/>
          </w:tcPr>
          <w:p>
            <w:pPr>
              <w:spacing w:after="0"/>
              <w:rPr>
                <w:sz w:val="19"/>
                <w:szCs w:val="19"/>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color w:val="auto"/>
              </w:rPr>
              <w:t>Drilling and Evaluation</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317</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609</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26"/>
        </w:trPr>
        <w:tc>
          <w:tcPr>
            <w:tcW w:w="80" w:type="dxa"/>
            <w:vAlign w:val="bottom"/>
          </w:tcPr>
          <w:p>
            <w:pPr>
              <w:spacing w:after="0"/>
              <w:rPr>
                <w:sz w:val="19"/>
                <w:szCs w:val="19"/>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Well Construction and Completions</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383</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727</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25"/>
        </w:trPr>
        <w:tc>
          <w:tcPr>
            <w:tcW w:w="80" w:type="dxa"/>
            <w:vAlign w:val="bottom"/>
          </w:tcPr>
          <w:p>
            <w:pPr>
              <w:spacing w:after="0"/>
              <w:rPr>
                <w:sz w:val="19"/>
                <w:szCs w:val="19"/>
                <w:color w:val="auto"/>
              </w:rPr>
            </w:pPr>
          </w:p>
        </w:tc>
        <w:tc>
          <w:tcPr>
            <w:tcW w:w="38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Production and Intervention</w:t>
            </w: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345</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631</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19"/>
        </w:trPr>
        <w:tc>
          <w:tcPr>
            <w:tcW w:w="80" w:type="dxa"/>
            <w:vAlign w:val="bottom"/>
          </w:tcPr>
          <w:p>
            <w:pPr>
              <w:spacing w:after="0"/>
              <w:rPr>
                <w:sz w:val="19"/>
                <w:szCs w:val="19"/>
                <w:color w:val="auto"/>
              </w:rPr>
            </w:pPr>
          </w:p>
        </w:tc>
        <w:tc>
          <w:tcPr>
            <w:tcW w:w="3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Segment Revenues</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1,045</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1,967</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r>
      <w:tr>
        <w:trPr>
          <w:trHeight w:val="225"/>
        </w:trPr>
        <w:tc>
          <w:tcPr>
            <w:tcW w:w="80" w:type="dxa"/>
            <w:vAlign w:val="bottom"/>
          </w:tcPr>
          <w:p>
            <w:pPr>
              <w:spacing w:after="0"/>
              <w:rPr>
                <w:sz w:val="19"/>
                <w:szCs w:val="19"/>
                <w:color w:val="auto"/>
              </w:rPr>
            </w:pPr>
          </w:p>
        </w:tc>
        <w:tc>
          <w:tcPr>
            <w:tcW w:w="38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All Other</w:t>
            </w: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35</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9"/>
        </w:trPr>
        <w:tc>
          <w:tcPr>
            <w:tcW w:w="80" w:type="dxa"/>
            <w:vAlign w:val="bottom"/>
          </w:tcPr>
          <w:p>
            <w:pPr>
              <w:spacing w:after="0"/>
              <w:rPr>
                <w:sz w:val="19"/>
                <w:szCs w:val="19"/>
                <w:color w:val="auto"/>
              </w:rPr>
            </w:pPr>
          </w:p>
        </w:tc>
        <w:tc>
          <w:tcPr>
            <w:tcW w:w="382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1,064</w:t>
            </w:r>
          </w:p>
        </w:tc>
        <w:tc>
          <w:tcPr>
            <w:tcW w:w="4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w:t>
            </w:r>
          </w:p>
        </w:tc>
        <w:tc>
          <w:tcPr>
            <w:tcW w:w="1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2,002</w:t>
            </w:r>
          </w:p>
        </w:tc>
        <w:tc>
          <w:tcPr>
            <w:tcW w:w="5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1,735</w:t>
            </w:r>
          </w:p>
        </w:tc>
      </w:tr>
    </w:tbl>
    <w:p>
      <w:pPr>
        <w:spacing w:after="0" w:line="141" w:lineRule="exact"/>
        <w:rPr>
          <w:sz w:val="20"/>
          <w:szCs w:val="20"/>
          <w:color w:val="auto"/>
        </w:rPr>
      </w:pPr>
    </w:p>
    <w:p>
      <w:pPr>
        <w:sectPr>
          <w:pgSz w:w="11900" w:h="16838" w:orient="portrait"/>
          <w:cols w:equalWidth="0" w:num="1">
            <w:col w:w="11075"/>
          </w:cols>
          <w:pgMar w:left="485" w:top="449" w:right="339" w:bottom="1440" w:gutter="0" w:footer="0" w:header="0"/>
        </w:sectPr>
      </w:pPr>
    </w:p>
    <w:tbl>
      <w:tblPr>
        <w:tblLayout w:type="fixed"/>
        <w:tblInd w:w="235" w:type="dxa"/>
        <w:tblCellMar>
          <w:top w:w="0" w:type="dxa"/>
          <w:left w:w="0" w:type="dxa"/>
          <w:bottom w:w="0" w:type="dxa"/>
          <w:right w:w="0" w:type="dxa"/>
        </w:tblCellMar>
      </w:tblPr>
      <w:tr>
        <w:trPr>
          <w:trHeight w:val="229"/>
        </w:trPr>
        <w:tc>
          <w:tcPr>
            <w:tcW w:w="3540" w:type="dxa"/>
            <w:vAlign w:val="bottom"/>
          </w:tcPr>
          <w:p>
            <w:pPr>
              <w:ind w:left="340"/>
              <w:spacing w:after="0"/>
              <w:rPr>
                <w:sz w:val="20"/>
                <w:szCs w:val="20"/>
                <w:color w:val="auto"/>
              </w:rPr>
            </w:pPr>
            <w:r>
              <w:rPr>
                <w:rFonts w:ascii="Arial" w:cs="Arial" w:eastAsia="Arial" w:hAnsi="Arial"/>
                <w:sz w:val="18"/>
                <w:szCs w:val="18"/>
                <w:b w:val="1"/>
                <w:bCs w:val="1"/>
                <w:color w:val="auto"/>
              </w:rPr>
              <w:t>Segment Adjusted EBITDA:</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3540" w:type="dxa"/>
            <w:vAlign w:val="bottom"/>
          </w:tcPr>
          <w:p>
            <w:pPr>
              <w:ind w:left="340"/>
              <w:spacing w:after="0"/>
              <w:rPr>
                <w:sz w:val="20"/>
                <w:szCs w:val="20"/>
                <w:color w:val="auto"/>
              </w:rPr>
            </w:pPr>
            <w:r>
              <w:rPr>
                <w:rFonts w:ascii="Arial" w:cs="Arial" w:eastAsia="Arial" w:hAnsi="Arial"/>
                <w:sz w:val="18"/>
                <w:szCs w:val="18"/>
                <w:color w:val="auto"/>
              </w:rPr>
              <w:t>Drilling and Evaluation</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69</w:t>
            </w:r>
          </w:p>
        </w:tc>
        <w:tc>
          <w:tcPr>
            <w:tcW w:w="7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3540" w:type="dxa"/>
            <w:vAlign w:val="bottom"/>
          </w:tcPr>
          <w:p>
            <w:pPr>
              <w:ind w:left="340"/>
              <w:spacing w:after="0"/>
              <w:rPr>
                <w:sz w:val="20"/>
                <w:szCs w:val="20"/>
                <w:color w:val="auto"/>
              </w:rPr>
            </w:pPr>
            <w:r>
              <w:rPr>
                <w:rFonts w:ascii="Arial" w:cs="Arial" w:eastAsia="Arial" w:hAnsi="Arial"/>
                <w:sz w:val="18"/>
                <w:szCs w:val="18"/>
                <w:color w:val="auto"/>
              </w:rPr>
              <w:t>Well Construction and Completions</w:t>
            </w:r>
          </w:p>
        </w:tc>
        <w:tc>
          <w:tcPr>
            <w:tcW w:w="11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6"/>
        </w:trPr>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Production and Intervention</w:t>
            </w:r>
          </w:p>
        </w:tc>
        <w:tc>
          <w:tcPr>
            <w:tcW w:w="1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68</w:t>
            </w:r>
          </w:p>
        </w:tc>
        <w:tc>
          <w:tcPr>
            <w:tcW w:w="7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18"/>
        </w:trPr>
        <w:tc>
          <w:tcPr>
            <w:tcW w:w="3540" w:type="dxa"/>
            <w:vAlign w:val="bottom"/>
          </w:tcPr>
          <w:p>
            <w:pPr>
              <w:ind w:left="420"/>
              <w:spacing w:after="0"/>
              <w:rPr>
                <w:sz w:val="20"/>
                <w:szCs w:val="20"/>
                <w:color w:val="auto"/>
              </w:rPr>
            </w:pPr>
            <w:r>
              <w:rPr>
                <w:rFonts w:ascii="Arial" w:cs="Arial" w:eastAsia="Arial" w:hAnsi="Arial"/>
                <w:sz w:val="18"/>
                <w:szCs w:val="18"/>
                <w:color w:val="auto"/>
              </w:rPr>
              <w:t>Segment Adjusted EBITDA</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204</w:t>
            </w:r>
          </w:p>
        </w:tc>
        <w:tc>
          <w:tcPr>
            <w:tcW w:w="7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5"/>
        </w:trPr>
        <w:tc>
          <w:tcPr>
            <w:tcW w:w="3540" w:type="dxa"/>
            <w:vAlign w:val="bottom"/>
          </w:tcPr>
          <w:p>
            <w:pPr>
              <w:ind w:left="340"/>
              <w:spacing w:after="0"/>
              <w:rPr>
                <w:sz w:val="20"/>
                <w:szCs w:val="20"/>
                <w:color w:val="auto"/>
              </w:rPr>
            </w:pPr>
            <w:r>
              <w:rPr>
                <w:rFonts w:ascii="Arial" w:cs="Arial" w:eastAsia="Arial" w:hAnsi="Arial"/>
                <w:sz w:val="18"/>
                <w:szCs w:val="18"/>
                <w:color w:val="auto"/>
              </w:rPr>
              <w:t>Corporate and Other</w:t>
            </w:r>
          </w:p>
        </w:tc>
        <w:tc>
          <w:tcPr>
            <w:tcW w:w="11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3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0"/>
        </w:trPr>
        <w:tc>
          <w:tcPr>
            <w:tcW w:w="354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1"/>
        </w:trPr>
        <w:tc>
          <w:tcPr>
            <w:tcW w:w="3540" w:type="dxa"/>
            <w:vAlign w:val="bottom"/>
            <w:tcBorders>
              <w:bottom w:val="single" w:sz="8" w:color="auto"/>
            </w:tcBorders>
          </w:tcPr>
          <w:p>
            <w:pPr>
              <w:ind w:left="340"/>
              <w:spacing w:after="0" w:line="231"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2"/>
                <w:szCs w:val="22"/>
                <w:color w:val="auto"/>
                <w:vertAlign w:val="superscript"/>
              </w:rPr>
              <w:t>(a)</w:t>
            </w:r>
          </w:p>
        </w:tc>
        <w:tc>
          <w:tcPr>
            <w:tcW w:w="1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w:t>
            </w:r>
          </w:p>
        </w:tc>
        <w:tc>
          <w:tcPr>
            <w:tcW w:w="7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8"/>
        </w:trPr>
        <w:tc>
          <w:tcPr>
            <w:tcW w:w="35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104</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-1480185</wp:posOffset>
            </wp:positionV>
            <wp:extent cx="6831965"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142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-1194435</wp:posOffset>
            </wp:positionV>
            <wp:extent cx="6831965"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142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-908050</wp:posOffset>
            </wp:positionV>
            <wp:extent cx="6831965" cy="15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15113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-613410</wp:posOffset>
            </wp:positionV>
            <wp:extent cx="683196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142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-327660</wp:posOffset>
            </wp:positionV>
            <wp:extent cx="6831965"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128</w:t>
            </w: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8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134</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6"/>
        </w:trPr>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107</w:t>
            </w: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8"/>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369</w:t>
            </w:r>
          </w:p>
        </w:tc>
        <w:tc>
          <w:tcPr>
            <w:tcW w:w="7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25"/>
        </w:trPr>
        <w:tc>
          <w:tcPr>
            <w:tcW w:w="8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8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(177)</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5"/>
        </w:trPr>
        <w:tc>
          <w:tcPr>
            <w:tcW w:w="8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6"/>
        </w:trPr>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w:t>
            </w: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122</w:t>
            </w: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ectPr>
          <w:pgSz w:w="11900" w:h="16838" w:orient="portrait"/>
          <w:cols w:equalWidth="0" w:num="2">
            <w:col w:w="7435" w:space="140"/>
            <w:col w:w="3500"/>
          </w:cols>
          <w:pgMar w:left="485" w:top="449" w:right="339" w:bottom="1440" w:gutter="0" w:footer="0" w:header="0"/>
          <w:type w:val="continuous"/>
        </w:sectPr>
      </w:pPr>
    </w:p>
    <w:p>
      <w:pPr>
        <w:jc w:val="both"/>
        <w:ind w:left="235" w:hanging="235"/>
        <w:spacing w:after="0" w:line="229" w:lineRule="auto"/>
        <w:tabs>
          <w:tab w:leader="none" w:pos="23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Other adjustments in six months ended June 30, 2022 primarily include a net credit from the gain on asset sales related to our fulfillment initiatives and collections of previously impaired receivables in the three months ended June 30, 2022 offset by net charges in the three months ended March 31, 2022 that include a $20 million restructuring charge and a $17 million charge related to Ukraine. See “Note 4 – Restructuring Charges” for additional information on restructuring around our fulfillment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75"/>
          </w:cols>
          <w:pgMar w:left="485" w:top="449" w:right="339" w:bottom="1440" w:gutter="0" w:footer="0" w:header="0"/>
          <w:type w:val="continuous"/>
        </w:sectPr>
      </w:pPr>
    </w:p>
    <w:bookmarkStart w:id="8" w:name="page9"/>
    <w:bookmarkEnd w:id="8"/>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 Revenues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44"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Revenues are recognized when control of the promised goods or services is transferred to our customers in an amount that reflects the consideration we expect to be entitled to receive, in exchange for those goods or services. The majority of our revenue is derived from short 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04"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revenues recognized under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were $35 million and $66 million in the three and six months ended June 30, 2022, respectively, and $35 million and $63 million for the three and six months ended June 30, 2021, respectively.</w:t>
      </w:r>
    </w:p>
    <w:p>
      <w:pPr>
        <w:spacing w:after="0" w:line="20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disaggregates our revenues from contracts with customers by geographic region and includes equipment rental revenues. North America in the table below consists of the U.S. and Canada.</w:t>
      </w:r>
    </w:p>
    <w:p>
      <w:pPr>
        <w:sectPr>
          <w:pgSz w:w="11900" w:h="16838" w:orient="portrait"/>
          <w:cols w:equalWidth="0" w:num="1">
            <w:col w:w="11340"/>
          </w:cols>
          <w:pgMar w:left="320" w:top="472" w:right="239" w:bottom="1440" w:gutter="0" w:footer="0" w:header="0"/>
        </w:sectPr>
      </w:pPr>
    </w:p>
    <w:p>
      <w:pPr>
        <w:spacing w:after="0" w:line="334"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w w:val="95"/>
              </w:rPr>
              <w:t>Three Months Ended June 30,</w:t>
            </w:r>
          </w:p>
        </w:tc>
      </w:tr>
      <w:tr>
        <w:trPr>
          <w:trHeight w:val="220"/>
        </w:trPr>
        <w:tc>
          <w:tcPr>
            <w:tcW w:w="408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r>
      <w:tr>
        <w:trPr>
          <w:trHeight w:val="219"/>
        </w:trPr>
        <w:tc>
          <w:tcPr>
            <w:tcW w:w="4080" w:type="dxa"/>
            <w:vAlign w:val="bottom"/>
          </w:tcPr>
          <w:p>
            <w:pPr>
              <w:ind w:left="340"/>
              <w:spacing w:after="0"/>
              <w:rPr>
                <w:sz w:val="20"/>
                <w:szCs w:val="20"/>
                <w:color w:val="auto"/>
              </w:rPr>
            </w:pPr>
            <w:r>
              <w:rPr>
                <w:rFonts w:ascii="Arial" w:cs="Arial" w:eastAsia="Arial" w:hAnsi="Arial"/>
                <w:sz w:val="18"/>
                <w:szCs w:val="18"/>
                <w:b w:val="1"/>
                <w:bCs w:val="1"/>
                <w:color w:val="auto"/>
              </w:rPr>
              <w:t>Revenues by Geographic Areas:</w:t>
            </w: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4080" w:type="dxa"/>
            <w:vAlign w:val="bottom"/>
          </w:tcPr>
          <w:p>
            <w:pPr>
              <w:ind w:left="420"/>
              <w:spacing w:after="0"/>
              <w:rPr>
                <w:sz w:val="20"/>
                <w:szCs w:val="20"/>
                <w:color w:val="auto"/>
              </w:rPr>
            </w:pPr>
            <w:r>
              <w:rPr>
                <w:rFonts w:ascii="Arial" w:cs="Arial" w:eastAsia="Arial" w:hAnsi="Arial"/>
                <w:sz w:val="18"/>
                <w:szCs w:val="18"/>
                <w:color w:val="auto"/>
              </w:rPr>
              <w:t>Middle East/North Africa/Asia</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350</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5"/>
        </w:trPr>
        <w:tc>
          <w:tcPr>
            <w:tcW w:w="40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62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268</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5"/>
        </w:trPr>
        <w:tc>
          <w:tcPr>
            <w:tcW w:w="4080" w:type="dxa"/>
            <w:vAlign w:val="bottom"/>
          </w:tcPr>
          <w:p>
            <w:pPr>
              <w:ind w:left="420"/>
              <w:spacing w:after="0"/>
              <w:rPr>
                <w:sz w:val="20"/>
                <w:szCs w:val="20"/>
                <w:color w:val="auto"/>
              </w:rPr>
            </w:pPr>
            <w:r>
              <w:rPr>
                <w:rFonts w:ascii="Arial" w:cs="Arial" w:eastAsia="Arial" w:hAnsi="Arial"/>
                <w:sz w:val="18"/>
                <w:szCs w:val="18"/>
                <w:color w:val="auto"/>
              </w:rPr>
              <w:t>Latin America</w:t>
            </w:r>
          </w:p>
        </w:tc>
        <w:tc>
          <w:tcPr>
            <w:tcW w:w="62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265</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6"/>
        </w:trPr>
        <w:tc>
          <w:tcPr>
            <w:tcW w:w="4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Europe/Sub-Sahara Africa/Russia</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181</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19"/>
        </w:trPr>
        <w:tc>
          <w:tcPr>
            <w:tcW w:w="40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 Revenues</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1,064</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-908050</wp:posOffset>
            </wp:positionV>
            <wp:extent cx="6995160" cy="15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5113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-613410</wp:posOffset>
            </wp:positionV>
            <wp:extent cx="699516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-327660</wp:posOffset>
            </wp:positionV>
            <wp:extent cx="699516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Six Months Ended 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r>
      <w:tr>
        <w:trPr>
          <w:trHeight w:val="443"/>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660</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64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506</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64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492</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344</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2,002</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86" w:lineRule="exact"/>
        <w:rPr>
          <w:sz w:val="20"/>
          <w:szCs w:val="20"/>
          <w:color w:val="auto"/>
        </w:rPr>
      </w:pPr>
    </w:p>
    <w:p>
      <w:pPr>
        <w:sectPr>
          <w:pgSz w:w="11900" w:h="16838" w:orient="portrait"/>
          <w:cols w:equalWidth="0" w:num="2">
            <w:col w:w="7960" w:space="100"/>
            <w:col w:w="3280"/>
          </w:cols>
          <w:pgMar w:left="320" w:top="472" w:right="239" w:bottom="1440" w:gutter="0" w:footer="0" w:header="0"/>
          <w:type w:val="continuous"/>
        </w:sectPr>
      </w:pPr>
    </w:p>
    <w:p>
      <w:pPr>
        <w:spacing w:after="0" w:line="44"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The timing of our revenue recognition, billings and cash collections results in the recording of billed and unbilled accounts receivable, contract assets, customer advances and deposits (contract liabilities classified as deferred revenues). Receivables with customers are included in “Accounts Receivable, Net,” short-term contract assets are included in “Other Current Assets,” long-term contract assets are included in “Other Non-Current Assets” and contract liabilities are included in “Other Current Liabilities” on our Condensed Consolidated Balance Sheets. The following table summarizes these balances as of June 30, 2022 and December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560" w:type="dxa"/>
            <w:vAlign w:val="bottom"/>
          </w:tcPr>
          <w:p>
            <w:pPr>
              <w:spacing w:after="0"/>
              <w:rPr>
                <w:sz w:val="19"/>
                <w:szCs w:val="19"/>
                <w:color w:val="auto"/>
              </w:rPr>
            </w:pPr>
          </w:p>
        </w:tc>
        <w:tc>
          <w:tcPr>
            <w:tcW w:w="1660" w:type="dxa"/>
            <w:vAlign w:val="bottom"/>
          </w:tcPr>
          <w:p>
            <w:pPr>
              <w:jc w:val="right"/>
              <w:ind w:right="352"/>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Pr>
          <w:p>
            <w:pPr>
              <w:spacing w:after="0"/>
              <w:rPr>
                <w:sz w:val="19"/>
                <w:szCs w:val="19"/>
                <w:color w:val="auto"/>
              </w:rPr>
            </w:pPr>
          </w:p>
        </w:tc>
        <w:tc>
          <w:tcPr>
            <w:tcW w:w="1800" w:type="dxa"/>
            <w:vAlign w:val="bottom"/>
          </w:tcPr>
          <w:p>
            <w:pPr>
              <w:jc w:val="right"/>
              <w:ind w:right="192"/>
              <w:spacing w:after="0"/>
              <w:rPr>
                <w:sz w:val="20"/>
                <w:szCs w:val="20"/>
                <w:color w:val="auto"/>
              </w:rPr>
            </w:pPr>
            <w:r>
              <w:rPr>
                <w:rFonts w:ascii="Arial" w:cs="Arial" w:eastAsia="Arial" w:hAnsi="Arial"/>
                <w:sz w:val="18"/>
                <w:szCs w:val="18"/>
                <w:b w:val="1"/>
                <w:bCs w:val="1"/>
                <w:color w:val="auto"/>
                <w:w w:val="92"/>
              </w:rPr>
              <w:t>December 31, 2021</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Accounts Receivables</w:t>
            </w: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for Equipment Rentals in Account Receivable, Net</w:t>
            </w: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Short-Term Contract Assets in Other Current Assets</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Contract Assets in Other Non-Current Assets</w:t>
            </w: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300"/>
        </w:trPr>
        <w:tc>
          <w:tcPr>
            <w:tcW w:w="6000" w:type="dxa"/>
            <w:vAlign w:val="bottom"/>
          </w:tcPr>
          <w:p>
            <w:pPr>
              <w:ind w:left="20"/>
              <w:spacing w:after="0"/>
              <w:rPr>
                <w:sz w:val="20"/>
                <w:szCs w:val="20"/>
                <w:color w:val="auto"/>
              </w:rPr>
            </w:pPr>
            <w:r>
              <w:rPr>
                <w:rFonts w:ascii="Arial" w:cs="Arial" w:eastAsia="Arial" w:hAnsi="Arial"/>
                <w:sz w:val="18"/>
                <w:szCs w:val="18"/>
                <w:color w:val="auto"/>
              </w:rPr>
              <w:t xml:space="preserve">Contract Liabilities in Other Current Liabilities </w:t>
            </w:r>
            <w:r>
              <w:rPr>
                <w:rFonts w:ascii="Arial" w:cs="Arial" w:eastAsia="Arial" w:hAnsi="Arial"/>
                <w:sz w:val="22"/>
                <w:szCs w:val="22"/>
                <w:color w:val="auto"/>
                <w:vertAlign w:val="superscript"/>
              </w:rPr>
              <w:t>(a)</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86" w:lineRule="exact"/>
        <w:rPr>
          <w:sz w:val="20"/>
          <w:szCs w:val="20"/>
          <w:color w:val="auto"/>
        </w:rPr>
      </w:pPr>
    </w:p>
    <w:p>
      <w:pPr>
        <w:ind w:left="400" w:right="100" w:hanging="235"/>
        <w:spacing w:after="0" w:line="264" w:lineRule="auto"/>
        <w:tabs>
          <w:tab w:leader="none" w:pos="395" w:val="left"/>
        </w:tabs>
        <w:numPr>
          <w:ilvl w:val="0"/>
          <w:numId w:val="4"/>
        </w:numPr>
        <w:rPr>
          <w:rFonts w:ascii="Arial" w:cs="Arial" w:eastAsia="Arial" w:hAnsi="Arial"/>
          <w:sz w:val="10"/>
          <w:szCs w:val="10"/>
          <w:color w:val="auto"/>
        </w:rPr>
      </w:pPr>
      <w:r>
        <w:rPr>
          <w:rFonts w:ascii="Arial" w:cs="Arial" w:eastAsia="Arial" w:hAnsi="Arial"/>
          <w:sz w:val="18"/>
          <w:szCs w:val="18"/>
          <w:color w:val="auto"/>
        </w:rPr>
        <w:t>Revenues recognized during the six months ended June 30, 2022 and 2021 that were included in the contract liabilities balance at the beginning of each year were $18 million and $25 million, respectively.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type w:val="continuous"/>
        </w:sectPr>
      </w:pPr>
    </w:p>
    <w:bookmarkStart w:id="9" w:name="page10"/>
    <w:bookmarkEnd w:id="9"/>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44"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 xml:space="preserve">A performance obligation is a promise in a contract to transfer a distinct good or service to the customer and is the unit of account in ASU 2014-09, </w:t>
      </w: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(Topic 606). A contract’s transaction price is allocated to each distinct performance obligation and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when, or as, the performance obligation is satisfied. In the following table, estimated revenue for contracts with original performance obligations greater than twelve months are expected to be recognized in the future related to performance obligations that are either unsatisfied or partially unsatisfied as of June 30, 2022.</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34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9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Thereafter</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b w:val="1"/>
                <w:bCs w:val="1"/>
                <w:color w:val="auto"/>
                <w:w w:val="81"/>
              </w:rPr>
              <w:t>To</w:t>
            </w:r>
          </w:p>
        </w:tc>
      </w:tr>
      <w:tr>
        <w:trPr>
          <w:trHeight w:val="219"/>
        </w:trPr>
        <w:tc>
          <w:tcPr>
            <w:tcW w:w="2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65</w:t>
            </w:r>
          </w:p>
        </w:tc>
        <w:tc>
          <w:tcPr>
            <w:tcW w:w="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 Restructuring Charges</w:t>
      </w:r>
    </w:p>
    <w:p>
      <w:pPr>
        <w:spacing w:after="0" w:line="250"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We had nil and $20 million in restructuring charges for the three and six months ended June 30, 2022, respectively, presented as “Restructuring Charges” on the accompanying Condensed Consolidated Statements of Operations. The charges were primarily related to the launch of a multi-year footprint consolidation and workforce efficiency initiative aimed at improving fulfillment operations and included $14 million in severance and $6 million in asset retirement obligations. No restructuring charges were recognized in the three and six months ended June 30, 2021.</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total restructuring charges by segment and All Other in the three and six months ended June 30, 2022 and 2021:</w:t>
      </w:r>
    </w:p>
    <w:p>
      <w:pPr>
        <w:sectPr>
          <w:pgSz w:w="11900" w:h="16838" w:orient="portrait"/>
          <w:cols w:equalWidth="0" w:num="1">
            <w:col w:w="11340"/>
          </w:cols>
          <w:pgMar w:left="320" w:top="472" w:right="239" w:bottom="1440" w:gutter="0" w:footer="0" w:header="0"/>
        </w:sectPr>
      </w:pPr>
    </w:p>
    <w:p>
      <w:pPr>
        <w:spacing w:after="0" w:line="130"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r>
      <w:tr>
        <w:trPr>
          <w:trHeight w:val="220"/>
        </w:trPr>
        <w:tc>
          <w:tcPr>
            <w:tcW w:w="4440" w:type="dxa"/>
            <w:vAlign w:val="bottom"/>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r>
      <w:tr>
        <w:trPr>
          <w:trHeight w:val="218"/>
        </w:trPr>
        <w:tc>
          <w:tcPr>
            <w:tcW w:w="4440" w:type="dxa"/>
            <w:vAlign w:val="bottom"/>
          </w:tcPr>
          <w:p>
            <w:pPr>
              <w:ind w:left="340"/>
              <w:spacing w:after="0"/>
              <w:rPr>
                <w:sz w:val="20"/>
                <w:szCs w:val="20"/>
                <w:color w:val="auto"/>
              </w:rPr>
            </w:pPr>
            <w:r>
              <w:rPr>
                <w:rFonts w:ascii="Arial" w:cs="Arial" w:eastAsia="Arial" w:hAnsi="Arial"/>
                <w:sz w:val="18"/>
                <w:szCs w:val="18"/>
                <w:color w:val="auto"/>
              </w:rPr>
              <w:t>Drilling and Evaluation</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440" w:type="dxa"/>
            <w:vAlign w:val="bottom"/>
          </w:tcPr>
          <w:p>
            <w:pPr>
              <w:ind w:left="340"/>
              <w:spacing w:after="0"/>
              <w:rPr>
                <w:sz w:val="20"/>
                <w:szCs w:val="20"/>
                <w:color w:val="auto"/>
              </w:rPr>
            </w:pPr>
            <w:r>
              <w:rPr>
                <w:rFonts w:ascii="Arial" w:cs="Arial" w:eastAsia="Arial" w:hAnsi="Arial"/>
                <w:sz w:val="18"/>
                <w:szCs w:val="18"/>
                <w:color w:val="auto"/>
              </w:rPr>
              <w:t>Well Construction and Completions</w:t>
            </w:r>
          </w:p>
        </w:tc>
        <w:tc>
          <w:tcPr>
            <w:tcW w:w="54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440" w:type="dxa"/>
            <w:vAlign w:val="bottom"/>
          </w:tcPr>
          <w:p>
            <w:pPr>
              <w:ind w:left="340"/>
              <w:spacing w:after="0"/>
              <w:rPr>
                <w:sz w:val="20"/>
                <w:szCs w:val="20"/>
                <w:color w:val="auto"/>
              </w:rPr>
            </w:pPr>
            <w:r>
              <w:rPr>
                <w:rFonts w:ascii="Arial" w:cs="Arial" w:eastAsia="Arial" w:hAnsi="Arial"/>
                <w:sz w:val="18"/>
                <w:szCs w:val="18"/>
                <w:color w:val="auto"/>
              </w:rPr>
              <w:t>Production and Intervention</w:t>
            </w:r>
          </w:p>
        </w:tc>
        <w:tc>
          <w:tcPr>
            <w:tcW w:w="54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All Other</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Restructuring Charges</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-765175</wp:posOffset>
            </wp:positionV>
            <wp:extent cx="6402705" cy="15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02705" cy="15113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-470535</wp:posOffset>
            </wp:positionV>
            <wp:extent cx="6402705"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02705" cy="14287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-184785</wp:posOffset>
            </wp:positionV>
            <wp:extent cx="6402705" cy="168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0270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Six Months Ended June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r>
      <w:tr>
        <w:trPr>
          <w:trHeight w:val="218"/>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5"/>
        </w:trPr>
        <w:tc>
          <w:tcPr>
            <w:tcW w:w="5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5"/>
        </w:trPr>
        <w:tc>
          <w:tcPr>
            <w:tcW w:w="5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6"/>
        </w:trPr>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19"/>
        </w:trPr>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20" w:space="120"/>
            <w:col w:w="3300"/>
          </w:cols>
          <w:pgMar w:left="320" w:top="472" w:right="239" w:bottom="1440" w:gutter="0" w:footer="0" w:header="0"/>
          <w:type w:val="continuous"/>
        </w:sectPr>
      </w:pP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total restructuring reserve activity in the six months ended June 30, 2022:</w:t>
      </w:r>
    </w:p>
    <w:p>
      <w:pPr>
        <w:spacing w:after="0" w:line="10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30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500" w:type="dxa"/>
            <w:vAlign w:val="bottom"/>
          </w:tcPr>
          <w:p>
            <w:pPr>
              <w:spacing w:after="0"/>
              <w:rPr>
                <w:sz w:val="18"/>
                <w:szCs w:val="18"/>
                <w:color w:val="auto"/>
              </w:rPr>
            </w:pPr>
          </w:p>
        </w:tc>
        <w:tc>
          <w:tcPr>
            <w:tcW w:w="1420" w:type="dxa"/>
            <w:vAlign w:val="bottom"/>
          </w:tcPr>
          <w:p>
            <w:pPr>
              <w:jc w:val="right"/>
              <w:ind w:right="272"/>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Pr>
          <w:p>
            <w:pPr>
              <w:spacing w:after="0"/>
              <w:rPr>
                <w:sz w:val="18"/>
                <w:szCs w:val="18"/>
                <w:color w:val="auto"/>
              </w:rPr>
            </w:pPr>
          </w:p>
        </w:tc>
        <w:tc>
          <w:tcPr>
            <w:tcW w:w="1060" w:type="dxa"/>
            <w:vAlign w:val="bottom"/>
            <w:vMerge w:val="restart"/>
          </w:tcPr>
          <w:p>
            <w:pPr>
              <w:jc w:val="right"/>
              <w:ind w:right="292"/>
              <w:spacing w:after="0"/>
              <w:rPr>
                <w:sz w:val="20"/>
                <w:szCs w:val="20"/>
                <w:color w:val="auto"/>
              </w:rPr>
            </w:pPr>
            <w:r>
              <w:rPr>
                <w:rFonts w:ascii="Arial" w:cs="Arial" w:eastAsia="Arial" w:hAnsi="Arial"/>
                <w:sz w:val="18"/>
                <w:szCs w:val="18"/>
                <w:b w:val="1"/>
                <w:bCs w:val="1"/>
                <w:color w:val="auto"/>
                <w:w w:val="91"/>
              </w:rPr>
              <w:t>Charges</w:t>
            </w:r>
          </w:p>
        </w:tc>
        <w:tc>
          <w:tcPr>
            <w:tcW w:w="980" w:type="dxa"/>
            <w:vAlign w:val="bottom"/>
          </w:tcPr>
          <w:p>
            <w:pPr>
              <w:ind w:left="580"/>
              <w:spacing w:after="0"/>
              <w:rPr>
                <w:sz w:val="20"/>
                <w:szCs w:val="20"/>
                <w:color w:val="auto"/>
              </w:rPr>
            </w:pPr>
            <w:r>
              <w:rPr>
                <w:rFonts w:ascii="Arial" w:cs="Arial" w:eastAsia="Arial" w:hAnsi="Arial"/>
                <w:sz w:val="18"/>
                <w:szCs w:val="18"/>
                <w:b w:val="1"/>
                <w:bCs w:val="1"/>
                <w:color w:val="auto"/>
                <w:w w:val="86"/>
              </w:rPr>
              <w:t>Cash</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(Credits)/Other</w:t>
            </w:r>
          </w:p>
        </w:tc>
        <w:tc>
          <w:tcPr>
            <w:tcW w:w="13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w w:val="88"/>
              </w:rPr>
              <w:t>June 30, 2022</w:t>
            </w:r>
          </w:p>
        </w:tc>
        <w:tc>
          <w:tcPr>
            <w:tcW w:w="0" w:type="dxa"/>
            <w:vAlign w:val="bottom"/>
          </w:tcPr>
          <w:p>
            <w:pPr>
              <w:spacing w:after="0"/>
              <w:rPr>
                <w:sz w:val="1"/>
                <w:szCs w:val="1"/>
                <w:color w:val="auto"/>
              </w:rPr>
            </w:pPr>
          </w:p>
        </w:tc>
      </w:tr>
      <w:tr>
        <w:trPr>
          <w:trHeight w:val="225"/>
        </w:trPr>
        <w:tc>
          <w:tcPr>
            <w:tcW w:w="230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84"/>
              </w:rPr>
              <w:t>Payments</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Reserve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7"/>
              </w:rPr>
              <w:t>(10)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type w:val="continuous"/>
        </w:sectPr>
      </w:pPr>
    </w:p>
    <w:bookmarkStart w:id="10" w:name="page11"/>
    <w:bookmarkEnd w:id="10"/>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 – Inventories, Net</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Inventories, net of reserves of $139 million and $159 million as of June 30, 2022 and December 31, 2021, respectively, are presented by category in the table below:</w:t>
      </w:r>
    </w:p>
    <w:p>
      <w:pPr>
        <w:spacing w:after="0" w:line="95"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70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10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2"/>
              </w:rPr>
              <w:t>June 30, 2022</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0"/>
              </w:rPr>
              <w:t>December 31, 2021</w:t>
            </w:r>
          </w:p>
        </w:tc>
      </w:tr>
      <w:tr>
        <w:trPr>
          <w:trHeight w:val="219"/>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634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5"/>
        </w:trPr>
        <w:tc>
          <w:tcPr>
            <w:tcW w:w="57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Work in Process and Raw Materials, Components and Supplies</w:t>
            </w:r>
          </w:p>
        </w:tc>
        <w:tc>
          <w:tcPr>
            <w:tcW w:w="10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82</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7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716</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the three and six months ended June 30, 2022 and 2021, we recognized inventory charges, including excess and obsolete inventory charges, in the following captions on our Condensed Consolidated Statements of Operations:</w:t>
      </w:r>
    </w:p>
    <w:p>
      <w:pPr>
        <w:spacing w:after="0" w:line="241"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4560" w:type="dxa"/>
            <w:vAlign w:val="bottom"/>
          </w:tcPr>
          <w:p>
            <w:pPr>
              <w:spacing w:after="0"/>
              <w:rPr>
                <w:sz w:val="19"/>
                <w:szCs w:val="19"/>
                <w:color w:val="auto"/>
              </w:rPr>
            </w:pPr>
          </w:p>
        </w:tc>
        <w:tc>
          <w:tcPr>
            <w:tcW w:w="29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9"/>
        </w:trPr>
        <w:tc>
          <w:tcPr>
            <w:tcW w:w="456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r>
      <w:tr>
        <w:trPr>
          <w:trHeight w:val="219"/>
        </w:trPr>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Charges in “Cost of Products”</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4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Inventory Charges in “Other Charges (Credits)”</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Inventory Charges</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tbl>
      <w:tblPr>
        <w:tblLayout w:type="fixed"/>
        <w:tblInd w:w="32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1">
              <w:r>
                <w:rPr>
                  <w:rFonts w:ascii="Arial" w:cs="Arial" w:eastAsia="Arial" w:hAnsi="Arial"/>
                  <w:sz w:val="18"/>
                  <w:szCs w:val="18"/>
                  <w:color w:val="0000FF"/>
                  <w:w w:val="87"/>
                </w:rPr>
                <w:t>Table of Contents</w:t>
              </w:r>
            </w:hyperlink>
          </w:p>
        </w:tc>
        <w:tc>
          <w:tcPr>
            <w:tcW w:w="5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0"/>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6 – Intangibles, Net</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900" w:type="dxa"/>
            <w:vAlign w:val="bottom"/>
            <w:gridSpan w:val="3"/>
          </w:tcPr>
          <w:p>
            <w:pPr>
              <w:spacing w:after="0"/>
              <w:rPr>
                <w:sz w:val="20"/>
                <w:szCs w:val="20"/>
                <w:color w:val="auto"/>
              </w:rPr>
            </w:pPr>
            <w:r>
              <w:rPr>
                <w:rFonts w:ascii="Arial" w:cs="Arial" w:eastAsia="Arial" w:hAnsi="Arial"/>
                <w:sz w:val="18"/>
                <w:szCs w:val="18"/>
                <w:color w:val="auto"/>
              </w:rPr>
              <w:t>The components of intangible assets, net were as follows:</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0" w:type="dxa"/>
            <w:vAlign w:val="bottom"/>
          </w:tcPr>
          <w:p>
            <w:pPr>
              <w:spacing w:after="0"/>
              <w:rPr>
                <w:sz w:val="24"/>
                <w:szCs w:val="24"/>
                <w:color w:val="auto"/>
              </w:rPr>
            </w:pPr>
          </w:p>
        </w:tc>
        <w:tc>
          <w:tcPr>
            <w:tcW w:w="66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8"/>
              </w:rPr>
              <w:t>June 30, 2022</w:t>
            </w: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6600" w:type="dxa"/>
            <w:vAlign w:val="bottom"/>
            <w:gridSpan w:val="2"/>
            <w:shd w:val="clear" w:color="auto" w:fill="CCEEFF"/>
          </w:tcPr>
          <w:p>
            <w:pPr>
              <w:ind w:left="340"/>
              <w:spacing w:after="0" w:line="167" w:lineRule="exact"/>
              <w:rPr>
                <w:sz w:val="20"/>
                <w:szCs w:val="20"/>
                <w:color w:val="auto"/>
              </w:rPr>
            </w:pPr>
            <w:r>
              <w:rPr>
                <w:rFonts w:ascii="Arial" w:cs="Arial" w:eastAsia="Arial" w:hAnsi="Arial"/>
                <w:sz w:val="18"/>
                <w:szCs w:val="18"/>
                <w:color w:val="auto"/>
                <w:w w:val="95"/>
              </w:rPr>
              <w:t>Developed and Acquired Technology, Net of Accumulated Amortization of $302 at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rPr>
              <w:t>285</w:t>
            </w:r>
          </w:p>
        </w:tc>
        <w:tc>
          <w:tcPr>
            <w:tcW w:w="960" w:type="dxa"/>
            <w:vAlign w:val="bottom"/>
            <w:vMerge w:val="restart"/>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2022 and $247 at December 31, 2021</w:t>
            </w:r>
          </w:p>
        </w:tc>
        <w:tc>
          <w:tcPr>
            <w:tcW w:w="38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600" w:type="dxa"/>
            <w:vAlign w:val="bottom"/>
            <w:gridSpan w:val="2"/>
          </w:tcPr>
          <w:p>
            <w:pPr>
              <w:ind w:left="340"/>
              <w:spacing w:after="0" w:line="173" w:lineRule="exact"/>
              <w:rPr>
                <w:sz w:val="20"/>
                <w:szCs w:val="20"/>
                <w:color w:val="auto"/>
              </w:rPr>
            </w:pPr>
            <w:r>
              <w:rPr>
                <w:rFonts w:ascii="Arial" w:cs="Arial" w:eastAsia="Arial" w:hAnsi="Arial"/>
                <w:sz w:val="18"/>
                <w:szCs w:val="18"/>
                <w:color w:val="auto"/>
                <w:w w:val="92"/>
              </w:rPr>
              <w:t>Trade Names, Net of Accumulated Amortization of $101 at June 30, 2022 and $81 at</w:t>
            </w:r>
          </w:p>
        </w:tc>
        <w:tc>
          <w:tcPr>
            <w:tcW w:w="380" w:type="dxa"/>
            <w:vAlign w:val="bottom"/>
          </w:tcPr>
          <w:p>
            <w:pPr>
              <w:spacing w:after="0"/>
              <w:rPr>
                <w:sz w:val="15"/>
                <w:szCs w:val="15"/>
                <w:color w:val="auto"/>
              </w:rPr>
            </w:pPr>
          </w:p>
        </w:tc>
        <w:tc>
          <w:tcPr>
            <w:tcW w:w="1500" w:type="dxa"/>
            <w:vAlign w:val="bottom"/>
            <w:vMerge w:val="restart"/>
          </w:tcPr>
          <w:p>
            <w:pPr>
              <w:jc w:val="right"/>
              <w:ind w:right="232"/>
              <w:spacing w:after="0"/>
              <w:rPr>
                <w:sz w:val="20"/>
                <w:szCs w:val="20"/>
                <w:color w:val="auto"/>
              </w:rPr>
            </w:pPr>
            <w:r>
              <w:rPr>
                <w:rFonts w:ascii="Arial" w:cs="Arial" w:eastAsia="Arial" w:hAnsi="Arial"/>
                <w:sz w:val="18"/>
                <w:szCs w:val="18"/>
                <w:color w:val="auto"/>
              </w:rPr>
              <w:t>294</w:t>
            </w:r>
          </w:p>
        </w:tc>
        <w:tc>
          <w:tcPr>
            <w:tcW w:w="9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6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December 31, 2021</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6600" w:type="dxa"/>
            <w:vAlign w:val="bottom"/>
            <w:gridSpan w:val="2"/>
            <w:shd w:val="clear" w:color="auto" w:fill="CCEEFF"/>
          </w:tcPr>
          <w:p>
            <w:pPr>
              <w:ind w:left="340"/>
              <w:spacing w:after="0" w:line="167" w:lineRule="exact"/>
              <w:rPr>
                <w:sz w:val="20"/>
                <w:szCs w:val="20"/>
                <w:color w:val="auto"/>
              </w:rPr>
            </w:pPr>
            <w:r>
              <w:rPr>
                <w:rFonts w:ascii="Arial" w:cs="Arial" w:eastAsia="Arial" w:hAnsi="Arial"/>
                <w:sz w:val="18"/>
                <w:szCs w:val="18"/>
                <w:color w:val="auto"/>
                <w:w w:val="96"/>
              </w:rPr>
              <w:t>Intangible Assets, Net of Accumulated Amortization of $403 at June 30, 2022 and</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rPr>
              <w:t>579</w:t>
            </w:r>
          </w:p>
        </w:tc>
        <w:tc>
          <w:tcPr>
            <w:tcW w:w="960" w:type="dxa"/>
            <w:vAlign w:val="bottom"/>
            <w:vMerge w:val="restart"/>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4"/>
        </w:trPr>
        <w:tc>
          <w:tcPr>
            <w:tcW w:w="300" w:type="dxa"/>
            <w:vAlign w:val="bottom"/>
          </w:tcPr>
          <w:p>
            <w:pPr>
              <w:spacing w:after="0"/>
              <w:rPr>
                <w:sz w:val="21"/>
                <w:szCs w:val="21"/>
                <w:color w:val="auto"/>
              </w:rPr>
            </w:pPr>
          </w:p>
        </w:tc>
        <w:tc>
          <w:tcPr>
            <w:tcW w:w="66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$328 at December 31, 2021</w:t>
            </w: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Amortization expense was $39 million and $78 million for both the three and six months ended June 30, 2022 and June 30, 2021, respectively, and is reported in “Selling, General and Administrative” on our Condensed Consolidated Statements of Operations.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7 – Borrowings and Other Debt Obligations</w:t>
            </w:r>
          </w:p>
        </w:tc>
        <w:tc>
          <w:tcPr>
            <w:tcW w:w="1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5"/>
        </w:trPr>
        <w:tc>
          <w:tcPr>
            <w:tcW w:w="520" w:type="dxa"/>
            <w:vAlign w:val="bottom"/>
          </w:tcPr>
          <w:p>
            <w:pPr>
              <w:spacing w:after="0"/>
              <w:rPr>
                <w:sz w:val="24"/>
                <w:szCs w:val="24"/>
                <w:color w:val="auto"/>
              </w:rPr>
            </w:pPr>
          </w:p>
        </w:tc>
        <w:tc>
          <w:tcPr>
            <w:tcW w:w="4780" w:type="dxa"/>
            <w:vAlign w:val="bottom"/>
            <w:tcBorders>
              <w:bottom w:val="single" w:sz="8" w:color="auto"/>
            </w:tcBorders>
          </w:tcPr>
          <w:p>
            <w:pPr>
              <w:ind w:left="320"/>
              <w:spacing w:after="0"/>
              <w:rPr>
                <w:sz w:val="20"/>
                <w:szCs w:val="20"/>
                <w:color w:val="auto"/>
              </w:rPr>
            </w:pPr>
            <w:r>
              <w:rPr>
                <w:rFonts w:ascii="Arial" w:cs="Arial" w:eastAsia="Arial" w:hAnsi="Arial"/>
                <w:sz w:val="18"/>
                <w:szCs w:val="18"/>
                <w:i w:val="1"/>
                <w:iCs w:val="1"/>
                <w:color w:val="auto"/>
              </w:rPr>
              <w:t>(Dollars in millions)</w:t>
            </w:r>
          </w:p>
        </w:tc>
        <w:tc>
          <w:tcPr>
            <w:tcW w:w="1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0"/>
              </w:rPr>
              <w:t>June 30, 2022</w:t>
            </w:r>
          </w:p>
        </w:tc>
        <w:tc>
          <w:tcPr>
            <w:tcW w:w="17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0"/>
              </w:rPr>
              <w:t>December 31, 2021</w:t>
            </w:r>
          </w:p>
        </w:tc>
      </w:tr>
      <w:tr>
        <w:trPr>
          <w:trHeight w:val="219"/>
        </w:trPr>
        <w:tc>
          <w:tcPr>
            <w:tcW w:w="520" w:type="dxa"/>
            <w:vAlign w:val="bottom"/>
          </w:tcPr>
          <w:p>
            <w:pPr>
              <w:spacing w:after="0"/>
              <w:rPr>
                <w:sz w:val="19"/>
                <w:szCs w:val="19"/>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Finance Leases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520" w:type="dxa"/>
            <w:vAlign w:val="bottom"/>
          </w:tcPr>
          <w:p>
            <w:pPr>
              <w:spacing w:after="0"/>
              <w:rPr>
                <w:sz w:val="19"/>
                <w:szCs w:val="19"/>
                <w:color w:val="auto"/>
              </w:rPr>
            </w:pPr>
          </w:p>
        </w:tc>
        <w:tc>
          <w:tcPr>
            <w:tcW w:w="47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Current Portion of Exit Notes</w:t>
            </w:r>
          </w:p>
        </w:tc>
        <w:tc>
          <w:tcPr>
            <w:tcW w:w="1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50</w:t>
            </w: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 w:type="dxa"/>
            <w:vAlign w:val="bottom"/>
          </w:tcPr>
          <w:p>
            <w:pPr>
              <w:spacing w:after="0"/>
              <w:rPr>
                <w:sz w:val="20"/>
                <w:szCs w:val="20"/>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64</w:t>
            </w:r>
          </w:p>
        </w:tc>
        <w:tc>
          <w:tcPr>
            <w:tcW w:w="8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20" w:type="dxa"/>
            <w:vAlign w:val="bottom"/>
          </w:tcPr>
          <w:p>
            <w:pPr>
              <w:spacing w:after="0" w:line="20" w:lineRule="exact"/>
              <w:rPr>
                <w:sz w:val="1"/>
                <w:szCs w:val="1"/>
                <w:color w:val="auto"/>
              </w:rPr>
            </w:pPr>
          </w:p>
        </w:tc>
        <w:tc>
          <w:tcPr>
            <w:tcW w:w="47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5"/>
        </w:trPr>
        <w:tc>
          <w:tcPr>
            <w:tcW w:w="520" w:type="dxa"/>
            <w:vAlign w:val="bottom"/>
          </w:tcPr>
          <w:p>
            <w:pPr>
              <w:spacing w:after="0"/>
              <w:rPr>
                <w:sz w:val="19"/>
                <w:szCs w:val="19"/>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11.00% Exit Notes due 2024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250</w:t>
            </w: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51"/>
        </w:trPr>
        <w:tc>
          <w:tcPr>
            <w:tcW w:w="520" w:type="dxa"/>
            <w:vAlign w:val="bottom"/>
          </w:tcPr>
          <w:p>
            <w:pPr>
              <w:spacing w:after="0"/>
              <w:rPr>
                <w:sz w:val="21"/>
                <w:szCs w:val="21"/>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6.50% Senior Secured Notes due 2028</w:t>
            </w:r>
          </w:p>
        </w:tc>
        <w:tc>
          <w:tcPr>
            <w:tcW w:w="1880" w:type="dxa"/>
            <w:vAlign w:val="bottom"/>
          </w:tcPr>
          <w:p>
            <w:pPr>
              <w:spacing w:after="0"/>
              <w:rPr>
                <w:sz w:val="21"/>
                <w:szCs w:val="21"/>
                <w:color w:val="auto"/>
              </w:rPr>
            </w:pPr>
          </w:p>
        </w:tc>
        <w:tc>
          <w:tcPr>
            <w:tcW w:w="1500" w:type="dxa"/>
            <w:vAlign w:val="bottom"/>
          </w:tcPr>
          <w:p>
            <w:pPr>
              <w:jc w:val="right"/>
              <w:ind w:right="172"/>
              <w:spacing w:after="0"/>
              <w:rPr>
                <w:sz w:val="20"/>
                <w:szCs w:val="20"/>
                <w:color w:val="auto"/>
              </w:rPr>
            </w:pPr>
            <w:r>
              <w:rPr>
                <w:rFonts w:ascii="Arial" w:cs="Arial" w:eastAsia="Arial" w:hAnsi="Arial"/>
                <w:sz w:val="18"/>
                <w:szCs w:val="18"/>
                <w:color w:val="auto"/>
              </w:rPr>
              <w:t>489</w:t>
            </w:r>
          </w:p>
        </w:tc>
        <w:tc>
          <w:tcPr>
            <w:tcW w:w="8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6"/>
        </w:trPr>
        <w:tc>
          <w:tcPr>
            <w:tcW w:w="520" w:type="dxa"/>
            <w:vAlign w:val="bottom"/>
          </w:tcPr>
          <w:p>
            <w:pPr>
              <w:spacing w:after="0"/>
              <w:rPr>
                <w:sz w:val="19"/>
                <w:szCs w:val="19"/>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8.625% Senior Notes due 2030</w:t>
            </w:r>
          </w:p>
        </w:tc>
        <w:tc>
          <w:tcPr>
            <w:tcW w:w="18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1,585</w:t>
            </w: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25"/>
        </w:trPr>
        <w:tc>
          <w:tcPr>
            <w:tcW w:w="520" w:type="dxa"/>
            <w:vAlign w:val="bottom"/>
          </w:tcPr>
          <w:p>
            <w:pPr>
              <w:spacing w:after="0"/>
              <w:rPr>
                <w:sz w:val="19"/>
                <w:szCs w:val="19"/>
                <w:color w:val="auto"/>
              </w:rPr>
            </w:pPr>
          </w:p>
        </w:tc>
        <w:tc>
          <w:tcPr>
            <w:tcW w:w="47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Long-term Portion Finance Leases</w:t>
            </w:r>
          </w:p>
        </w:tc>
        <w:tc>
          <w:tcPr>
            <w:tcW w:w="1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42</w:t>
            </w: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20" w:type="dxa"/>
            <w:vAlign w:val="bottom"/>
          </w:tcPr>
          <w:p>
            <w:pPr>
              <w:spacing w:after="0"/>
              <w:rPr>
                <w:sz w:val="20"/>
                <w:szCs w:val="20"/>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2,366</w:t>
            </w:r>
          </w:p>
        </w:tc>
        <w:tc>
          <w:tcPr>
            <w:tcW w:w="8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0"/>
        </w:trPr>
        <w:tc>
          <w:tcPr>
            <w:tcW w:w="520" w:type="dxa"/>
            <w:vAlign w:val="bottom"/>
          </w:tcPr>
          <w:p>
            <w:pPr>
              <w:spacing w:after="0" w:line="20" w:lineRule="exact"/>
              <w:rPr>
                <w:sz w:val="1"/>
                <w:szCs w:val="1"/>
                <w:color w:val="auto"/>
              </w:rPr>
            </w:pPr>
          </w:p>
        </w:tc>
        <w:tc>
          <w:tcPr>
            <w:tcW w:w="47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Exit Notes, 2028 Senior Secured Notes and 2030 Senior Notes (described below) were issued by Weatherford Bermuda and guaranteed by Weatherford International plc and Weatherford Delaware and other subsidiary guarantors party thereto.</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Exit Notes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have an outstanding aggregate principal amount of $300 million due in 2024 on our 11.00% senior unsecured notes (“Exit Notes”) with interest payable semiannually on June 1 and December 1. At June 30, 2022, the carrying value of $300 million represents the remaining unpaid principal. On July 11, 2022, we issued a notice of election to redeem $50 million in principal plus related unpaid interest by August 10, 2022 of our Exit Notes.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2028 Senior Secured Notes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September 30, 2021, we issued 6.50% Senior Secured Notes in aggregate principal amount of $500 million maturing September 15, 2028 (the “2028 Senior Secured Notes”). Interest accrues at the rate of 6.50% per annum and is payable semiannually on September 15 and March 15 of each year, commencing on March 15, 2022. Proceeds from this debt issuance were used to fully repay a senior secured note with an aggregate principal amount of $500 million with a stated interest rate of 8.75% per annum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2030 Senior Notes</w:t>
      </w:r>
    </w:p>
    <w:p>
      <w:pPr>
        <w:spacing w:after="0" w:line="24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On October 27, 2021, we issued 8.625% Senior Notes in aggregate principal amount of $1.6 billion maturing April 30, 2030 (the “2030 Senior Notes”). Interest accrues at the rate of 8.625% per annum and is payable semiannually on June 1 and December 1 of each year, commencing on June 1, 2022. The proceeds from this debt issuance were used to redeem $1.6 billion of the above Exit Notes.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LC Agreement</w:t>
      </w:r>
    </w:p>
    <w:p>
      <w:pPr>
        <w:spacing w:after="0" w:line="24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We have a senior secured letter of credit agreement (the “LC Agreement”) in an aggregate amount of $215 million maturing on May 29, 2024, which is used by the Company and certain of its subsidiaries for the issuance of bid and performance letters of credit.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June 30, 2022, we had approximately $173 million in outstanding letters of credit under the LC Agreement and availability of $42 million.</w:t>
      </w:r>
    </w:p>
    <w:p>
      <w:pPr>
        <w:spacing w:after="0" w:line="255"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As of June 30, 2022, we had $378 million of letters of credit outstanding, consisting of the $173 million under the LC Agreement and another $205 million under various uncommitted bi-lateral facilities (of which there was $205 million in cash collateral held and recorded in “Restricted Cash” on the Condensed Consolidated Balance Sheets). Our letters of credit under various uncommitted bi-lateral facilities increased “Restricted Cash” since December 31, 2021 due to a requirement from a new multi-year contract.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Accrued Interest</w:t>
      </w:r>
    </w:p>
    <w:p>
      <w:pPr>
        <w:spacing w:after="0" w:line="24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As of June 30, 2022 and December 31, 2021, we had accrued interest of approximately $24 million and $35 million, respectively in “Other Current Liabilities” primarily related to the Exit Notes, 2028 Senior Secured Notes and 2030 Senior Notes.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of Short and Long-term Borrowings</w:t>
      </w:r>
    </w:p>
    <w:p>
      <w:pPr>
        <w:spacing w:after="0" w:line="24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carrying value of our short-term borrowings approximates their fair value due to their short maturities. These short-term borrowings are classified as Level 2 in the fair value hierarchy.</w:t>
      </w:r>
    </w:p>
    <w:p>
      <w:pPr>
        <w:spacing w:after="0" w:line="207"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(including the current portion of long-term debt and excluding finance leases).</w:t>
      </w:r>
    </w:p>
    <w:p>
      <w:pPr>
        <w:spacing w:after="0" w:line="95"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right"/>
              <w:ind w:right="1172"/>
              <w:spacing w:after="0"/>
              <w:rPr>
                <w:sz w:val="20"/>
                <w:szCs w:val="20"/>
                <w:color w:val="auto"/>
              </w:rPr>
            </w:pPr>
            <w:r>
              <w:rPr>
                <w:rFonts w:ascii="Arial" w:cs="Arial" w:eastAsia="Arial" w:hAnsi="Arial"/>
                <w:sz w:val="18"/>
                <w:szCs w:val="18"/>
                <w:b w:val="1"/>
                <w:bCs w:val="1"/>
                <w:color w:val="auto"/>
              </w:rPr>
              <w:t>June 30, 2022</w:t>
            </w: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0"/>
        </w:trPr>
        <w:tc>
          <w:tcPr>
            <w:tcW w:w="412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1"/>
              </w:rPr>
              <w:t>Carrying Value</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Fair Value</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Carrying Value</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11.00% Exit Notes due 2024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4120" w:type="dxa"/>
            <w:vAlign w:val="bottom"/>
          </w:tcPr>
          <w:p>
            <w:pPr>
              <w:ind w:left="340"/>
              <w:spacing w:after="0"/>
              <w:rPr>
                <w:sz w:val="20"/>
                <w:szCs w:val="20"/>
                <w:color w:val="auto"/>
              </w:rPr>
            </w:pPr>
            <w:r>
              <w:rPr>
                <w:rFonts w:ascii="Arial" w:cs="Arial" w:eastAsia="Arial" w:hAnsi="Arial"/>
                <w:sz w:val="18"/>
                <w:szCs w:val="18"/>
                <w:color w:val="auto"/>
              </w:rPr>
              <w:t>6.50% Senior Secured Notes due 2028</w:t>
            </w:r>
          </w:p>
        </w:tc>
        <w:tc>
          <w:tcPr>
            <w:tcW w:w="440" w:type="dxa"/>
            <w:vAlign w:val="bottom"/>
          </w:tcPr>
          <w:p>
            <w:pPr>
              <w:spacing w:after="0"/>
              <w:rPr>
                <w:sz w:val="19"/>
                <w:szCs w:val="19"/>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489</w:t>
            </w:r>
          </w:p>
        </w:tc>
        <w:tc>
          <w:tcPr>
            <w:tcW w:w="40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450</w:t>
            </w:r>
          </w:p>
        </w:tc>
        <w:tc>
          <w:tcPr>
            <w:tcW w:w="36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488</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8.625% Senior Notes due 2030</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1,585</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1,338</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1,584</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67"/>
        </w:trPr>
        <w:tc>
          <w:tcPr>
            <w:tcW w:w="4120" w:type="dxa"/>
            <w:vAlign w:val="bottom"/>
          </w:tcPr>
          <w:p>
            <w:pPr>
              <w:ind w:left="340"/>
              <w:spacing w:after="0" w:line="167" w:lineRule="exact"/>
              <w:rPr>
                <w:sz w:val="20"/>
                <w:szCs w:val="20"/>
                <w:color w:val="auto"/>
              </w:rPr>
            </w:pPr>
            <w:r>
              <w:rPr>
                <w:rFonts w:ascii="Arial" w:cs="Arial" w:eastAsia="Arial" w:hAnsi="Arial"/>
                <w:sz w:val="18"/>
                <w:szCs w:val="18"/>
                <w:color w:val="auto"/>
                <w:w w:val="97"/>
              </w:rPr>
              <w:t>Current and Long-Term Debt (excluding Finance</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ind w:right="112"/>
              <w:spacing w:after="0"/>
              <w:rPr>
                <w:sz w:val="20"/>
                <w:szCs w:val="20"/>
                <w:color w:val="auto"/>
              </w:rPr>
            </w:pPr>
            <w:r>
              <w:rPr>
                <w:rFonts w:ascii="Arial" w:cs="Arial" w:eastAsia="Arial" w:hAnsi="Arial"/>
                <w:sz w:val="18"/>
                <w:szCs w:val="18"/>
                <w:color w:val="auto"/>
              </w:rPr>
              <w:t>2,374</w:t>
            </w:r>
          </w:p>
        </w:tc>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152"/>
              <w:spacing w:after="0"/>
              <w:rPr>
                <w:sz w:val="20"/>
                <w:szCs w:val="20"/>
                <w:color w:val="auto"/>
              </w:rPr>
            </w:pPr>
            <w:r>
              <w:rPr>
                <w:rFonts w:ascii="Arial" w:cs="Arial" w:eastAsia="Arial" w:hAnsi="Arial"/>
                <w:sz w:val="18"/>
                <w:szCs w:val="18"/>
                <w:color w:val="auto"/>
              </w:rPr>
              <w:t>2,090</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132"/>
              <w:spacing w:after="0"/>
              <w:rPr>
                <w:sz w:val="20"/>
                <w:szCs w:val="20"/>
                <w:color w:val="auto"/>
              </w:rPr>
            </w:pPr>
            <w:r>
              <w:rPr>
                <w:rFonts w:ascii="Arial" w:cs="Arial" w:eastAsia="Arial" w:hAnsi="Arial"/>
                <w:sz w:val="18"/>
                <w:szCs w:val="18"/>
                <w:color w:val="auto"/>
              </w:rPr>
              <w:t>2,372</w:t>
            </w:r>
          </w:p>
        </w:tc>
        <w:tc>
          <w:tcPr>
            <w:tcW w:w="4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Leases)</w:t>
            </w:r>
          </w:p>
        </w:tc>
        <w:tc>
          <w:tcPr>
            <w:tcW w:w="44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sectPr>
      </w:pPr>
    </w:p>
    <w:bookmarkStart w:id="13" w:name="page14"/>
    <w:bookmarkEnd w:id="13"/>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8 – Disputes, Litigation and Legal Contingencies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June 30, 2022 and December 31, 2021 were $41 million and $40 million, respectively.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and the parties are continuing to await a decision.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 Shareholders’ Equity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our shareholders’ equity activity for the three and six months ended June 30, 2022 and 2021:</w:t>
      </w:r>
    </w:p>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Capital in</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right"/>
              <w:ind w:right="272"/>
              <w:spacing w:after="0"/>
              <w:rPr>
                <w:sz w:val="20"/>
                <w:szCs w:val="20"/>
                <w:color w:val="auto"/>
              </w:rPr>
            </w:pPr>
            <w:r>
              <w:rPr>
                <w:rFonts w:ascii="Arial" w:cs="Arial" w:eastAsia="Arial" w:hAnsi="Arial"/>
                <w:sz w:val="18"/>
                <w:szCs w:val="18"/>
                <w:b w:val="1"/>
                <w:bCs w:val="1"/>
                <w:color w:val="auto"/>
                <w:w w:val="93"/>
              </w:rPr>
              <w:t>Accumulated</w:t>
            </w:r>
          </w:p>
        </w:tc>
        <w:tc>
          <w:tcPr>
            <w:tcW w:w="560" w:type="dxa"/>
            <w:vAlign w:val="bottom"/>
          </w:tcPr>
          <w:p>
            <w:pPr>
              <w:spacing w:after="0"/>
              <w:rPr>
                <w:sz w:val="17"/>
                <w:szCs w:val="17"/>
                <w:color w:val="auto"/>
              </w:rPr>
            </w:pPr>
          </w:p>
        </w:tc>
        <w:tc>
          <w:tcPr>
            <w:tcW w:w="92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Non-</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97"/>
              </w:rPr>
              <w:t>Retained</w:t>
            </w:r>
          </w:p>
        </w:tc>
        <w:tc>
          <w:tcPr>
            <w:tcW w:w="560" w:type="dxa"/>
            <w:vAlign w:val="bottom"/>
          </w:tcPr>
          <w:p>
            <w:pPr>
              <w:spacing w:after="0"/>
              <w:rPr>
                <w:sz w:val="14"/>
                <w:szCs w:val="14"/>
                <w:color w:val="auto"/>
              </w:rPr>
            </w:pPr>
          </w:p>
        </w:tc>
        <w:tc>
          <w:tcPr>
            <w:tcW w:w="1440" w:type="dxa"/>
            <w:vAlign w:val="bottom"/>
          </w:tcPr>
          <w:p>
            <w:pPr>
              <w:jc w:val="right"/>
              <w:ind w:right="712"/>
              <w:spacing w:after="0" w:line="172" w:lineRule="exact"/>
              <w:rPr>
                <w:sz w:val="20"/>
                <w:szCs w:val="20"/>
                <w:color w:val="auto"/>
              </w:rPr>
            </w:pPr>
            <w:r>
              <w:rPr>
                <w:rFonts w:ascii="Arial" w:cs="Arial" w:eastAsia="Arial" w:hAnsi="Arial"/>
                <w:sz w:val="18"/>
                <w:szCs w:val="18"/>
                <w:b w:val="1"/>
                <w:bCs w:val="1"/>
                <w:color w:val="auto"/>
              </w:rPr>
              <w:t>Other</w:t>
            </w:r>
          </w:p>
        </w:tc>
        <w:tc>
          <w:tcPr>
            <w:tcW w:w="5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2"/>
        </w:trPr>
        <w:tc>
          <w:tcPr>
            <w:tcW w:w="286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1640" w:type="dxa"/>
            <w:vAlign w:val="bottom"/>
            <w:gridSpan w:val="2"/>
          </w:tcPr>
          <w:p>
            <w:pPr>
              <w:jc w:val="right"/>
              <w:ind w:right="312"/>
              <w:spacing w:after="0" w:line="172" w:lineRule="exact"/>
              <w:rPr>
                <w:sz w:val="20"/>
                <w:szCs w:val="20"/>
                <w:color w:val="auto"/>
              </w:rPr>
            </w:pPr>
            <w:r>
              <w:rPr>
                <w:rFonts w:ascii="Arial" w:cs="Arial" w:eastAsia="Arial" w:hAnsi="Arial"/>
                <w:sz w:val="18"/>
                <w:szCs w:val="18"/>
                <w:b w:val="1"/>
                <w:bCs w:val="1"/>
                <w:color w:val="auto"/>
              </w:rPr>
              <w:t>Excess of Par</w:t>
            </w:r>
          </w:p>
        </w:tc>
        <w:tc>
          <w:tcPr>
            <w:tcW w:w="3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0" w:type="dxa"/>
            <w:vAlign w:val="bottom"/>
            <w:gridSpan w:val="2"/>
          </w:tcPr>
          <w:p>
            <w:pPr>
              <w:jc w:val="right"/>
              <w:ind w:right="52"/>
              <w:spacing w:after="0" w:line="172" w:lineRule="exact"/>
              <w:rPr>
                <w:sz w:val="20"/>
                <w:szCs w:val="20"/>
                <w:color w:val="auto"/>
              </w:rPr>
            </w:pPr>
            <w:r>
              <w:rPr>
                <w:rFonts w:ascii="Arial" w:cs="Arial" w:eastAsia="Arial" w:hAnsi="Arial"/>
                <w:sz w:val="18"/>
                <w:szCs w:val="18"/>
                <w:b w:val="1"/>
                <w:bCs w:val="1"/>
                <w:color w:val="auto"/>
                <w:w w:val="90"/>
              </w:rPr>
              <w:t>Comprehensive Income</w:t>
            </w:r>
          </w:p>
        </w:tc>
        <w:tc>
          <w:tcPr>
            <w:tcW w:w="1480" w:type="dxa"/>
            <w:vAlign w:val="bottom"/>
            <w:gridSpan w:val="2"/>
          </w:tcPr>
          <w:p>
            <w:pPr>
              <w:jc w:val="right"/>
              <w:ind w:right="252"/>
              <w:spacing w:after="0" w:line="172" w:lineRule="exact"/>
              <w:rPr>
                <w:sz w:val="20"/>
                <w:szCs w:val="20"/>
                <w:color w:val="auto"/>
              </w:rPr>
            </w:pPr>
            <w:r>
              <w:rPr>
                <w:rFonts w:ascii="Arial" w:cs="Arial" w:eastAsia="Arial" w:hAnsi="Arial"/>
                <w:sz w:val="18"/>
                <w:szCs w:val="18"/>
                <w:b w:val="1"/>
                <w:bCs w:val="1"/>
                <w:color w:val="auto"/>
              </w:rPr>
              <w:t>controlling</w:t>
            </w:r>
          </w:p>
        </w:tc>
        <w:tc>
          <w:tcPr>
            <w:tcW w:w="6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860" w:type="dxa"/>
            <w:vAlign w:val="bottom"/>
            <w:tcBorders>
              <w:bottom w:val="single" w:sz="8" w:color="CCEEFF"/>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Value</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w w:val="90"/>
              </w:rPr>
              <w:t>Deficit</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(Loss)</w:t>
            </w:r>
          </w:p>
        </w:tc>
        <w:tc>
          <w:tcPr>
            <w:tcW w:w="14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Interests “NCI”</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Shareholders’ Equi</w:t>
            </w:r>
          </w:p>
        </w:tc>
        <w:tc>
          <w:tcPr>
            <w:tcW w:w="0" w:type="dxa"/>
            <w:vAlign w:val="bottom"/>
          </w:tcPr>
          <w:p>
            <w:pPr>
              <w:spacing w:after="0"/>
              <w:rPr>
                <w:sz w:val="1"/>
                <w:szCs w:val="1"/>
                <w:color w:val="auto"/>
              </w:rPr>
            </w:pPr>
          </w:p>
        </w:tc>
      </w:tr>
      <w:tr>
        <w:trPr>
          <w:trHeight w:val="218"/>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Balance at December 31, 2021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2,904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286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480" w:type="dxa"/>
            <w:vAlign w:val="bottom"/>
          </w:tcPr>
          <w:p>
            <w:pPr>
              <w:spacing w:after="0"/>
              <w:rPr>
                <w:sz w:val="19"/>
                <w:szCs w:val="19"/>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9"/>
                <w:szCs w:val="19"/>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9"/>
        </w:trPr>
        <w:tc>
          <w:tcPr>
            <w:tcW w:w="2860" w:type="dxa"/>
            <w:vAlign w:val="bottom"/>
            <w:shd w:val="clear" w:color="auto" w:fill="CCEEFF"/>
          </w:tcPr>
          <w:p>
            <w:pPr>
              <w:ind w:left="340"/>
              <w:spacing w:after="0" w:line="159" w:lineRule="exact"/>
              <w:rPr>
                <w:sz w:val="20"/>
                <w:szCs w:val="20"/>
                <w:color w:val="auto"/>
              </w:rPr>
            </w:pPr>
            <w:r>
              <w:rPr>
                <w:rFonts w:ascii="Arial" w:cs="Arial" w:eastAsia="Arial" w:hAnsi="Arial"/>
                <w:sz w:val="17"/>
                <w:szCs w:val="17"/>
                <w:color w:val="auto"/>
                <w:w w:val="90"/>
              </w:rPr>
              <w:t>Equity Awards, Granted, Vested and</w:t>
            </w:r>
          </w:p>
        </w:tc>
        <w:tc>
          <w:tcPr>
            <w:tcW w:w="4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60" w:type="dxa"/>
            <w:vAlign w:val="bottom"/>
          </w:tcPr>
          <w:p>
            <w:pPr>
              <w:ind w:left="340"/>
              <w:spacing w:after="0"/>
              <w:rPr>
                <w:sz w:val="20"/>
                <w:szCs w:val="20"/>
                <w:color w:val="auto"/>
              </w:rPr>
            </w:pPr>
            <w:r>
              <w:rPr>
                <w:rFonts w:ascii="Arial" w:cs="Arial" w:eastAsia="Arial" w:hAnsi="Arial"/>
                <w:sz w:val="17"/>
                <w:szCs w:val="17"/>
                <w:b w:val="1"/>
                <w:bCs w:val="1"/>
                <w:color w:val="auto"/>
              </w:rPr>
              <w:t>Balance at March 31, 2022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2,908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(2,477)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860" w:type="dxa"/>
            <w:vAlign w:val="bottom"/>
          </w:tcPr>
          <w:p>
            <w:pPr>
              <w:ind w:left="340"/>
              <w:spacing w:after="0"/>
              <w:rPr>
                <w:sz w:val="20"/>
                <w:szCs w:val="20"/>
                <w:color w:val="auto"/>
              </w:rPr>
            </w:pPr>
            <w:r>
              <w:rPr>
                <w:rFonts w:ascii="Arial" w:cs="Arial" w:eastAsia="Arial" w:hAnsi="Arial"/>
                <w:sz w:val="17"/>
                <w:szCs w:val="17"/>
                <w:color w:val="auto"/>
              </w:rPr>
              <w:t>Other Comprehensive Income</w:t>
            </w:r>
          </w:p>
        </w:tc>
        <w:tc>
          <w:tcPr>
            <w:tcW w:w="480" w:type="dxa"/>
            <w:vAlign w:val="bottom"/>
          </w:tcPr>
          <w:p>
            <w:pPr>
              <w:spacing w:after="0"/>
              <w:rPr>
                <w:sz w:val="19"/>
                <w:szCs w:val="19"/>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Dividends to NCI</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9"/>
        </w:trPr>
        <w:tc>
          <w:tcPr>
            <w:tcW w:w="2860" w:type="dxa"/>
            <w:vAlign w:val="bottom"/>
          </w:tcPr>
          <w:p>
            <w:pPr>
              <w:ind w:left="340"/>
              <w:spacing w:after="0" w:line="159" w:lineRule="exact"/>
              <w:rPr>
                <w:sz w:val="20"/>
                <w:szCs w:val="20"/>
                <w:color w:val="auto"/>
              </w:rPr>
            </w:pPr>
            <w:r>
              <w:rPr>
                <w:rFonts w:ascii="Arial" w:cs="Arial" w:eastAsia="Arial" w:hAnsi="Arial"/>
                <w:sz w:val="17"/>
                <w:szCs w:val="17"/>
                <w:color w:val="auto"/>
                <w:w w:val="92"/>
              </w:rPr>
              <w:t>Equity Awards Granted, Vested and</w:t>
            </w:r>
          </w:p>
        </w:tc>
        <w:tc>
          <w:tcPr>
            <w:tcW w:w="480" w:type="dxa"/>
            <w:vAlign w:val="bottom"/>
          </w:tcPr>
          <w:p>
            <w:pPr>
              <w:spacing w:after="0"/>
              <w:rPr>
                <w:sz w:val="13"/>
                <w:szCs w:val="13"/>
                <w:color w:val="auto"/>
              </w:rPr>
            </w:pPr>
          </w:p>
        </w:tc>
        <w:tc>
          <w:tcPr>
            <w:tcW w:w="1160" w:type="dxa"/>
            <w:vAlign w:val="bottom"/>
            <w:vMerge w:val="restart"/>
          </w:tcPr>
          <w:p>
            <w:pPr>
              <w:jc w:val="right"/>
              <w:ind w:right="172"/>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3"/>
                <w:szCs w:val="13"/>
                <w:color w:val="auto"/>
              </w:rPr>
            </w:pPr>
          </w:p>
        </w:tc>
        <w:tc>
          <w:tcPr>
            <w:tcW w:w="108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3"/>
                <w:szCs w:val="13"/>
                <w:color w:val="auto"/>
              </w:rPr>
            </w:pPr>
          </w:p>
        </w:tc>
        <w:tc>
          <w:tcPr>
            <w:tcW w:w="14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3"/>
                <w:szCs w:val="13"/>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Exercised</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auto"/>
            </w:tcBorders>
            <w:shd w:val="clear" w:color="auto" w:fill="CCEEFF"/>
          </w:tcPr>
          <w:p>
            <w:pPr>
              <w:ind w:left="340"/>
              <w:spacing w:after="0" w:line="192" w:lineRule="exact"/>
              <w:rPr>
                <w:sz w:val="20"/>
                <w:szCs w:val="20"/>
                <w:color w:val="auto"/>
              </w:rPr>
            </w:pPr>
            <w:r>
              <w:rPr>
                <w:rFonts w:ascii="Arial" w:cs="Arial" w:eastAsia="Arial" w:hAnsi="Arial"/>
                <w:sz w:val="17"/>
                <w:szCs w:val="17"/>
                <w:b w:val="1"/>
                <w:bCs w:val="1"/>
                <w:color w:val="auto"/>
              </w:rPr>
              <w:t>Balance at June 30, 2022</w:t>
            </w: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2"/>
              <w:spacing w:after="0" w:line="192" w:lineRule="exact"/>
              <w:rPr>
                <w:sz w:val="20"/>
                <w:szCs w:val="20"/>
                <w:color w:val="auto"/>
              </w:rPr>
            </w:pPr>
            <w:r>
              <w:rPr>
                <w:rFonts w:ascii="Arial" w:cs="Arial" w:eastAsia="Arial" w:hAnsi="Arial"/>
                <w:sz w:val="18"/>
                <w:szCs w:val="18"/>
                <w:color w:val="auto"/>
              </w:rPr>
              <w:t>2,913</w:t>
            </w:r>
          </w:p>
        </w:tc>
        <w:tc>
          <w:tcPr>
            <w:tcW w:w="3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line="192" w:lineRule="exact"/>
              <w:rPr>
                <w:sz w:val="20"/>
                <w:szCs w:val="20"/>
                <w:color w:val="auto"/>
              </w:rPr>
            </w:pPr>
            <w:r>
              <w:rPr>
                <w:rFonts w:ascii="Arial" w:cs="Arial" w:eastAsia="Arial" w:hAnsi="Arial"/>
                <w:sz w:val="18"/>
                <w:szCs w:val="18"/>
                <w:color w:val="auto"/>
              </w:rPr>
              <w:t>(2,471)</w:t>
            </w:r>
          </w:p>
        </w:tc>
        <w:tc>
          <w:tcPr>
            <w:tcW w:w="5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72"/>
              <w:spacing w:after="0" w:line="192" w:lineRule="exact"/>
              <w:rPr>
                <w:sz w:val="20"/>
                <w:szCs w:val="20"/>
                <w:color w:val="auto"/>
              </w:rPr>
            </w:pPr>
            <w:r>
              <w:rPr>
                <w:rFonts w:ascii="Arial" w:cs="Arial" w:eastAsia="Arial" w:hAnsi="Arial"/>
                <w:sz w:val="18"/>
                <w:szCs w:val="18"/>
                <w:color w:val="auto"/>
              </w:rPr>
              <w:t>24</w:t>
            </w:r>
          </w:p>
        </w:tc>
        <w:tc>
          <w:tcPr>
            <w:tcW w:w="560" w:type="dxa"/>
            <w:vAlign w:val="bottom"/>
            <w:tcBorders>
              <w:bottom w:val="single" w:sz="8" w:color="auto"/>
            </w:tcBorders>
            <w:shd w:val="clear" w:color="auto" w:fill="CCEEFF"/>
          </w:tcPr>
          <w:p>
            <w:pPr>
              <w:jc w:val="right"/>
              <w:ind w:right="32"/>
              <w:spacing w:after="0" w:line="19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line="192" w:lineRule="exact"/>
              <w:rPr>
                <w:sz w:val="20"/>
                <w:szCs w:val="20"/>
                <w:color w:val="auto"/>
              </w:rPr>
            </w:pPr>
            <w:r>
              <w:rPr>
                <w:rFonts w:ascii="Arial" w:cs="Arial" w:eastAsia="Arial" w:hAnsi="Arial"/>
                <w:sz w:val="18"/>
                <w:szCs w:val="18"/>
                <w:color w:val="auto"/>
              </w:rPr>
              <w:t>25</w:t>
            </w:r>
          </w:p>
        </w:tc>
        <w:tc>
          <w:tcPr>
            <w:tcW w:w="68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Balance at December 31, 2020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2,897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5"/>
        </w:trPr>
        <w:tc>
          <w:tcPr>
            <w:tcW w:w="286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480" w:type="dxa"/>
            <w:vAlign w:val="bottom"/>
          </w:tcPr>
          <w:p>
            <w:pPr>
              <w:spacing w:after="0"/>
              <w:rPr>
                <w:sz w:val="19"/>
                <w:szCs w:val="19"/>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9"/>
                <w:szCs w:val="19"/>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Dividends to NCI</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8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Comprehensive Loss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Balance at March 31, 2021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2,897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286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480" w:type="dxa"/>
            <w:vAlign w:val="bottom"/>
          </w:tcPr>
          <w:p>
            <w:pPr>
              <w:spacing w:after="0"/>
              <w:rPr>
                <w:sz w:val="19"/>
                <w:szCs w:val="19"/>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9"/>
                <w:szCs w:val="19"/>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Comprehensive Income</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860" w:type="dxa"/>
            <w:vAlign w:val="bottom"/>
          </w:tcPr>
          <w:p>
            <w:pPr>
              <w:ind w:left="340"/>
              <w:spacing w:after="0"/>
              <w:rPr>
                <w:sz w:val="20"/>
                <w:szCs w:val="20"/>
                <w:color w:val="auto"/>
              </w:rPr>
            </w:pPr>
            <w:r>
              <w:rPr>
                <w:rFonts w:ascii="Arial" w:cs="Arial" w:eastAsia="Arial" w:hAnsi="Arial"/>
                <w:sz w:val="17"/>
                <w:szCs w:val="17"/>
                <w:color w:val="auto"/>
              </w:rPr>
              <w:t>Dividends to NCI</w:t>
            </w:r>
          </w:p>
        </w:tc>
        <w:tc>
          <w:tcPr>
            <w:tcW w:w="480" w:type="dxa"/>
            <w:vAlign w:val="bottom"/>
          </w:tcPr>
          <w:p>
            <w:pPr>
              <w:spacing w:after="0"/>
              <w:rPr>
                <w:sz w:val="19"/>
                <w:szCs w:val="19"/>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0"/>
        </w:trPr>
        <w:tc>
          <w:tcPr>
            <w:tcW w:w="2860" w:type="dxa"/>
            <w:vAlign w:val="bottom"/>
            <w:shd w:val="clear" w:color="auto" w:fill="CCEEFF"/>
          </w:tcPr>
          <w:p>
            <w:pPr>
              <w:ind w:left="340"/>
              <w:spacing w:after="0" w:line="159" w:lineRule="exact"/>
              <w:rPr>
                <w:sz w:val="20"/>
                <w:szCs w:val="20"/>
                <w:color w:val="auto"/>
              </w:rPr>
            </w:pPr>
            <w:r>
              <w:rPr>
                <w:rFonts w:ascii="Arial" w:cs="Arial" w:eastAsia="Arial" w:hAnsi="Arial"/>
                <w:sz w:val="17"/>
                <w:szCs w:val="17"/>
                <w:color w:val="auto"/>
                <w:w w:val="92"/>
              </w:rPr>
              <w:t>Equity Awards Granted, Vested and</w:t>
            </w:r>
          </w:p>
        </w:tc>
        <w:tc>
          <w:tcPr>
            <w:tcW w:w="4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4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8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Balance at June 30, 2021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2,899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six months ended June 30, 2022 and 2021:</w:t>
      </w:r>
    </w:p>
    <w:p>
      <w:pPr>
        <w:spacing w:after="0" w:line="66"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356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150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b w:val="1"/>
                <w:bCs w:val="1"/>
                <w:color w:val="auto"/>
              </w:rPr>
              <w:t>Currency</w:t>
            </w:r>
          </w:p>
        </w:tc>
        <w:tc>
          <w:tcPr>
            <w:tcW w:w="300" w:type="dxa"/>
            <w:vAlign w:val="bottom"/>
          </w:tcPr>
          <w:p>
            <w:pPr>
              <w:spacing w:after="0"/>
              <w:rPr>
                <w:sz w:val="18"/>
                <w:szCs w:val="18"/>
                <w:color w:val="auto"/>
              </w:rPr>
            </w:pP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w w:val="90"/>
              </w:rPr>
              <w:t>Defined Benefit</w:t>
            </w:r>
          </w:p>
        </w:tc>
        <w:tc>
          <w:tcPr>
            <w:tcW w:w="500" w:type="dxa"/>
            <w:vAlign w:val="bottom"/>
          </w:tcPr>
          <w:p>
            <w:pPr>
              <w:spacing w:after="0"/>
              <w:rPr>
                <w:sz w:val="18"/>
                <w:szCs w:val="18"/>
                <w:color w:val="auto"/>
              </w:rPr>
            </w:pPr>
          </w:p>
        </w:tc>
        <w:tc>
          <w:tcPr>
            <w:tcW w:w="12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56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b w:val="1"/>
                <w:bCs w:val="1"/>
                <w:color w:val="auto"/>
                <w:w w:val="98"/>
              </w:rPr>
              <w:t>Translation Adjustment</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Pension</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 at December 31, 2021</w:t>
            </w: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732"/>
              <w:spacing w:after="0"/>
              <w:rPr>
                <w:sz w:val="20"/>
                <w:szCs w:val="20"/>
                <w:color w:val="auto"/>
              </w:rPr>
            </w:pPr>
            <w:r>
              <w:rPr>
                <w:rFonts w:ascii="Arial" w:cs="Arial" w:eastAsia="Arial" w:hAnsi="Arial"/>
                <w:sz w:val="18"/>
                <w:szCs w:val="18"/>
                <w:color w:val="auto"/>
                <w:w w:val="93"/>
              </w:rPr>
              <w:t>(36)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3"/>
              </w:rPr>
              <w:t>(35)</w:t>
            </w:r>
          </w:p>
        </w:tc>
        <w:tc>
          <w:tcPr>
            <w:tcW w:w="0" w:type="dxa"/>
            <w:vAlign w:val="bottom"/>
          </w:tcPr>
          <w:p>
            <w:pPr>
              <w:spacing w:after="0"/>
              <w:rPr>
                <w:sz w:val="1"/>
                <w:szCs w:val="1"/>
                <w:color w:val="auto"/>
              </w:rPr>
            </w:pPr>
          </w:p>
        </w:tc>
      </w:tr>
      <w:tr>
        <w:trPr>
          <w:trHeight w:val="225"/>
        </w:trPr>
        <w:tc>
          <w:tcPr>
            <w:tcW w:w="3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Comprehensive Income</w:t>
            </w:r>
          </w:p>
        </w:tc>
        <w:tc>
          <w:tcPr>
            <w:tcW w:w="1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89"/>
              </w:rPr>
              <w:t>59</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44"/>
        </w:trPr>
        <w:tc>
          <w:tcPr>
            <w:tcW w:w="3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at June 30, 2022</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9"/>
              </w:rPr>
              <w:t>23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center"/>
              <w:ind w:left="792"/>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 at December 31, 2020</w:t>
            </w: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732"/>
              <w:spacing w:after="0"/>
              <w:rPr>
                <w:sz w:val="20"/>
                <w:szCs w:val="20"/>
                <w:color w:val="auto"/>
              </w:rPr>
            </w:pPr>
            <w:r>
              <w:rPr>
                <w:rFonts w:ascii="Arial" w:cs="Arial" w:eastAsia="Arial" w:hAnsi="Arial"/>
                <w:sz w:val="18"/>
                <w:szCs w:val="18"/>
                <w:color w:val="auto"/>
                <w:w w:val="93"/>
              </w:rPr>
              <w:t>(31)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3"/>
              </w:rPr>
              <w:t>(43)</w:t>
            </w:r>
          </w:p>
        </w:tc>
        <w:tc>
          <w:tcPr>
            <w:tcW w:w="0" w:type="dxa"/>
            <w:vAlign w:val="bottom"/>
          </w:tcPr>
          <w:p>
            <w:pPr>
              <w:spacing w:after="0"/>
              <w:rPr>
                <w:sz w:val="1"/>
                <w:szCs w:val="1"/>
                <w:color w:val="auto"/>
              </w:rPr>
            </w:pPr>
          </w:p>
        </w:tc>
      </w:tr>
      <w:tr>
        <w:trPr>
          <w:trHeight w:val="225"/>
        </w:trPr>
        <w:tc>
          <w:tcPr>
            <w:tcW w:w="3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Comprehensive Income</w:t>
            </w:r>
          </w:p>
        </w:tc>
        <w:tc>
          <w:tcPr>
            <w:tcW w:w="1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89"/>
              </w:rPr>
              <w:t>11</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44"/>
        </w:trPr>
        <w:tc>
          <w:tcPr>
            <w:tcW w:w="3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at June 30, 2021</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w w:val="93"/>
              </w:rPr>
              <w:t>(20)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93"/>
              </w:rPr>
              <w:t>(32)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sectPr>
      </w:pPr>
    </w:p>
    <w:bookmarkStart w:id="15" w:name="page16"/>
    <w:bookmarkEnd w:id="15"/>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 – Income (Loss) per Share</w:t>
      </w:r>
    </w:p>
    <w:p>
      <w:pPr>
        <w:spacing w:after="0" w:line="250"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7"/>
          <w:szCs w:val="17"/>
          <w:color w:val="auto"/>
        </w:rPr>
        <w:t>Basic income (loss) per share for all periods presented equals net income (loss) divided by our weighted average shares outstanding during the period. Diluted income (loss) per share is computed by dividing net income (loss) by our weighted average shares outstanding during the period including potential dilutive ordinary shares. Antidilutive shares represent potentially dilutive securities which are excluded from the computation of diluted income or loss per share as their impact was antidilutive. These include potential ordinary shares for restricted share units, performance share units, phantom restricted share units, and outstanding warrants. Our basic and diluted weighted average shares outstanding for periods presented with net loss are equivalent as the impact of the inclusion of potential dilutive securities are antidilutive.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number of shares used for the basic and diluted income (loss) per share calculation was as follows: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64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154"/>
        </w:trPr>
        <w:tc>
          <w:tcPr>
            <w:tcW w:w="4240" w:type="dxa"/>
            <w:vAlign w:val="bottom"/>
          </w:tcPr>
          <w:p>
            <w:pPr>
              <w:ind w:left="340"/>
              <w:spacing w:after="0" w:line="154" w:lineRule="exact"/>
              <w:rPr>
                <w:sz w:val="20"/>
                <w:szCs w:val="20"/>
                <w:color w:val="auto"/>
              </w:rPr>
            </w:pPr>
            <w:r>
              <w:rPr>
                <w:rFonts w:ascii="Arial" w:cs="Arial" w:eastAsia="Arial" w:hAnsi="Arial"/>
                <w:sz w:val="17"/>
                <w:szCs w:val="17"/>
                <w:i w:val="1"/>
                <w:iCs w:val="1"/>
                <w:color w:val="auto"/>
              </w:rPr>
              <w:t>(Dollars and shares in millions, except per share</w:t>
            </w:r>
          </w:p>
        </w:tc>
        <w:tc>
          <w:tcPr>
            <w:tcW w:w="620" w:type="dxa"/>
            <w:vAlign w:val="bottom"/>
          </w:tcPr>
          <w:p>
            <w:pPr>
              <w:spacing w:after="0"/>
              <w:rPr>
                <w:sz w:val="13"/>
                <w:szCs w:val="13"/>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3"/>
                <w:szCs w:val="13"/>
                <w:color w:val="auto"/>
              </w:rPr>
            </w:pPr>
          </w:p>
        </w:tc>
        <w:tc>
          <w:tcPr>
            <w:tcW w:w="130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3"/>
                <w:szCs w:val="13"/>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13"/>
                <w:szCs w:val="13"/>
                <w:color w:val="auto"/>
              </w:rPr>
            </w:pPr>
          </w:p>
        </w:tc>
        <w:tc>
          <w:tcPr>
            <w:tcW w:w="86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Weatherford</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w:t>
            </w:r>
          </w:p>
        </w:tc>
        <w:tc>
          <w:tcPr>
            <w:tcW w:w="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240" w:type="dxa"/>
            <w:vAlign w:val="bottom"/>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9"/>
                <w:szCs w:val="19"/>
                <w:color w:val="auto"/>
              </w:rPr>
            </w:pP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4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4"/>
              </w:rPr>
              <w:t>Dilutive Effect of Awards Granted in Stock Incentive</w:t>
            </w:r>
          </w:p>
        </w:tc>
        <w:tc>
          <w:tcPr>
            <w:tcW w:w="6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6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73</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70</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71</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340"/>
              <w:spacing w:after="0"/>
              <w:rPr>
                <w:sz w:val="20"/>
                <w:szCs w:val="20"/>
                <w:color w:val="auto"/>
              </w:rPr>
            </w:pPr>
            <w:r>
              <w:rPr>
                <w:rFonts w:ascii="Arial" w:cs="Arial" w:eastAsia="Arial" w:hAnsi="Arial"/>
                <w:sz w:val="18"/>
                <w:szCs w:val="18"/>
                <w:color w:val="auto"/>
              </w:rPr>
              <w:t>Antidilutive Shares</w:t>
            </w:r>
          </w:p>
        </w:tc>
        <w:tc>
          <w:tcPr>
            <w:tcW w:w="6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4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Basic and Diluted Income (Loss) Per Share</w:t>
            </w:r>
          </w:p>
        </w:tc>
        <w:tc>
          <w:tcPr>
            <w:tcW w:w="62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0.08</w:t>
            </w:r>
          </w:p>
        </w:tc>
        <w:tc>
          <w:tcPr>
            <w:tcW w:w="5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(1.11)</w:t>
            </w:r>
          </w:p>
        </w:tc>
        <w:tc>
          <w:tcPr>
            <w:tcW w:w="5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(1.04)</w:t>
            </w:r>
          </w:p>
        </w:tc>
        <w:tc>
          <w:tcPr>
            <w:tcW w:w="4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Weatherford</w:t>
            </w:r>
          </w:p>
        </w:tc>
        <w:tc>
          <w:tcPr>
            <w:tcW w:w="6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11 – Income Taxes</w:t>
      </w:r>
    </w:p>
    <w:p>
      <w:pPr>
        <w:spacing w:after="0" w:line="250"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We determine our quarterly tax provision using the year-to-date effective tax rate because the estimated annual approach is not reliable given that small changes in estimated ordinary annual income result in significant changes in our estimated annual effective tax rate. The year-to-date effective tax rate treats the year-to-date period as if it was the annual period and determines the income tax expense or benefit on that basis.</w:t>
      </w:r>
    </w:p>
    <w:p>
      <w:pPr>
        <w:spacing w:after="0" w:line="198"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residents for income tax purposes. 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w:t>
      </w:r>
    </w:p>
    <w:p>
      <w:pPr>
        <w:spacing w:after="0" w:line="217"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In the three and six months ended June 30, 2022, we recognized tax expense of $12 million and $40 million, respectively, on an income before income taxes of $24 million and loss before taxes of $22 million, respectively, compared to the three and six months ended June 30, 2021 where we recognized tax expense of $15 million and $38 million, respectively, on a loss before income taxes of $58 million and $145 million, respectively. The expense in the three and six months ended June 30, 2022 included a $27 million recognition of a benefit from previously uncertain tax positions. Our income tax provisions are primarily driven by income in certain jurisdictions, deemed profit countries and withholding taxes on intercompany and third-party transactions that do not directly correlate to ordinary income or loss and other adjustments. Impairments and other charges recognized may not result in significant tax benefit due to our inability to forecast realization of the tax benefit of such losses.</w:t>
      </w:r>
    </w:p>
    <w:p>
      <w:pPr>
        <w:spacing w:after="0" w:line="212"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As of June 30, 2022, we anticipate that it is reasonably possible that our uncertain tax positions of $239 million may decrease by up to $13 million in the next twelve months due to expiration of statutes of limitations, settlements and/or conclusions of tax examinations.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sectPr>
      </w:pPr>
    </w:p>
    <w:bookmarkStart w:id="16" w:name="page17"/>
    <w:bookmarkEnd w:id="16"/>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Weatherford delivers innovative energy services that integrate proven technologies with advanced digitalization to create sustainable offerings for maximized value and return on investment. We provide equipment and services used in the drilling, evaluation, construction, completion, production, intervention and responsible abandonment of wells across the broad spectrum of energy sources.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conduct operations in approximately 75 countries, answering the challenges of the energy industry with 350 operating locations including manufacturing, research and development, service, and training facilities.</w:t>
      </w:r>
    </w:p>
    <w:p>
      <w:pPr>
        <w:spacing w:after="0" w:line="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as well as new energy platforms across our three product line segments: (1) Drilling and Evaluation (2) Well Construction and Completions, and (3) Production and Intervention. All of our segments are enabled by a full suite of digital, monitoring, optimization and artificial intelligence solutions providing services throughout the well life cycle, including responsible abandonment.</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Drilling and Evaluation (“DRE”) </w:t>
      </w:r>
      <w:r>
        <w:rPr>
          <w:rFonts w:ascii="Arial" w:cs="Arial" w:eastAsia="Arial" w:hAnsi="Arial"/>
          <w:sz w:val="18"/>
          <w:szCs w:val="18"/>
          <w:color w:val="auto"/>
        </w:rPr>
        <w:t>offers a suite of services including managed pressure drilling, drilling services, wireline and drilling fluids. DRE offers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ranging from early well planning to reservoir management through innovative tools and expert engineering to optimize reservoir access and productivity.</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Well Construction and Completions (“WCC”) </w:t>
      </w:r>
      <w:r>
        <w:rPr>
          <w:rFonts w:ascii="Arial" w:cs="Arial" w:eastAsia="Arial" w:hAnsi="Arial"/>
          <w:sz w:val="18"/>
          <w:szCs w:val="18"/>
          <w:color w:val="auto"/>
        </w:rPr>
        <w:t>offers products and services for well integrity assurance across the full life cycle of the well.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b w:val="1"/>
          <w:bCs w:val="1"/>
          <w:i w:val="1"/>
          <w:iCs w:val="1"/>
          <w:color w:val="auto"/>
        </w:rPr>
        <w:t xml:space="preserve">Production and Intervention (“PRI”) </w:t>
      </w:r>
      <w:r>
        <w:rPr>
          <w:rFonts w:ascii="Arial" w:cs="Arial" w:eastAsia="Arial" w:hAnsi="Arial"/>
          <w:sz w:val="15"/>
          <w:szCs w:val="15"/>
          <w:color w:val="auto"/>
        </w:rPr>
        <w:t>offers production optimization technologies through the Company’s ability to design and deliver a complete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production ecosystem to boost productivity and responsible abandonment for our customers. The primary offerings are intervention services &amp; drilling tools, artificial lift, production automation &amp; software, sub-sea intervention and pressure pumping services. PRI utilizes a suite of reservoir stimulation designs, and engineering capabilities that isolate zones and unlock reserves in conventional and unconventional wells, deep water, and aging reservoirs.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Industry Trends</w:t>
      </w:r>
    </w:p>
    <w:p>
      <w:pPr>
        <w:spacing w:after="0" w:line="2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but is also impacted by environmental, social and governance (“ESG”) initiatives, and ongoing supply chain shortages as well as geopolitical events like the ongoing military conflict between Russia and Ukraine (“Russia Ukraine Conflict”). These events, in addition to the reopening of the global economy around the relaxing of public restrictions related to the COVID-19 pandemic, have caused commodity prices to increase year-over-year.</w:t>
      </w:r>
    </w:p>
    <w:p>
      <w:pPr>
        <w:spacing w:after="0" w:line="20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industry is also impacted by sanctions related to the Russia Ukraine Conflict. Most notably, several countries including the United States, the European Union and the United Kingdom, have imposed broad sanctions against Russia, certain Russian individuals and certain activities involving Russia or Russian individuals. These factors may result in an increase or decrease in demand for our products and services.</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shows the average oil and natural gas prices for West Texas Intermediate (“WTI”) and Brent North Sea (“Brent”) crude oil and Henry Hub natural gas.</w:t>
      </w:r>
    </w:p>
    <w:p>
      <w:pPr>
        <w:spacing w:after="0" w:line="24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2860" w:type="dxa"/>
            <w:vAlign w:val="bottom"/>
            <w:gridSpan w:val="3"/>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284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Six Months Ended</w:t>
            </w:r>
          </w:p>
        </w:tc>
      </w:tr>
      <w:tr>
        <w:trPr>
          <w:trHeight w:val="219"/>
        </w:trPr>
        <w:tc>
          <w:tcPr>
            <w:tcW w:w="3700" w:type="dxa"/>
            <w:vAlign w:val="bottom"/>
            <w:tcBorders>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6/30/2022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6/30/2021</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6/30/2022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6/30/2021</w:t>
            </w:r>
          </w:p>
        </w:tc>
      </w:tr>
      <w:tr>
        <w:trPr>
          <w:trHeight w:val="219"/>
        </w:trPr>
        <w:tc>
          <w:tcPr>
            <w:tcW w:w="3700" w:type="dxa"/>
            <w:vAlign w:val="bottom"/>
            <w:shd w:val="clear" w:color="auto" w:fill="CCEEFF"/>
          </w:tcPr>
          <w:p>
            <w:pPr>
              <w:ind w:left="340"/>
              <w:spacing w:after="0" w:line="219" w:lineRule="exact"/>
              <w:rPr>
                <w:sz w:val="20"/>
                <w:szCs w:val="20"/>
                <w:color w:val="auto"/>
              </w:rPr>
            </w:pPr>
            <w:r>
              <w:rPr>
                <w:rFonts w:ascii="Arial" w:cs="Arial" w:eastAsia="Arial" w:hAnsi="Arial"/>
                <w:sz w:val="18"/>
                <w:szCs w:val="18"/>
                <w:color w:val="auto"/>
              </w:rPr>
              <w:t xml:space="preserve">Oil price - WTI </w:t>
            </w:r>
            <w:r>
              <w:rPr>
                <w:rFonts w:ascii="Arial" w:cs="Arial" w:eastAsia="Arial" w:hAnsi="Arial"/>
                <w:sz w:val="22"/>
                <w:szCs w:val="22"/>
                <w:color w:val="auto"/>
                <w:vertAlign w:val="superscript"/>
              </w:rPr>
              <w:t>(1)</w:t>
            </w:r>
          </w:p>
        </w:tc>
        <w:tc>
          <w:tcPr>
            <w:tcW w:w="1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$108.72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$101.59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r>
      <w:tr>
        <w:trPr>
          <w:trHeight w:val="225"/>
        </w:trPr>
        <w:tc>
          <w:tcPr>
            <w:tcW w:w="3700" w:type="dxa"/>
            <w:vAlign w:val="bottom"/>
          </w:tcPr>
          <w:p>
            <w:pPr>
              <w:ind w:left="340"/>
              <w:spacing w:after="0" w:line="225" w:lineRule="exact"/>
              <w:rPr>
                <w:sz w:val="20"/>
                <w:szCs w:val="20"/>
                <w:color w:val="auto"/>
              </w:rPr>
            </w:pPr>
            <w:r>
              <w:rPr>
                <w:rFonts w:ascii="Arial" w:cs="Arial" w:eastAsia="Arial" w:hAnsi="Arial"/>
                <w:sz w:val="18"/>
                <w:szCs w:val="18"/>
                <w:color w:val="auto"/>
              </w:rPr>
              <w:t xml:space="preserve">Oil price - Brent </w:t>
            </w:r>
            <w:r>
              <w:rPr>
                <w:rFonts w:ascii="Arial" w:cs="Arial" w:eastAsia="Arial" w:hAnsi="Arial"/>
                <w:sz w:val="22"/>
                <w:szCs w:val="22"/>
                <w:color w:val="auto"/>
                <w:vertAlign w:val="superscript"/>
              </w:rPr>
              <w:t>(1)</w:t>
            </w:r>
          </w:p>
        </w:tc>
        <w:tc>
          <w:tcPr>
            <w:tcW w:w="1680" w:type="dxa"/>
            <w:vAlign w:val="bottom"/>
          </w:tcPr>
          <w:p>
            <w:pPr>
              <w:jc w:val="right"/>
              <w:ind w:right="232"/>
              <w:spacing w:after="0"/>
              <w:rPr>
                <w:sz w:val="20"/>
                <w:szCs w:val="20"/>
                <w:color w:val="auto"/>
              </w:rPr>
            </w:pPr>
            <w:r>
              <w:rPr>
                <w:rFonts w:ascii="Arial" w:cs="Arial" w:eastAsia="Arial" w:hAnsi="Arial"/>
                <w:sz w:val="18"/>
                <w:szCs w:val="18"/>
                <w:color w:val="auto"/>
              </w:rPr>
              <w:t>$113.54</w:t>
            </w:r>
          </w:p>
        </w:tc>
        <w:tc>
          <w:tcPr>
            <w:tcW w:w="1080" w:type="dxa"/>
            <w:vAlign w:val="bottom"/>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19"/>
                <w:szCs w:val="19"/>
                <w:color w:val="auto"/>
              </w:rPr>
            </w:pPr>
          </w:p>
        </w:tc>
        <w:tc>
          <w:tcPr>
            <w:tcW w:w="1740" w:type="dxa"/>
            <w:vAlign w:val="bottom"/>
          </w:tcPr>
          <w:p>
            <w:pPr>
              <w:jc w:val="right"/>
              <w:ind w:right="272"/>
              <w:spacing w:after="0"/>
              <w:rPr>
                <w:sz w:val="20"/>
                <w:szCs w:val="20"/>
                <w:color w:val="auto"/>
              </w:rPr>
            </w:pPr>
            <w:r>
              <w:rPr>
                <w:rFonts w:ascii="Arial" w:cs="Arial" w:eastAsia="Arial" w:hAnsi="Arial"/>
                <w:sz w:val="18"/>
                <w:szCs w:val="18"/>
                <w:color w:val="auto"/>
              </w:rPr>
              <w:t>$106.92</w:t>
            </w:r>
          </w:p>
        </w:tc>
        <w:tc>
          <w:tcPr>
            <w:tcW w:w="1100" w:type="dxa"/>
            <w:vAlign w:val="bottom"/>
          </w:tcPr>
          <w:p>
            <w:pPr>
              <w:jc w:val="right"/>
              <w:spacing w:after="0"/>
              <w:rPr>
                <w:sz w:val="20"/>
                <w:szCs w:val="20"/>
                <w:color w:val="auto"/>
              </w:rPr>
            </w:pPr>
            <w:r>
              <w:rPr>
                <w:rFonts w:ascii="Arial" w:cs="Arial" w:eastAsia="Arial" w:hAnsi="Arial"/>
                <w:sz w:val="18"/>
                <w:szCs w:val="18"/>
                <w:color w:val="auto"/>
              </w:rPr>
              <w:t>$64.83</w:t>
            </w:r>
          </w:p>
        </w:tc>
      </w:tr>
      <w:tr>
        <w:trPr>
          <w:trHeight w:val="225"/>
        </w:trPr>
        <w:tc>
          <w:tcPr>
            <w:tcW w:w="3700" w:type="dxa"/>
            <w:vAlign w:val="bottom"/>
            <w:tcBorders>
              <w:bottom w:val="single" w:sz="8" w:color="auto"/>
            </w:tcBorders>
            <w:shd w:val="clear" w:color="auto" w:fill="CCEEFF"/>
          </w:tcPr>
          <w:p>
            <w:pPr>
              <w:ind w:left="340"/>
              <w:spacing w:after="0" w:line="225" w:lineRule="exact"/>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2"/>
                <w:szCs w:val="22"/>
                <w:color w:val="auto"/>
                <w:vertAlign w:val="superscript"/>
              </w:rPr>
              <w:t>(2)</w:t>
            </w:r>
          </w:p>
        </w:tc>
        <w:tc>
          <w:tcPr>
            <w:tcW w:w="16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$7.48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$6.07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bl>
    <w:p>
      <w:pPr>
        <w:ind w:left="1580" w:hanging="165"/>
        <w:spacing w:after="0" w:line="216" w:lineRule="auto"/>
        <w:tabs>
          <w:tab w:leader="none" w:pos="158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Oil price measured in dollars per barrel (rounded to the nearest $0.01)</w:t>
      </w:r>
    </w:p>
    <w:p>
      <w:pPr>
        <w:spacing w:after="0" w:line="22" w:lineRule="exact"/>
        <w:rPr>
          <w:rFonts w:ascii="Arial" w:cs="Arial" w:eastAsia="Arial" w:hAnsi="Arial"/>
          <w:sz w:val="20"/>
          <w:szCs w:val="20"/>
          <w:color w:val="auto"/>
          <w:vertAlign w:val="superscript"/>
        </w:rPr>
      </w:pPr>
    </w:p>
    <w:p>
      <w:pPr>
        <w:ind w:left="1580" w:hanging="165"/>
        <w:spacing w:after="0" w:line="197" w:lineRule="auto"/>
        <w:tabs>
          <w:tab w:leader="none" w:pos="158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Natural gas price measured in dollars per million British thermal units (Btu), or MMBtu (rounded to the nearest $0.01)</w:t>
      </w:r>
    </w:p>
    <w:p>
      <w:pPr>
        <w:spacing w:after="0" w:line="378" w:lineRule="exact"/>
        <w:rPr>
          <w:sz w:val="20"/>
          <w:szCs w:val="20"/>
          <w:color w:val="auto"/>
        </w:rPr>
      </w:pPr>
    </w:p>
    <w:p>
      <w:pPr>
        <w:ind w:firstLine="318"/>
        <w:spacing w:after="0" w:line="355" w:lineRule="auto"/>
        <w:rPr>
          <w:sz w:val="20"/>
          <w:szCs w:val="20"/>
          <w:color w:val="auto"/>
        </w:rPr>
      </w:pPr>
      <w:r>
        <w:rPr>
          <w:rFonts w:ascii="Arial" w:cs="Arial" w:eastAsia="Arial" w:hAnsi="Arial"/>
          <w:sz w:val="15"/>
          <w:szCs w:val="15"/>
          <w:color w:val="auto"/>
        </w:rPr>
        <w:t>Rig count is an indicator of the level of spending for the exploration and production of oil and natural gas reserves and the increase year-over-year is due to similar reasons described above. The table below shows historical average rig counts based on the weekly Baker Hughes Company rig count information.</w:t>
      </w:r>
    </w:p>
    <w:p>
      <w:pPr>
        <w:sectPr>
          <w:pgSz w:w="11900" w:h="16838" w:orient="portrait"/>
          <w:cols w:equalWidth="0" w:num="1">
            <w:col w:w="11240"/>
          </w:cols>
          <w:pgMar w:left="320" w:top="472" w:right="339" w:bottom="1440" w:gutter="0" w:footer="0" w:header="0"/>
        </w:sectPr>
      </w:pPr>
    </w:p>
    <w:tbl>
      <w:tblPr>
        <w:tblLayout w:type="fixed"/>
        <w:tblInd w:w="94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27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Three Months Ended</w:t>
            </w:r>
          </w:p>
        </w:tc>
      </w:tr>
      <w:tr>
        <w:trPr>
          <w:trHeight w:val="219"/>
        </w:trPr>
        <w:tc>
          <w:tcPr>
            <w:tcW w:w="4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6/30/2022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6/30/2021</w:t>
            </w:r>
          </w:p>
        </w:tc>
      </w:tr>
      <w:tr>
        <w:trPr>
          <w:trHeight w:val="218"/>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North America</w:t>
            </w:r>
          </w:p>
        </w:tc>
        <w:tc>
          <w:tcPr>
            <w:tcW w:w="16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5"/>
        </w:trPr>
        <w:tc>
          <w:tcPr>
            <w:tcW w:w="42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International</w:t>
            </w:r>
          </w:p>
        </w:tc>
        <w:tc>
          <w:tcPr>
            <w:tcW w:w="16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816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43"/>
        </w:trPr>
        <w:tc>
          <w:tcPr>
            <w:tcW w:w="4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Worldwide</w:t>
            </w:r>
          </w:p>
        </w:tc>
        <w:tc>
          <w:tcPr>
            <w:tcW w:w="16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1,643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14605</wp:posOffset>
            </wp:positionV>
            <wp:extent cx="1631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12"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6/30/2022</w:t>
      </w:r>
      <w:r>
        <w:rPr>
          <w:sz w:val="20"/>
          <w:szCs w:val="20"/>
          <w:color w:val="auto"/>
        </w:rPr>
        <w:tab/>
      </w:r>
      <w:r>
        <w:rPr>
          <w:rFonts w:ascii="Arial" w:cs="Arial" w:eastAsia="Arial" w:hAnsi="Arial"/>
          <w:sz w:val="15"/>
          <w:szCs w:val="15"/>
          <w:b w:val="1"/>
          <w:bCs w:val="1"/>
          <w:color w:val="auto"/>
        </w:rPr>
        <w:t>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36830</wp:posOffset>
            </wp:positionV>
            <wp:extent cx="1631950" cy="151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1950" cy="151130"/>
                    </a:xfrm>
                    <a:prstGeom prst="rect">
                      <a:avLst/>
                    </a:prstGeom>
                    <a:noFill/>
                  </pic:spPr>
                </pic:pic>
              </a:graphicData>
            </a:graphic>
          </wp:anchor>
        </w:drawing>
      </w:r>
    </w:p>
    <w:p>
      <w:pPr>
        <w:spacing w:after="0" w:line="52" w:lineRule="exact"/>
        <w:rPr>
          <w:sz w:val="20"/>
          <w:szCs w:val="20"/>
          <w:color w:val="auto"/>
        </w:rPr>
      </w:pPr>
    </w:p>
    <w:p>
      <w:pPr>
        <w:ind w:left="1680" w:hanging="1282"/>
        <w:spacing w:after="0"/>
        <w:tabs>
          <w:tab w:leader="none" w:pos="1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529</w:t>
      </w:r>
    </w:p>
    <w:p>
      <w:pPr>
        <w:spacing w:after="0" w:line="29" w:lineRule="exact"/>
        <w:rPr>
          <w:rFonts w:ascii="Arial" w:cs="Arial" w:eastAsia="Arial" w:hAnsi="Arial"/>
          <w:sz w:val="17"/>
          <w:szCs w:val="17"/>
          <w:color w:val="auto"/>
        </w:rPr>
      </w:pPr>
    </w:p>
    <w:p>
      <w:pPr>
        <w:ind w:left="1680" w:hanging="1282"/>
        <w:spacing w:after="0"/>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18415</wp:posOffset>
            </wp:positionV>
            <wp:extent cx="1631950"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0" cy="168275"/>
                    </a:xfrm>
                    <a:prstGeom prst="rect">
                      <a:avLst/>
                    </a:prstGeom>
                    <a:noFill/>
                  </pic:spPr>
                </pic:pic>
              </a:graphicData>
            </a:graphic>
          </wp:anchor>
        </w:drawing>
      </w:r>
    </w:p>
    <w:p>
      <w:pPr>
        <w:spacing w:after="0" w:line="23" w:lineRule="exact"/>
        <w:rPr>
          <w:sz w:val="20"/>
          <w:szCs w:val="20"/>
          <w:color w:val="auto"/>
        </w:rPr>
      </w:pPr>
    </w:p>
    <w:p>
      <w:pPr>
        <w:ind w:left="260"/>
        <w:spacing w:after="0"/>
        <w:tabs>
          <w:tab w:leader="none" w:pos="1520" w:val="left"/>
        </w:tabs>
        <w:rPr>
          <w:sz w:val="20"/>
          <w:szCs w:val="20"/>
          <w:color w:val="auto"/>
        </w:rPr>
      </w:pPr>
      <w:r>
        <w:rPr>
          <w:rFonts w:ascii="Arial" w:cs="Arial" w:eastAsia="Arial" w:hAnsi="Arial"/>
          <w:sz w:val="17"/>
          <w:szCs w:val="17"/>
          <w:color w:val="auto"/>
        </w:rPr>
        <w:t>1,648</w:t>
      </w:r>
      <w:r>
        <w:rPr>
          <w:sz w:val="20"/>
          <w:szCs w:val="20"/>
          <w:color w:val="auto"/>
        </w:rPr>
        <w:tab/>
      </w:r>
      <w:r>
        <w:rPr>
          <w:rFonts w:ascii="Arial" w:cs="Arial" w:eastAsia="Arial" w:hAnsi="Arial"/>
          <w:sz w:val="17"/>
          <w:szCs w:val="17"/>
          <w:color w:val="auto"/>
        </w:rPr>
        <w:t>1,245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43815</wp:posOffset>
            </wp:positionV>
            <wp:extent cx="16319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7920" w:space="700"/>
            <w:col w:w="2620"/>
          </w:cols>
          <w:pgMar w:left="320" w:top="472" w:right="339" w:bottom="1440" w:gutter="0" w:footer="0" w:header="0"/>
          <w:type w:val="continuous"/>
        </w:sectPr>
      </w:pP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 Statements of Operations - Operating Income Summary</w:t>
      </w:r>
    </w:p>
    <w:p>
      <w:pPr>
        <w:spacing w:after="0" w:line="25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Revenues of $1.1 billion and $2.0 billion in the three and six months ended June 30, 2022, increased 18% and 15%, compared to the three and six months ended June 30, 2021, respectively. The year-over-year improvement was from an increased demand across all segments.</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Cost of products and services of $756 million and $1.4 billion in the three and six months ended June 30, 2022, increased $79 million, or 12%, and $125 million, or 10%, compared to the three and six months ended June 30, 2021, respectively, primarily reflecting increased overall demand, impacts from supply chain disruptions and inflation. Our cost of products and services as a percentage of revenues was 71% and 72% in the three and six months ended June 30, 2022, an improvement compared to 75% and 76% in the three and six months ended June 30, 2021, reflecting increasing demand on a more efficient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8" w:name="page19"/>
    <w:bookmarkEnd w:id="18"/>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Selling, general, administrative and research and development costs of $218 million and $417 million in the three and six months ended June 30, 2022, increased $9 million, or 4%, and decreased $1 million, compared to the three and six months ended June 30, 2021, primarily reflecting cost initiative efforts in managing the rate of growth on a percentage of revenue growth. These costs as a percentage of revenues were 21% in both the three and six months ended June 30, 2022, an improvement compared to 23% and 24% in the three and six months ended June 30, 2021, also reflecting our focus on simplification.</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Restructuring charges include nil and $20 million in the three and six months ended June 30, 2022, see “Note 4 – Restructuring Charges” for additional information.</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charges (credits) in the three and six months ended June 30, 2022 was a credit of $14 million and a charge of $5 million, respectively. The net credit in the three months ended June 30, 2022 was primarily from the gain on asset sales related to our fulfillment initiatives and collections of previously impaired receivables offset by a net charge in the three months ended March 31, 2022 that includes a $17 million charge related to Ukraine, resulting in a net charge in the six months ended June 30, 2022.</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Operating income of $104 million and $122 million in the three and six months ended June 30, 2022 improved $79 million and $110 million, compared to the three and six months ended June 30, 2021, respectively, due to the above-mentioned improvements.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 Statements of Operations - Non-Operating Expenses Summary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 Net</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Interest expense, net was $48 million and $96 million in the three and six months ended June 30, 2022, respectively, and primarily represented interest on our outstanding long-term debt (see “Note 7 – Borrowings and Other Debt Obligations” to our Condensed Consolidated Financial Statements for additional details). Interest expense, net was $72 million and $142 million in the three and six months ended June 30, 2021, respectively. The year-over-year decrease was due to partial repayments of principal and refinancing initiatives in the second half of 2021 which reduced our interest rates.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Expense, Net</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Other expense, net was $32 million and $48 million in the three and six months ended June 30, 2022, compared to $11 million and $15 million in the three and six months ended June 30, 2021, respectively. Other expense, net is comprised of letter of credit fees, other financing charges, and foreign exchange losses. The year-over-year increase was primarily due to foreign exchange losses, changes in fair value and settlements of certain foreign currency forward contracts. We enter into foreign currency forward contracts to mitigate the risk of future cash flows denominated in a foreign currency. The amounts will fluctuate, depending on exchange rate volatility, the volume of our foreign currency transactions, and our hedge decisions. At June 30, 2022 and December 31, 2021, we had outstanding foreign currency forward contracts with notional amounts aggregating to $43 million and $349 million, respectively.</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generally unable to recognize tax benefit on our losses. Please see “Note 11 – Income Taxes” to our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segment is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jc w:val="center"/>
              <w:ind w:left="672"/>
              <w:spacing w:after="0"/>
              <w:rPr>
                <w:sz w:val="20"/>
                <w:szCs w:val="20"/>
                <w:color w:val="auto"/>
              </w:rPr>
            </w:pPr>
            <w:r>
              <w:rPr>
                <w:rFonts w:ascii="Arial" w:cs="Arial" w:eastAsia="Arial" w:hAnsi="Arial"/>
                <w:sz w:val="18"/>
                <w:szCs w:val="18"/>
                <w:b w:val="1"/>
                <w:bCs w:val="1"/>
                <w:color w:val="auto"/>
                <w:w w:val="89"/>
              </w:rPr>
              <w:t>Favorable</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(Unfavorable)</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32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 or bps</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8"/>
                <w:szCs w:val="18"/>
                <w:i w:val="1"/>
                <w:iCs w:val="1"/>
                <w:color w:val="auto"/>
              </w:rPr>
              <w:t>(Dollars in millions)</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6/30/2022</w:t>
            </w: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6/30/2021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692"/>
              <w:spacing w:after="0"/>
              <w:rPr>
                <w:sz w:val="20"/>
                <w:szCs w:val="20"/>
                <w:color w:val="auto"/>
              </w:rPr>
            </w:pPr>
            <w:r>
              <w:rPr>
                <w:rFonts w:ascii="Arial" w:cs="Arial" w:eastAsia="Arial" w:hAnsi="Arial"/>
                <w:sz w:val="18"/>
                <w:szCs w:val="18"/>
                <w:b w:val="1"/>
                <w:bCs w:val="1"/>
                <w:color w:val="auto"/>
                <w:w w:val="87"/>
              </w:rPr>
              <w:t>Change</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8"/>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Revenues:</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3260" w:type="dxa"/>
            <w:vAlign w:val="bottom"/>
          </w:tcPr>
          <w:p>
            <w:pPr>
              <w:ind w:left="340"/>
              <w:spacing w:after="0"/>
              <w:rPr>
                <w:sz w:val="20"/>
                <w:szCs w:val="20"/>
                <w:color w:val="auto"/>
              </w:rPr>
            </w:pPr>
            <w:r>
              <w:rPr>
                <w:rFonts w:ascii="Arial" w:cs="Arial" w:eastAsia="Arial" w:hAnsi="Arial"/>
                <w:sz w:val="18"/>
                <w:szCs w:val="18"/>
                <w:color w:val="auto"/>
              </w:rPr>
              <w:t>Drilling and Evaluation</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317</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72"/>
              <w:spacing w:after="0"/>
              <w:rPr>
                <w:sz w:val="20"/>
                <w:szCs w:val="20"/>
                <w:color w:val="auto"/>
              </w:rPr>
            </w:pPr>
            <w:r>
              <w:rPr>
                <w:rFonts w:ascii="Arial" w:cs="Arial" w:eastAsia="Arial" w:hAnsi="Arial"/>
                <w:sz w:val="18"/>
                <w:szCs w:val="18"/>
                <w:color w:val="auto"/>
              </w:rPr>
              <w:t>52</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Well Construction and Completions</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383</w:t>
            </w:r>
          </w:p>
        </w:tc>
        <w:tc>
          <w:tcPr>
            <w:tcW w:w="7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5"/>
        </w:trPr>
        <w:tc>
          <w:tcPr>
            <w:tcW w:w="3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Production and Intervention</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345</w:t>
            </w: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67</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Revenues</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1,045</w:t>
            </w:r>
          </w:p>
        </w:tc>
        <w:tc>
          <w:tcPr>
            <w:tcW w:w="7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165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5"/>
        </w:trPr>
        <w:tc>
          <w:tcPr>
            <w:tcW w:w="3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All Other</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19</w:t>
            </w: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(4)</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32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1,064</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903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161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980"/>
          </w:cols>
          <w:pgMar w:left="640" w:top="472" w:right="279" w:bottom="1440" w:gutter="0" w:footer="0" w:header="0"/>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ind w:left="340"/>
              <w:spacing w:after="0"/>
              <w:rPr>
                <w:sz w:val="20"/>
                <w:szCs w:val="20"/>
                <w:color w:val="auto"/>
              </w:rPr>
            </w:pPr>
            <w:r>
              <w:rPr>
                <w:rFonts w:ascii="Arial" w:cs="Arial" w:eastAsia="Arial" w:hAnsi="Arial"/>
                <w:sz w:val="18"/>
                <w:szCs w:val="18"/>
                <w:b w:val="1"/>
                <w:bCs w:val="1"/>
                <w:color w:val="auto"/>
              </w:rPr>
              <w:t>Segment Adjusted EBITDA:</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5"/>
        </w:trPr>
        <w:tc>
          <w:tcPr>
            <w:tcW w:w="3380" w:type="dxa"/>
            <w:vAlign w:val="bottom"/>
          </w:tcPr>
          <w:p>
            <w:pPr>
              <w:ind w:left="340"/>
              <w:spacing w:after="0"/>
              <w:rPr>
                <w:sz w:val="20"/>
                <w:szCs w:val="20"/>
                <w:color w:val="auto"/>
              </w:rPr>
            </w:pPr>
            <w:r>
              <w:rPr>
                <w:rFonts w:ascii="Arial" w:cs="Arial" w:eastAsia="Arial" w:hAnsi="Arial"/>
                <w:sz w:val="18"/>
                <w:szCs w:val="18"/>
                <w:color w:val="auto"/>
              </w:rPr>
              <w:t>Drilling and Evaluation</w:t>
            </w:r>
          </w:p>
        </w:tc>
        <w:tc>
          <w:tcPr>
            <w:tcW w:w="7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69</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r>
      <w:tr>
        <w:trPr>
          <w:trHeight w:val="225"/>
        </w:trPr>
        <w:tc>
          <w:tcPr>
            <w:tcW w:w="3380" w:type="dxa"/>
            <w:vAlign w:val="bottom"/>
          </w:tcPr>
          <w:p>
            <w:pPr>
              <w:ind w:left="340"/>
              <w:spacing w:after="0"/>
              <w:rPr>
                <w:sz w:val="20"/>
                <w:szCs w:val="20"/>
                <w:color w:val="auto"/>
              </w:rPr>
            </w:pPr>
            <w:r>
              <w:rPr>
                <w:rFonts w:ascii="Arial" w:cs="Arial" w:eastAsia="Arial" w:hAnsi="Arial"/>
                <w:sz w:val="18"/>
                <w:szCs w:val="18"/>
                <w:color w:val="auto"/>
              </w:rPr>
              <w:t>Well Construction and Completions</w:t>
            </w:r>
          </w:p>
        </w:tc>
        <w:tc>
          <w:tcPr>
            <w:tcW w:w="7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11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9"/>
                <w:szCs w:val="19"/>
                <w:color w:val="auto"/>
              </w:rPr>
            </w:pPr>
          </w:p>
        </w:tc>
      </w:tr>
      <w:tr>
        <w:trPr>
          <w:trHeight w:val="226"/>
        </w:trPr>
        <w:tc>
          <w:tcPr>
            <w:tcW w:w="33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Production and Intervention</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68</w:t>
            </w:r>
          </w:p>
        </w:tc>
        <w:tc>
          <w:tcPr>
            <w:tcW w:w="1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19"/>
                <w:szCs w:val="19"/>
                <w:color w:val="auto"/>
              </w:rPr>
            </w:pPr>
          </w:p>
        </w:tc>
      </w:tr>
      <w:tr>
        <w:trPr>
          <w:trHeight w:val="218"/>
        </w:trPr>
        <w:tc>
          <w:tcPr>
            <w:tcW w:w="3380" w:type="dxa"/>
            <w:vAlign w:val="bottom"/>
          </w:tcPr>
          <w:p>
            <w:pPr>
              <w:ind w:left="160"/>
              <w:spacing w:after="0"/>
              <w:rPr>
                <w:sz w:val="20"/>
                <w:szCs w:val="20"/>
                <w:color w:val="auto"/>
              </w:rPr>
            </w:pPr>
            <w:r>
              <w:rPr>
                <w:rFonts w:ascii="Arial" w:cs="Arial" w:eastAsia="Arial" w:hAnsi="Arial"/>
                <w:sz w:val="18"/>
                <w:szCs w:val="18"/>
                <w:color w:val="auto"/>
              </w:rPr>
              <w:t>Segment Adjusted EBITDA</w:t>
            </w:r>
          </w:p>
        </w:tc>
        <w:tc>
          <w:tcPr>
            <w:tcW w:w="7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204</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r>
      <w:tr>
        <w:trPr>
          <w:trHeight w:val="490"/>
        </w:trPr>
        <w:tc>
          <w:tcPr>
            <w:tcW w:w="3380" w:type="dxa"/>
            <w:vAlign w:val="bottom"/>
          </w:tcPr>
          <w:p>
            <w:pPr>
              <w:ind w:left="340"/>
              <w:spacing w:after="0"/>
              <w:rPr>
                <w:sz w:val="20"/>
                <w:szCs w:val="20"/>
                <w:color w:val="auto"/>
              </w:rPr>
            </w:pPr>
            <w:r>
              <w:rPr>
                <w:rFonts w:ascii="Arial" w:cs="Arial" w:eastAsia="Arial" w:hAnsi="Arial"/>
                <w:sz w:val="18"/>
                <w:szCs w:val="18"/>
                <w:color w:val="auto"/>
              </w:rPr>
              <w:t>Corporate and Other</w:t>
            </w:r>
          </w:p>
        </w:tc>
        <w:tc>
          <w:tcPr>
            <w:tcW w:w="70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r>
      <w:tr>
        <w:trPr>
          <w:trHeight w:val="225"/>
        </w:trPr>
        <w:tc>
          <w:tcPr>
            <w:tcW w:w="3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(90)</w:t>
            </w:r>
          </w:p>
        </w:tc>
        <w:tc>
          <w:tcPr>
            <w:tcW w:w="112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r>
      <w:tr>
        <w:trPr>
          <w:trHeight w:val="225"/>
        </w:trPr>
        <w:tc>
          <w:tcPr>
            <w:tcW w:w="33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70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r>
      <w:tr>
        <w:trPr>
          <w:trHeight w:val="226"/>
        </w:trPr>
        <w:tc>
          <w:tcPr>
            <w:tcW w:w="33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Adjustments</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19"/>
                <w:szCs w:val="19"/>
                <w:color w:val="auto"/>
              </w:rPr>
            </w:pPr>
          </w:p>
        </w:tc>
      </w:tr>
      <w:tr>
        <w:trPr>
          <w:trHeight w:val="193"/>
        </w:trPr>
        <w:tc>
          <w:tcPr>
            <w:tcW w:w="3380" w:type="dxa"/>
            <w:vAlign w:val="bottom"/>
            <w:tcBorders>
              <w:bottom w:val="single" w:sz="8" w:color="auto"/>
            </w:tcBorders>
          </w:tcPr>
          <w:p>
            <w:pPr>
              <w:ind w:left="440"/>
              <w:spacing w:after="0" w:line="193" w:lineRule="exact"/>
              <w:rPr>
                <w:sz w:val="20"/>
                <w:szCs w:val="20"/>
                <w:color w:val="auto"/>
              </w:rPr>
            </w:pPr>
            <w:r>
              <w:rPr>
                <w:rFonts w:ascii="Arial" w:cs="Arial" w:eastAsia="Arial" w:hAnsi="Arial"/>
                <w:sz w:val="18"/>
                <w:szCs w:val="18"/>
                <w:b w:val="1"/>
                <w:bCs w:val="1"/>
                <w:color w:val="auto"/>
              </w:rPr>
              <w:t>Operating Income</w:t>
            </w:r>
          </w:p>
        </w:tc>
        <w:tc>
          <w:tcPr>
            <w:tcW w:w="700" w:type="dxa"/>
            <w:vAlign w:val="bottom"/>
            <w:tcBorders>
              <w:bottom w:val="single" w:sz="8" w:color="auto"/>
            </w:tcBorders>
          </w:tcPr>
          <w:p>
            <w:pPr>
              <w:jc w:val="right"/>
              <w:ind w:right="312"/>
              <w:spacing w:after="0" w:line="193"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2"/>
              <w:spacing w:after="0" w:line="193" w:lineRule="exact"/>
              <w:rPr>
                <w:sz w:val="20"/>
                <w:szCs w:val="20"/>
                <w:color w:val="auto"/>
              </w:rPr>
            </w:pPr>
            <w:r>
              <w:rPr>
                <w:rFonts w:ascii="Arial" w:cs="Arial" w:eastAsia="Arial" w:hAnsi="Arial"/>
                <w:sz w:val="18"/>
                <w:szCs w:val="18"/>
                <w:b w:val="1"/>
                <w:bCs w:val="1"/>
                <w:color w:val="auto"/>
              </w:rPr>
              <w:t>104</w:t>
            </w:r>
          </w:p>
        </w:tc>
        <w:tc>
          <w:tcPr>
            <w:tcW w:w="1120" w:type="dxa"/>
            <w:vAlign w:val="bottom"/>
            <w:tcBorders>
              <w:bottom w:val="single" w:sz="8" w:color="auto"/>
            </w:tcBorders>
          </w:tcPr>
          <w:p>
            <w:pPr>
              <w:jc w:val="right"/>
              <w:ind w:right="292"/>
              <w:spacing w:after="0" w:line="193"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2"/>
              <w:spacing w:after="0" w:line="193" w:lineRule="exact"/>
              <w:rPr>
                <w:sz w:val="20"/>
                <w:szCs w:val="20"/>
                <w:color w:val="auto"/>
              </w:rPr>
            </w:pPr>
            <w:r>
              <w:rPr>
                <w:rFonts w:ascii="Arial" w:cs="Arial" w:eastAsia="Arial" w:hAnsi="Arial"/>
                <w:sz w:val="18"/>
                <w:szCs w:val="18"/>
                <w:b w:val="1"/>
                <w:bCs w:val="1"/>
                <w:color w:val="auto"/>
              </w:rPr>
              <w:t>25</w:t>
            </w:r>
          </w:p>
        </w:tc>
        <w:tc>
          <w:tcPr>
            <w:tcW w:w="320" w:type="dxa"/>
            <w:vAlign w:val="bottom"/>
            <w:tcBorders>
              <w:bottom w:val="single" w:sz="8" w:color="auto"/>
            </w:tcBorders>
          </w:tcPr>
          <w:p>
            <w:pPr>
              <w:spacing w:after="0"/>
              <w:rPr>
                <w:sz w:val="16"/>
                <w:szCs w:val="16"/>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390"/>
        </w:trPr>
        <w:tc>
          <w:tcPr>
            <w:tcW w:w="3380" w:type="dxa"/>
            <w:vAlign w:val="bottom"/>
          </w:tcPr>
          <w:p>
            <w:pPr>
              <w:ind w:left="340"/>
              <w:spacing w:after="0"/>
              <w:rPr>
                <w:sz w:val="20"/>
                <w:szCs w:val="20"/>
                <w:color w:val="auto"/>
              </w:rPr>
            </w:pPr>
            <w:r>
              <w:rPr>
                <w:rFonts w:ascii="Arial" w:cs="Arial" w:eastAsia="Arial" w:hAnsi="Arial"/>
                <w:sz w:val="18"/>
                <w:szCs w:val="18"/>
                <w:b w:val="1"/>
                <w:bCs w:val="1"/>
                <w:color w:val="auto"/>
                <w:w w:val="97"/>
              </w:rPr>
              <w:t>Segment Adjusted EBITDA Margins:</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5"/>
        </w:trPr>
        <w:tc>
          <w:tcPr>
            <w:tcW w:w="3380" w:type="dxa"/>
            <w:vAlign w:val="bottom"/>
          </w:tcPr>
          <w:p>
            <w:pPr>
              <w:ind w:left="340"/>
              <w:spacing w:after="0"/>
              <w:rPr>
                <w:sz w:val="20"/>
                <w:szCs w:val="20"/>
                <w:color w:val="auto"/>
              </w:rPr>
            </w:pPr>
            <w:r>
              <w:rPr>
                <w:rFonts w:ascii="Arial" w:cs="Arial" w:eastAsia="Arial" w:hAnsi="Arial"/>
                <w:sz w:val="18"/>
                <w:szCs w:val="18"/>
                <w:color w:val="auto"/>
              </w:rPr>
              <w:t>Drilling and Evaluation</w:t>
            </w:r>
          </w:p>
        </w:tc>
        <w:tc>
          <w:tcPr>
            <w:tcW w:w="7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21.8</w:t>
            </w:r>
          </w:p>
        </w:tc>
        <w:tc>
          <w:tcPr>
            <w:tcW w:w="112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17.4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380" w:type="dxa"/>
            <w:vAlign w:val="bottom"/>
          </w:tcPr>
          <w:p>
            <w:pPr>
              <w:ind w:left="340"/>
              <w:spacing w:after="0"/>
              <w:rPr>
                <w:sz w:val="20"/>
                <w:szCs w:val="20"/>
                <w:color w:val="auto"/>
              </w:rPr>
            </w:pPr>
            <w:r>
              <w:rPr>
                <w:rFonts w:ascii="Arial" w:cs="Arial" w:eastAsia="Arial" w:hAnsi="Arial"/>
                <w:sz w:val="18"/>
                <w:szCs w:val="18"/>
                <w:color w:val="auto"/>
              </w:rPr>
              <w:t>Well Construction and Completions</w:t>
            </w:r>
          </w:p>
        </w:tc>
        <w:tc>
          <w:tcPr>
            <w:tcW w:w="7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12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33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Production and Intervention</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19.7</w:t>
            </w:r>
          </w:p>
        </w:tc>
        <w:tc>
          <w:tcPr>
            <w:tcW w:w="11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380" w:type="dxa"/>
            <w:vAlign w:val="bottom"/>
          </w:tcPr>
          <w:p>
            <w:pPr>
              <w:ind w:left="340"/>
              <w:spacing w:after="0"/>
              <w:rPr>
                <w:sz w:val="20"/>
                <w:szCs w:val="20"/>
                <w:color w:val="auto"/>
              </w:rPr>
            </w:pPr>
            <w:r>
              <w:rPr>
                <w:rFonts w:ascii="Arial" w:cs="Arial" w:eastAsia="Arial" w:hAnsi="Arial"/>
                <w:sz w:val="18"/>
                <w:szCs w:val="18"/>
                <w:color w:val="auto"/>
              </w:rPr>
              <w:t>Segment Adjusted EBITDA</w:t>
            </w:r>
          </w:p>
        </w:tc>
        <w:tc>
          <w:tcPr>
            <w:tcW w:w="70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19.5</w:t>
            </w:r>
          </w:p>
        </w:tc>
        <w:tc>
          <w:tcPr>
            <w:tcW w:w="112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-2463800</wp:posOffset>
            </wp:positionV>
            <wp:extent cx="6966585"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-2178050</wp:posOffset>
            </wp:positionV>
            <wp:extent cx="6966585"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-1891665</wp:posOffset>
            </wp:positionV>
            <wp:extent cx="6966585" cy="15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6585"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-1572260</wp:posOffset>
            </wp:positionV>
            <wp:extent cx="6966585"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-1285875</wp:posOffset>
            </wp:positionV>
            <wp:extent cx="6966585"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-1000125</wp:posOffset>
            </wp:positionV>
            <wp:extent cx="6966585" cy="151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6585"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6907530"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-436245</wp:posOffset>
            </wp:positionV>
            <wp:extent cx="6907530"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-150495</wp:posOffset>
            </wp:positionV>
            <wp:extent cx="6907530" cy="15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0753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23</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0" w:type="dxa"/>
            <w:vAlign w:val="bottom"/>
          </w:tcPr>
          <w:p>
            <w:pPr>
              <w:spacing w:after="0"/>
              <w:rPr>
                <w:sz w:val="19"/>
                <w:szCs w:val="19"/>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12</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57</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90"/>
        </w:trPr>
        <w:tc>
          <w:tcPr>
            <w:tcW w:w="8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0" w:type="dxa"/>
            <w:vAlign w:val="bottom"/>
          </w:tcPr>
          <w:p>
            <w:pPr>
              <w:spacing w:after="0"/>
              <w:rPr>
                <w:sz w:val="19"/>
                <w:szCs w:val="19"/>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24</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6</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860" w:type="dxa"/>
            <w:vAlign w:val="bottom"/>
            <w:tcBorders>
              <w:bottom w:val="single" w:sz="8" w:color="auto"/>
            </w:tcBorders>
          </w:tcPr>
          <w:p>
            <w:pPr>
              <w:jc w:val="right"/>
              <w:ind w:right="352"/>
              <w:spacing w:after="0" w:line="193"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432"/>
              <w:spacing w:after="0" w:line="193" w:lineRule="exact"/>
              <w:rPr>
                <w:sz w:val="20"/>
                <w:szCs w:val="20"/>
                <w:color w:val="auto"/>
              </w:rPr>
            </w:pPr>
            <w:r>
              <w:rPr>
                <w:rFonts w:ascii="Arial" w:cs="Arial" w:eastAsia="Arial" w:hAnsi="Arial"/>
                <w:sz w:val="18"/>
                <w:szCs w:val="18"/>
                <w:b w:val="1"/>
                <w:bCs w:val="1"/>
                <w:color w:val="auto"/>
              </w:rPr>
              <w:t>79</w:t>
            </w:r>
          </w:p>
        </w:tc>
        <w:tc>
          <w:tcPr>
            <w:tcW w:w="940" w:type="dxa"/>
            <w:vAlign w:val="bottom"/>
            <w:tcBorders>
              <w:bottom w:val="single" w:sz="8" w:color="auto"/>
            </w:tcBorders>
          </w:tcPr>
          <w:p>
            <w:pPr>
              <w:jc w:val="right"/>
              <w:ind w:right="112"/>
              <w:spacing w:after="0" w:line="193" w:lineRule="exact"/>
              <w:rPr>
                <w:sz w:val="20"/>
                <w:szCs w:val="20"/>
                <w:color w:val="auto"/>
              </w:rPr>
            </w:pPr>
            <w:r>
              <w:rPr>
                <w:rFonts w:ascii="Arial" w:cs="Arial" w:eastAsia="Arial" w:hAnsi="Arial"/>
                <w:sz w:val="18"/>
                <w:szCs w:val="18"/>
                <w:b w:val="1"/>
                <w:bCs w:val="1"/>
                <w:color w:val="auto"/>
              </w:rPr>
              <w:t>316</w:t>
            </w:r>
          </w:p>
        </w:tc>
        <w:tc>
          <w:tcPr>
            <w:tcW w:w="4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615"/>
        </w:trPr>
        <w:tc>
          <w:tcPr>
            <w:tcW w:w="8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440</w:t>
            </w:r>
          </w:p>
        </w:tc>
        <w:tc>
          <w:tcPr>
            <w:tcW w:w="420" w:type="dxa"/>
            <w:vAlign w:val="bottom"/>
          </w:tcPr>
          <w:p>
            <w:pPr>
              <w:jc w:val="right"/>
              <w:spacing w:after="0"/>
              <w:rPr>
                <w:sz w:val="20"/>
                <w:szCs w:val="20"/>
                <w:color w:val="auto"/>
              </w:rPr>
            </w:pPr>
            <w:r>
              <w:rPr>
                <w:rFonts w:ascii="Arial" w:cs="Arial" w:eastAsia="Arial" w:hAnsi="Arial"/>
                <w:sz w:val="18"/>
                <w:szCs w:val="18"/>
                <w:color w:val="auto"/>
              </w:rPr>
              <w:t>bps</w:t>
            </w:r>
          </w:p>
        </w:tc>
      </w:tr>
      <w:tr>
        <w:trPr>
          <w:trHeight w:val="225"/>
        </w:trPr>
        <w:tc>
          <w:tcPr>
            <w:tcW w:w="8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120</w:t>
            </w:r>
          </w:p>
        </w:tc>
        <w:tc>
          <w:tcPr>
            <w:tcW w:w="420" w:type="dxa"/>
            <w:vAlign w:val="bottom"/>
          </w:tcPr>
          <w:p>
            <w:pPr>
              <w:jc w:val="right"/>
              <w:spacing w:after="0"/>
              <w:rPr>
                <w:sz w:val="20"/>
                <w:szCs w:val="20"/>
                <w:color w:val="auto"/>
              </w:rPr>
            </w:pPr>
            <w:r>
              <w:rPr>
                <w:rFonts w:ascii="Arial" w:cs="Arial" w:eastAsia="Arial" w:hAnsi="Arial"/>
                <w:sz w:val="18"/>
                <w:szCs w:val="18"/>
                <w:color w:val="auto"/>
              </w:rPr>
              <w:t>bps</w:t>
            </w:r>
          </w:p>
        </w:tc>
      </w:tr>
      <w:tr>
        <w:trPr>
          <w:trHeight w:val="226"/>
        </w:trPr>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n/m</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320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bps</w:t>
            </w:r>
          </w:p>
        </w:tc>
      </w:tr>
      <w:tr>
        <w:trPr>
          <w:trHeight w:val="218"/>
        </w:trPr>
        <w:tc>
          <w:tcPr>
            <w:tcW w:w="8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280</w:t>
            </w:r>
          </w:p>
        </w:tc>
        <w:tc>
          <w:tcPr>
            <w:tcW w:w="420" w:type="dxa"/>
            <w:vAlign w:val="bottom"/>
          </w:tcPr>
          <w:p>
            <w:pPr>
              <w:jc w:val="right"/>
              <w:spacing w:after="0"/>
              <w:rPr>
                <w:sz w:val="20"/>
                <w:szCs w:val="20"/>
                <w:color w:val="auto"/>
              </w:rPr>
            </w:pPr>
            <w:r>
              <w:rPr>
                <w:rFonts w:ascii="Arial" w:cs="Arial" w:eastAsia="Arial" w:hAnsi="Arial"/>
                <w:sz w:val="18"/>
                <w:szCs w:val="18"/>
                <w:color w:val="auto"/>
              </w:rPr>
              <w:t>bps</w:t>
            </w:r>
          </w:p>
        </w:tc>
      </w:tr>
    </w:tbl>
    <w:p>
      <w:pPr>
        <w:spacing w:after="0" w:line="200" w:lineRule="exact"/>
        <w:rPr>
          <w:sz w:val="20"/>
          <w:szCs w:val="20"/>
          <w:color w:val="auto"/>
        </w:rPr>
      </w:pPr>
    </w:p>
    <w:p>
      <w:pPr>
        <w:sectPr>
          <w:pgSz w:w="11900" w:h="16838" w:orient="portrait"/>
          <w:cols w:equalWidth="0" w:num="2">
            <w:col w:w="7400" w:space="100"/>
            <w:col w:w="3480"/>
          </w:cols>
          <w:pgMar w:left="640" w:top="472"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87630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640" w:top="472" w:right="279" w:bottom="1440" w:gutter="0" w:footer="0" w:header="0"/>
          <w:type w:val="continuous"/>
        </w:sectPr>
      </w:pPr>
    </w:p>
    <w:bookmarkStart w:id="20" w:name="page21"/>
    <w:bookmarkEnd w:id="20"/>
    <w:tbl>
      <w:tblPr>
        <w:tblLayout w:type="fixed"/>
        <w:tblInd w:w="320" w:type="dxa"/>
        <w:tblCellMar>
          <w:top w:w="0" w:type="dxa"/>
          <w:left w:w="0" w:type="dxa"/>
          <w:bottom w:w="0" w:type="dxa"/>
          <w:right w:w="0" w:type="dxa"/>
        </w:tblCellMar>
      </w:tblPr>
      <w:tr>
        <w:trPr>
          <w:trHeight w:val="207"/>
        </w:trPr>
        <w:tc>
          <w:tcPr>
            <w:tcW w:w="3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69"/>
        </w:trPr>
        <w:tc>
          <w:tcPr>
            <w:tcW w:w="126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jc w:val="center"/>
              <w:ind w:left="672"/>
              <w:spacing w:after="0"/>
              <w:rPr>
                <w:sz w:val="20"/>
                <w:szCs w:val="20"/>
                <w:color w:val="auto"/>
              </w:rPr>
            </w:pPr>
            <w:r>
              <w:rPr>
                <w:rFonts w:ascii="Arial" w:cs="Arial" w:eastAsia="Arial" w:hAnsi="Arial"/>
                <w:sz w:val="18"/>
                <w:szCs w:val="18"/>
                <w:b w:val="1"/>
                <w:bCs w:val="1"/>
                <w:color w:val="auto"/>
                <w:w w:val="89"/>
              </w:rPr>
              <w:t>Favorable</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(Unfavorable)</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Six Months Ended</w:t>
            </w:r>
          </w:p>
        </w:tc>
        <w:tc>
          <w:tcPr>
            <w:tcW w:w="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or bps</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2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i w:val="1"/>
                <w:iCs w:val="1"/>
                <w:color w:val="auto"/>
              </w:rPr>
              <w:t>(Dollars in millions)</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6/30/2022</w:t>
            </w:r>
          </w:p>
        </w:tc>
        <w:tc>
          <w:tcPr>
            <w:tcW w:w="1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6/30/2021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692"/>
              <w:spacing w:after="0"/>
              <w:rPr>
                <w:sz w:val="20"/>
                <w:szCs w:val="20"/>
                <w:color w:val="auto"/>
              </w:rPr>
            </w:pPr>
            <w:r>
              <w:rPr>
                <w:rFonts w:ascii="Arial" w:cs="Arial" w:eastAsia="Arial" w:hAnsi="Arial"/>
                <w:sz w:val="18"/>
                <w:szCs w:val="18"/>
                <w:b w:val="1"/>
                <w:bCs w:val="1"/>
                <w:color w:val="auto"/>
                <w:w w:val="87"/>
              </w:rPr>
              <w:t>Change</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8"/>
        </w:trPr>
        <w:tc>
          <w:tcPr>
            <w:tcW w:w="32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Revenues:</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3220" w:type="dxa"/>
            <w:vAlign w:val="bottom"/>
            <w:gridSpan w:val="2"/>
          </w:tcPr>
          <w:p>
            <w:pPr>
              <w:ind w:left="340"/>
              <w:spacing w:after="0"/>
              <w:rPr>
                <w:sz w:val="20"/>
                <w:szCs w:val="20"/>
                <w:color w:val="auto"/>
              </w:rPr>
            </w:pPr>
            <w:r>
              <w:rPr>
                <w:rFonts w:ascii="Arial" w:cs="Arial" w:eastAsia="Arial" w:hAnsi="Arial"/>
                <w:sz w:val="18"/>
                <w:szCs w:val="18"/>
                <w:color w:val="auto"/>
              </w:rPr>
              <w:t>Drilling and Evaluation</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609</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72"/>
              <w:spacing w:after="0"/>
              <w:rPr>
                <w:sz w:val="20"/>
                <w:szCs w:val="20"/>
                <w:color w:val="auto"/>
              </w:rPr>
            </w:pPr>
            <w:r>
              <w:rPr>
                <w:rFonts w:ascii="Arial" w:cs="Arial" w:eastAsia="Arial" w:hAnsi="Arial"/>
                <w:sz w:val="18"/>
                <w:szCs w:val="18"/>
                <w:color w:val="auto"/>
              </w:rPr>
              <w:t>108</w:t>
            </w:r>
          </w:p>
        </w:tc>
        <w:tc>
          <w:tcPr>
            <w:tcW w:w="820" w:type="dxa"/>
            <w:vAlign w:val="bottom"/>
          </w:tcPr>
          <w:p>
            <w:pPr>
              <w:ind w:left="320"/>
              <w:spacing w:after="0"/>
              <w:rPr>
                <w:sz w:val="20"/>
                <w:szCs w:val="20"/>
                <w:color w:val="auto"/>
              </w:rPr>
            </w:pPr>
            <w:r>
              <w:rPr>
                <w:rFonts w:ascii="Arial" w:cs="Arial" w:eastAsia="Arial" w:hAnsi="Arial"/>
                <w:sz w:val="18"/>
                <w:szCs w:val="18"/>
                <w:color w:val="auto"/>
              </w:rPr>
              <w:t>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3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Well Construction and Completions</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67</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5"/>
        </w:trPr>
        <w:tc>
          <w:tcPr>
            <w:tcW w:w="32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Production and Intervention</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94</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3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Segment Revenues</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269</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5"/>
        </w:trPr>
        <w:tc>
          <w:tcPr>
            <w:tcW w:w="32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All Other</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32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1,735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267</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00"/>
          </w:cols>
          <w:pgMar w:left="320" w:top="449" w:right="279" w:bottom="1440" w:gutter="0" w:footer="0" w:header="0"/>
        </w:sectPr>
      </w:pPr>
    </w:p>
    <w:p>
      <w:pPr>
        <w:spacing w:after="0" w:line="60"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3360" w:type="dxa"/>
            <w:vAlign w:val="bottom"/>
          </w:tcPr>
          <w:p>
            <w:pPr>
              <w:ind w:left="340"/>
              <w:spacing w:after="0"/>
              <w:rPr>
                <w:sz w:val="20"/>
                <w:szCs w:val="20"/>
                <w:color w:val="auto"/>
              </w:rPr>
            </w:pPr>
            <w:r>
              <w:rPr>
                <w:rFonts w:ascii="Arial" w:cs="Arial" w:eastAsia="Arial" w:hAnsi="Arial"/>
                <w:sz w:val="18"/>
                <w:szCs w:val="18"/>
                <w:b w:val="1"/>
                <w:bCs w:val="1"/>
                <w:color w:val="auto"/>
              </w:rPr>
              <w:t>Segment Adjusted EBITDA:</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5"/>
        </w:trPr>
        <w:tc>
          <w:tcPr>
            <w:tcW w:w="3360" w:type="dxa"/>
            <w:vAlign w:val="bottom"/>
          </w:tcPr>
          <w:p>
            <w:pPr>
              <w:ind w:left="340"/>
              <w:spacing w:after="0"/>
              <w:rPr>
                <w:sz w:val="20"/>
                <w:szCs w:val="20"/>
                <w:color w:val="auto"/>
              </w:rPr>
            </w:pPr>
            <w:r>
              <w:rPr>
                <w:rFonts w:ascii="Arial" w:cs="Arial" w:eastAsia="Arial" w:hAnsi="Arial"/>
                <w:sz w:val="18"/>
                <w:szCs w:val="18"/>
                <w:color w:val="auto"/>
              </w:rPr>
              <w:t>Drilling and Evaluation</w:t>
            </w:r>
          </w:p>
        </w:tc>
        <w:tc>
          <w:tcPr>
            <w:tcW w:w="6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128</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r>
      <w:tr>
        <w:trPr>
          <w:trHeight w:val="225"/>
        </w:trPr>
        <w:tc>
          <w:tcPr>
            <w:tcW w:w="3360" w:type="dxa"/>
            <w:vAlign w:val="bottom"/>
          </w:tcPr>
          <w:p>
            <w:pPr>
              <w:ind w:left="340"/>
              <w:spacing w:after="0"/>
              <w:rPr>
                <w:sz w:val="20"/>
                <w:szCs w:val="20"/>
                <w:color w:val="auto"/>
              </w:rPr>
            </w:pPr>
            <w:r>
              <w:rPr>
                <w:rFonts w:ascii="Arial" w:cs="Arial" w:eastAsia="Arial" w:hAnsi="Arial"/>
                <w:sz w:val="18"/>
                <w:szCs w:val="18"/>
                <w:color w:val="auto"/>
              </w:rPr>
              <w:t>Well Construction and Completions</w:t>
            </w:r>
          </w:p>
        </w:tc>
        <w:tc>
          <w:tcPr>
            <w:tcW w:w="68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134</w:t>
            </w:r>
          </w:p>
        </w:tc>
        <w:tc>
          <w:tcPr>
            <w:tcW w:w="11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r>
      <w:tr>
        <w:trPr>
          <w:trHeight w:val="226"/>
        </w:trPr>
        <w:tc>
          <w:tcPr>
            <w:tcW w:w="33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Production and Intervention</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107</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19"/>
                <w:szCs w:val="19"/>
                <w:color w:val="auto"/>
              </w:rPr>
            </w:pPr>
          </w:p>
        </w:tc>
      </w:tr>
      <w:tr>
        <w:trPr>
          <w:trHeight w:val="218"/>
        </w:trPr>
        <w:tc>
          <w:tcPr>
            <w:tcW w:w="3360" w:type="dxa"/>
            <w:vAlign w:val="bottom"/>
          </w:tcPr>
          <w:p>
            <w:pPr>
              <w:ind w:left="160"/>
              <w:spacing w:after="0"/>
              <w:rPr>
                <w:sz w:val="20"/>
                <w:szCs w:val="20"/>
                <w:color w:val="auto"/>
              </w:rPr>
            </w:pPr>
            <w:r>
              <w:rPr>
                <w:rFonts w:ascii="Arial" w:cs="Arial" w:eastAsia="Arial" w:hAnsi="Arial"/>
                <w:sz w:val="18"/>
                <w:szCs w:val="18"/>
                <w:color w:val="auto"/>
              </w:rPr>
              <w:t>Segment Adjusted EBITDA</w:t>
            </w:r>
          </w:p>
        </w:tc>
        <w:tc>
          <w:tcPr>
            <w:tcW w:w="6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369</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8"/>
                <w:szCs w:val="18"/>
                <w:color w:val="auto"/>
              </w:rPr>
            </w:pPr>
          </w:p>
        </w:tc>
      </w:tr>
      <w:tr>
        <w:trPr>
          <w:trHeight w:val="490"/>
        </w:trPr>
        <w:tc>
          <w:tcPr>
            <w:tcW w:w="3360" w:type="dxa"/>
            <w:vAlign w:val="bottom"/>
          </w:tcPr>
          <w:p>
            <w:pPr>
              <w:ind w:left="340"/>
              <w:spacing w:after="0"/>
              <w:rPr>
                <w:sz w:val="20"/>
                <w:szCs w:val="20"/>
                <w:color w:val="auto"/>
              </w:rPr>
            </w:pPr>
            <w:r>
              <w:rPr>
                <w:rFonts w:ascii="Arial" w:cs="Arial" w:eastAsia="Arial" w:hAnsi="Arial"/>
                <w:sz w:val="18"/>
                <w:szCs w:val="18"/>
                <w:color w:val="auto"/>
              </w:rPr>
              <w:t>Corporate and Other</w:t>
            </w:r>
          </w:p>
        </w:tc>
        <w:tc>
          <w:tcPr>
            <w:tcW w:w="6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r>
      <w:tr>
        <w:trPr>
          <w:trHeight w:val="225"/>
        </w:trPr>
        <w:tc>
          <w:tcPr>
            <w:tcW w:w="33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(177)</w:t>
            </w:r>
          </w:p>
        </w:tc>
        <w:tc>
          <w:tcPr>
            <w:tcW w:w="11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9"/>
                <w:szCs w:val="19"/>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6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r>
      <w:tr>
        <w:trPr>
          <w:trHeight w:val="226"/>
        </w:trPr>
        <w:tc>
          <w:tcPr>
            <w:tcW w:w="33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Adjustments</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19"/>
                <w:szCs w:val="19"/>
                <w:color w:val="auto"/>
              </w:rPr>
            </w:pPr>
          </w:p>
        </w:tc>
      </w:tr>
      <w:tr>
        <w:trPr>
          <w:trHeight w:val="193"/>
        </w:trPr>
        <w:tc>
          <w:tcPr>
            <w:tcW w:w="3360" w:type="dxa"/>
            <w:vAlign w:val="bottom"/>
            <w:tcBorders>
              <w:bottom w:val="single" w:sz="8" w:color="auto"/>
            </w:tcBorders>
          </w:tcPr>
          <w:p>
            <w:pPr>
              <w:ind w:left="440"/>
              <w:spacing w:after="0" w:line="193" w:lineRule="exact"/>
              <w:rPr>
                <w:sz w:val="20"/>
                <w:szCs w:val="20"/>
                <w:color w:val="auto"/>
              </w:rPr>
            </w:pPr>
            <w:r>
              <w:rPr>
                <w:rFonts w:ascii="Arial" w:cs="Arial" w:eastAsia="Arial" w:hAnsi="Arial"/>
                <w:sz w:val="18"/>
                <w:szCs w:val="18"/>
                <w:b w:val="1"/>
                <w:bCs w:val="1"/>
                <w:color w:val="auto"/>
              </w:rPr>
              <w:t>Operating Income</w:t>
            </w:r>
          </w:p>
        </w:tc>
        <w:tc>
          <w:tcPr>
            <w:tcW w:w="680" w:type="dxa"/>
            <w:vAlign w:val="bottom"/>
            <w:tcBorders>
              <w:bottom w:val="single" w:sz="8" w:color="auto"/>
            </w:tcBorders>
          </w:tcPr>
          <w:p>
            <w:pPr>
              <w:jc w:val="right"/>
              <w:ind w:right="312"/>
              <w:spacing w:after="0" w:line="193"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2"/>
              <w:spacing w:after="0" w:line="193" w:lineRule="exact"/>
              <w:rPr>
                <w:sz w:val="20"/>
                <w:szCs w:val="20"/>
                <w:color w:val="auto"/>
              </w:rPr>
            </w:pPr>
            <w:r>
              <w:rPr>
                <w:rFonts w:ascii="Arial" w:cs="Arial" w:eastAsia="Arial" w:hAnsi="Arial"/>
                <w:sz w:val="18"/>
                <w:szCs w:val="18"/>
                <w:b w:val="1"/>
                <w:bCs w:val="1"/>
                <w:color w:val="auto"/>
              </w:rPr>
              <w:t>122</w:t>
            </w:r>
          </w:p>
        </w:tc>
        <w:tc>
          <w:tcPr>
            <w:tcW w:w="1140" w:type="dxa"/>
            <w:vAlign w:val="bottom"/>
            <w:tcBorders>
              <w:bottom w:val="single" w:sz="8" w:color="auto"/>
            </w:tcBorders>
          </w:tcPr>
          <w:p>
            <w:pPr>
              <w:jc w:val="right"/>
              <w:ind w:right="312"/>
              <w:spacing w:after="0" w:line="193"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2"/>
              <w:spacing w:after="0" w:line="193" w:lineRule="exact"/>
              <w:rPr>
                <w:sz w:val="20"/>
                <w:szCs w:val="20"/>
                <w:color w:val="auto"/>
              </w:rPr>
            </w:pPr>
            <w:r>
              <w:rPr>
                <w:rFonts w:ascii="Arial" w:cs="Arial" w:eastAsia="Arial" w:hAnsi="Arial"/>
                <w:sz w:val="18"/>
                <w:szCs w:val="18"/>
                <w:b w:val="1"/>
                <w:bCs w:val="1"/>
                <w:color w:val="auto"/>
              </w:rPr>
              <w:t>12</w:t>
            </w:r>
          </w:p>
        </w:tc>
        <w:tc>
          <w:tcPr>
            <w:tcW w:w="320" w:type="dxa"/>
            <w:vAlign w:val="bottom"/>
            <w:tcBorders>
              <w:bottom w:val="single" w:sz="8" w:color="auto"/>
            </w:tcBorders>
          </w:tcPr>
          <w:p>
            <w:pPr>
              <w:spacing w:after="0"/>
              <w:rPr>
                <w:sz w:val="16"/>
                <w:szCs w:val="16"/>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350"/>
        </w:trPr>
        <w:tc>
          <w:tcPr>
            <w:tcW w:w="3360" w:type="dxa"/>
            <w:vAlign w:val="bottom"/>
          </w:tcPr>
          <w:p>
            <w:pPr>
              <w:ind w:left="340"/>
              <w:spacing w:after="0"/>
              <w:rPr>
                <w:sz w:val="20"/>
                <w:szCs w:val="20"/>
                <w:color w:val="auto"/>
              </w:rPr>
            </w:pPr>
            <w:r>
              <w:rPr>
                <w:rFonts w:ascii="Arial" w:cs="Arial" w:eastAsia="Arial" w:hAnsi="Arial"/>
                <w:sz w:val="18"/>
                <w:szCs w:val="18"/>
                <w:b w:val="1"/>
                <w:bCs w:val="1"/>
                <w:color w:val="auto"/>
                <w:w w:val="96"/>
              </w:rPr>
              <w:t>Segment Adjusted EBITDA Margins:</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5"/>
        </w:trPr>
        <w:tc>
          <w:tcPr>
            <w:tcW w:w="3360" w:type="dxa"/>
            <w:vAlign w:val="bottom"/>
          </w:tcPr>
          <w:p>
            <w:pPr>
              <w:ind w:left="340"/>
              <w:spacing w:after="0"/>
              <w:rPr>
                <w:sz w:val="20"/>
                <w:szCs w:val="20"/>
                <w:color w:val="auto"/>
              </w:rPr>
            </w:pPr>
            <w:r>
              <w:rPr>
                <w:rFonts w:ascii="Arial" w:cs="Arial" w:eastAsia="Arial" w:hAnsi="Arial"/>
                <w:sz w:val="18"/>
                <w:szCs w:val="18"/>
                <w:color w:val="auto"/>
              </w:rPr>
              <w:t>Drilling and Evaluation</w:t>
            </w:r>
          </w:p>
        </w:tc>
        <w:tc>
          <w:tcPr>
            <w:tcW w:w="68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21.0</w:t>
            </w:r>
          </w:p>
        </w:tc>
        <w:tc>
          <w:tcPr>
            <w:tcW w:w="114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360" w:type="dxa"/>
            <w:vAlign w:val="bottom"/>
          </w:tcPr>
          <w:p>
            <w:pPr>
              <w:ind w:left="340"/>
              <w:spacing w:after="0"/>
              <w:rPr>
                <w:sz w:val="20"/>
                <w:szCs w:val="20"/>
                <w:color w:val="auto"/>
              </w:rPr>
            </w:pPr>
            <w:r>
              <w:rPr>
                <w:rFonts w:ascii="Arial" w:cs="Arial" w:eastAsia="Arial" w:hAnsi="Arial"/>
                <w:sz w:val="18"/>
                <w:szCs w:val="18"/>
                <w:color w:val="auto"/>
              </w:rPr>
              <w:t>Well Construction and Completions</w:t>
            </w:r>
          </w:p>
        </w:tc>
        <w:tc>
          <w:tcPr>
            <w:tcW w:w="68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18.4</w:t>
            </w:r>
          </w:p>
        </w:tc>
        <w:tc>
          <w:tcPr>
            <w:tcW w:w="114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33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Production and Intervention</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17.0</w:t>
            </w:r>
          </w:p>
        </w:tc>
        <w:tc>
          <w:tcPr>
            <w:tcW w:w="11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360" w:type="dxa"/>
            <w:vAlign w:val="bottom"/>
          </w:tcPr>
          <w:p>
            <w:pPr>
              <w:ind w:left="340"/>
              <w:spacing w:after="0"/>
              <w:rPr>
                <w:sz w:val="20"/>
                <w:szCs w:val="20"/>
                <w:color w:val="auto"/>
              </w:rPr>
            </w:pPr>
            <w:r>
              <w:rPr>
                <w:rFonts w:ascii="Arial" w:cs="Arial" w:eastAsia="Arial" w:hAnsi="Arial"/>
                <w:sz w:val="18"/>
                <w:szCs w:val="18"/>
                <w:color w:val="auto"/>
              </w:rPr>
              <w:t>Segment Adjusted EBITDA</w:t>
            </w:r>
          </w:p>
        </w:tc>
        <w:tc>
          <w:tcPr>
            <w:tcW w:w="68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18.8</w:t>
            </w:r>
          </w:p>
        </w:tc>
        <w:tc>
          <w:tcPr>
            <w:tcW w:w="114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-2438400</wp:posOffset>
            </wp:positionV>
            <wp:extent cx="6966585"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-2152650</wp:posOffset>
            </wp:positionV>
            <wp:extent cx="6966585" cy="14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-1866265</wp:posOffset>
            </wp:positionV>
            <wp:extent cx="6966585" cy="151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6585" cy="15113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-1546860</wp:posOffset>
            </wp:positionV>
            <wp:extent cx="6966585"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-1260475</wp:posOffset>
            </wp:positionV>
            <wp:extent cx="6966585" cy="142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-974725</wp:posOffset>
            </wp:positionV>
            <wp:extent cx="6966585" cy="151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6585" cy="1517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-722630</wp:posOffset>
            </wp:positionV>
            <wp:extent cx="6907530" cy="14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-436245</wp:posOffset>
            </wp:positionV>
            <wp:extent cx="690753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-150495</wp:posOffset>
            </wp:positionV>
            <wp:extent cx="6907530" cy="151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0753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2"/>
              <w:spacing w:after="0"/>
              <w:rPr>
                <w:sz w:val="20"/>
                <w:szCs w:val="20"/>
                <w:color w:val="auto"/>
              </w:rPr>
            </w:pPr>
            <w:r>
              <w:rPr>
                <w:rFonts w:ascii="Arial" w:cs="Arial" w:eastAsia="Arial" w:hAnsi="Arial"/>
                <w:sz w:val="18"/>
                <w:szCs w:val="18"/>
                <w:color w:val="auto"/>
              </w:rPr>
              <w:t>53</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color w:val="auto"/>
              </w:rPr>
              <w:t>29</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2"/>
              <w:spacing w:after="0"/>
              <w:rPr>
                <w:sz w:val="20"/>
                <w:szCs w:val="20"/>
                <w:color w:val="auto"/>
              </w:rPr>
            </w:pPr>
            <w:r>
              <w:rPr>
                <w:rFonts w:ascii="Arial" w:cs="Arial" w:eastAsia="Arial" w:hAnsi="Arial"/>
                <w:sz w:val="18"/>
                <w:szCs w:val="18"/>
                <w:color w:val="auto"/>
              </w:rPr>
              <w:t>102</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90"/>
        </w:trPr>
        <w:tc>
          <w:tcPr>
            <w:tcW w:w="820" w:type="dxa"/>
            <w:vAlign w:val="bottom"/>
          </w:tcPr>
          <w:p>
            <w:pPr>
              <w:spacing w:after="0"/>
              <w:rPr>
                <w:sz w:val="24"/>
                <w:szCs w:val="24"/>
                <w:color w:val="auto"/>
              </w:rPr>
            </w:pPr>
          </w:p>
        </w:tc>
        <w:tc>
          <w:tcPr>
            <w:tcW w:w="1160" w:type="dxa"/>
            <w:vAlign w:val="bottom"/>
          </w:tcPr>
          <w:p>
            <w:pPr>
              <w:jc w:val="right"/>
              <w:ind w:right="352"/>
              <w:spacing w:after="0"/>
              <w:rPr>
                <w:sz w:val="20"/>
                <w:szCs w:val="20"/>
                <w:color w:val="auto"/>
              </w:rPr>
            </w:pPr>
            <w:r>
              <w:rPr>
                <w:rFonts w:ascii="Arial" w:cs="Arial" w:eastAsia="Arial" w:hAnsi="Arial"/>
                <w:sz w:val="18"/>
                <w:szCs w:val="18"/>
                <w:color w:val="auto"/>
              </w:rPr>
              <w:t>(3)</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color w:val="auto"/>
              </w:rPr>
              <w:t>48</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0" w:type="dxa"/>
            <w:vAlign w:val="bottom"/>
          </w:tcPr>
          <w:p>
            <w:pPr>
              <w:spacing w:after="0"/>
              <w:rPr>
                <w:sz w:val="19"/>
                <w:szCs w:val="19"/>
                <w:color w:val="auto"/>
              </w:rPr>
            </w:pPr>
          </w:p>
        </w:tc>
        <w:tc>
          <w:tcPr>
            <w:tcW w:w="1160" w:type="dxa"/>
            <w:vAlign w:val="bottom"/>
          </w:tcPr>
          <w:p>
            <w:pPr>
              <w:jc w:val="right"/>
              <w:ind w:right="352"/>
              <w:spacing w:after="0"/>
              <w:rPr>
                <w:sz w:val="20"/>
                <w:szCs w:val="20"/>
                <w:color w:val="auto"/>
              </w:rPr>
            </w:pPr>
            <w:r>
              <w:rPr>
                <w:rFonts w:ascii="Arial" w:cs="Arial" w:eastAsia="Arial" w:hAnsi="Arial"/>
                <w:sz w:val="18"/>
                <w:szCs w:val="18"/>
                <w:color w:val="auto"/>
              </w:rPr>
              <w:t>(4)</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(33)</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820" w:type="dxa"/>
            <w:vAlign w:val="bottom"/>
            <w:tcBorders>
              <w:bottom w:val="single" w:sz="8" w:color="auto"/>
            </w:tcBorders>
          </w:tcPr>
          <w:p>
            <w:pPr>
              <w:jc w:val="right"/>
              <w:ind w:right="312"/>
              <w:spacing w:after="0" w:line="193"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92"/>
              <w:spacing w:after="0" w:line="193" w:lineRule="exact"/>
              <w:rPr>
                <w:sz w:val="20"/>
                <w:szCs w:val="20"/>
                <w:color w:val="auto"/>
              </w:rPr>
            </w:pPr>
            <w:r>
              <w:rPr>
                <w:rFonts w:ascii="Arial" w:cs="Arial" w:eastAsia="Arial" w:hAnsi="Arial"/>
                <w:sz w:val="18"/>
                <w:szCs w:val="18"/>
                <w:b w:val="1"/>
                <w:bCs w:val="1"/>
                <w:color w:val="auto"/>
              </w:rPr>
              <w:t>110</w:t>
            </w:r>
          </w:p>
        </w:tc>
        <w:tc>
          <w:tcPr>
            <w:tcW w:w="980" w:type="dxa"/>
            <w:vAlign w:val="bottom"/>
            <w:tcBorders>
              <w:bottom w:val="single" w:sz="8" w:color="auto"/>
            </w:tcBorders>
          </w:tcPr>
          <w:p>
            <w:pPr>
              <w:jc w:val="right"/>
              <w:ind w:right="112"/>
              <w:spacing w:after="0" w:line="193" w:lineRule="exact"/>
              <w:rPr>
                <w:sz w:val="20"/>
                <w:szCs w:val="20"/>
                <w:color w:val="auto"/>
              </w:rPr>
            </w:pPr>
            <w:r>
              <w:rPr>
                <w:rFonts w:ascii="Arial" w:cs="Arial" w:eastAsia="Arial" w:hAnsi="Arial"/>
                <w:sz w:val="18"/>
                <w:szCs w:val="18"/>
                <w:b w:val="1"/>
                <w:bCs w:val="1"/>
                <w:color w:val="auto"/>
              </w:rPr>
              <w:t>917</w:t>
            </w:r>
          </w:p>
        </w:tc>
        <w:tc>
          <w:tcPr>
            <w:tcW w:w="4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575"/>
        </w:trPr>
        <w:tc>
          <w:tcPr>
            <w:tcW w:w="820" w:type="dxa"/>
            <w:vAlign w:val="bottom"/>
          </w:tcPr>
          <w:p>
            <w:pPr>
              <w:spacing w:after="0"/>
              <w:rPr>
                <w:sz w:val="24"/>
                <w:szCs w:val="24"/>
                <w:color w:val="auto"/>
              </w:rPr>
            </w:pPr>
          </w:p>
        </w:tc>
        <w:tc>
          <w:tcPr>
            <w:tcW w:w="1160" w:type="dxa"/>
            <w:vAlign w:val="bottom"/>
          </w:tcPr>
          <w:p>
            <w:pPr>
              <w:jc w:val="right"/>
              <w:ind w:right="352"/>
              <w:spacing w:after="0"/>
              <w:rPr>
                <w:sz w:val="20"/>
                <w:szCs w:val="20"/>
                <w:color w:val="auto"/>
              </w:rPr>
            </w:pPr>
            <w:r>
              <w:rPr>
                <w:rFonts w:ascii="Arial" w:cs="Arial" w:eastAsia="Arial" w:hAnsi="Arial"/>
                <w:sz w:val="18"/>
                <w:szCs w:val="18"/>
                <w:color w:val="auto"/>
              </w:rPr>
              <w:t>n/m</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600</w:t>
            </w:r>
          </w:p>
        </w:tc>
        <w:tc>
          <w:tcPr>
            <w:tcW w:w="420" w:type="dxa"/>
            <w:vAlign w:val="bottom"/>
          </w:tcPr>
          <w:p>
            <w:pPr>
              <w:jc w:val="right"/>
              <w:spacing w:after="0"/>
              <w:rPr>
                <w:sz w:val="20"/>
                <w:szCs w:val="20"/>
                <w:color w:val="auto"/>
              </w:rPr>
            </w:pPr>
            <w:r>
              <w:rPr>
                <w:rFonts w:ascii="Arial" w:cs="Arial" w:eastAsia="Arial" w:hAnsi="Arial"/>
                <w:sz w:val="18"/>
                <w:szCs w:val="18"/>
                <w:color w:val="auto"/>
              </w:rPr>
              <w:t>bps</w:t>
            </w:r>
          </w:p>
        </w:tc>
      </w:tr>
      <w:tr>
        <w:trPr>
          <w:trHeight w:val="225"/>
        </w:trPr>
        <w:tc>
          <w:tcPr>
            <w:tcW w:w="820" w:type="dxa"/>
            <w:vAlign w:val="bottom"/>
          </w:tcPr>
          <w:p>
            <w:pPr>
              <w:spacing w:after="0"/>
              <w:rPr>
                <w:sz w:val="19"/>
                <w:szCs w:val="19"/>
                <w:color w:val="auto"/>
              </w:rPr>
            </w:pPr>
          </w:p>
        </w:tc>
        <w:tc>
          <w:tcPr>
            <w:tcW w:w="1160" w:type="dxa"/>
            <w:vAlign w:val="bottom"/>
          </w:tcPr>
          <w:p>
            <w:pPr>
              <w:jc w:val="right"/>
              <w:ind w:right="352"/>
              <w:spacing w:after="0"/>
              <w:rPr>
                <w:sz w:val="20"/>
                <w:szCs w:val="20"/>
                <w:color w:val="auto"/>
              </w:rPr>
            </w:pPr>
            <w:r>
              <w:rPr>
                <w:rFonts w:ascii="Arial" w:cs="Arial" w:eastAsia="Arial" w:hAnsi="Arial"/>
                <w:sz w:val="18"/>
                <w:szCs w:val="18"/>
                <w:color w:val="auto"/>
              </w:rPr>
              <w:t>n/m</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250</w:t>
            </w:r>
          </w:p>
        </w:tc>
        <w:tc>
          <w:tcPr>
            <w:tcW w:w="420" w:type="dxa"/>
            <w:vAlign w:val="bottom"/>
          </w:tcPr>
          <w:p>
            <w:pPr>
              <w:jc w:val="right"/>
              <w:spacing w:after="0"/>
              <w:rPr>
                <w:sz w:val="20"/>
                <w:szCs w:val="20"/>
                <w:color w:val="auto"/>
              </w:rPr>
            </w:pPr>
            <w:r>
              <w:rPr>
                <w:rFonts w:ascii="Arial" w:cs="Arial" w:eastAsia="Arial" w:hAnsi="Arial"/>
                <w:sz w:val="18"/>
                <w:szCs w:val="18"/>
                <w:color w:val="auto"/>
              </w:rPr>
              <w:t>bps</w:t>
            </w:r>
          </w:p>
        </w:tc>
      </w:tr>
      <w:tr>
        <w:trPr>
          <w:trHeight w:val="226"/>
        </w:trPr>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n/m</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bps</w:t>
            </w:r>
          </w:p>
        </w:tc>
      </w:tr>
      <w:tr>
        <w:trPr>
          <w:trHeight w:val="218"/>
        </w:trPr>
        <w:tc>
          <w:tcPr>
            <w:tcW w:w="820" w:type="dxa"/>
            <w:vAlign w:val="bottom"/>
          </w:tcPr>
          <w:p>
            <w:pPr>
              <w:spacing w:after="0"/>
              <w:rPr>
                <w:sz w:val="18"/>
                <w:szCs w:val="18"/>
                <w:color w:val="auto"/>
              </w:rPr>
            </w:pPr>
          </w:p>
        </w:tc>
        <w:tc>
          <w:tcPr>
            <w:tcW w:w="1160" w:type="dxa"/>
            <w:vAlign w:val="bottom"/>
          </w:tcPr>
          <w:p>
            <w:pPr>
              <w:jc w:val="right"/>
              <w:ind w:right="352"/>
              <w:spacing w:after="0"/>
              <w:rPr>
                <w:sz w:val="20"/>
                <w:szCs w:val="20"/>
                <w:color w:val="auto"/>
              </w:rPr>
            </w:pPr>
            <w:r>
              <w:rPr>
                <w:rFonts w:ascii="Arial" w:cs="Arial" w:eastAsia="Arial" w:hAnsi="Arial"/>
                <w:sz w:val="18"/>
                <w:szCs w:val="18"/>
                <w:color w:val="auto"/>
              </w:rPr>
              <w:t>n/m</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310</w:t>
            </w:r>
          </w:p>
        </w:tc>
        <w:tc>
          <w:tcPr>
            <w:tcW w:w="420" w:type="dxa"/>
            <w:vAlign w:val="bottom"/>
          </w:tcPr>
          <w:p>
            <w:pPr>
              <w:jc w:val="right"/>
              <w:spacing w:after="0"/>
              <w:rPr>
                <w:sz w:val="20"/>
                <w:szCs w:val="20"/>
                <w:color w:val="auto"/>
              </w:rPr>
            </w:pPr>
            <w:r>
              <w:rPr>
                <w:rFonts w:ascii="Arial" w:cs="Arial" w:eastAsia="Arial" w:hAnsi="Arial"/>
                <w:sz w:val="18"/>
                <w:szCs w:val="18"/>
                <w:color w:val="auto"/>
              </w:rPr>
              <w:t>bps</w:t>
            </w:r>
          </w:p>
        </w:tc>
      </w:tr>
    </w:tbl>
    <w:p>
      <w:pPr>
        <w:spacing w:after="0" w:line="200" w:lineRule="exact"/>
        <w:rPr>
          <w:sz w:val="20"/>
          <w:szCs w:val="20"/>
          <w:color w:val="auto"/>
        </w:rPr>
      </w:pPr>
    </w:p>
    <w:p>
      <w:pPr>
        <w:sectPr>
          <w:pgSz w:w="11900" w:h="16838" w:orient="portrait"/>
          <w:cols w:equalWidth="0" w:num="2">
            <w:col w:w="7720" w:space="100"/>
            <w:col w:w="3480"/>
          </w:cols>
          <w:pgMar w:left="320" w:top="449" w:right="279" w:bottom="1440" w:gutter="0" w:footer="0" w:header="0"/>
          <w:type w:val="continuous"/>
        </w:sect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Segment Revenues</w:t>
      </w:r>
    </w:p>
    <w:p>
      <w:pPr>
        <w:spacing w:after="0" w:line="244" w:lineRule="exact"/>
        <w:rPr>
          <w:sz w:val="20"/>
          <w:szCs w:val="20"/>
          <w:color w:val="auto"/>
        </w:rPr>
      </w:pPr>
    </w:p>
    <w:p>
      <w:pPr>
        <w:jc w:val="both"/>
        <w:ind w:right="80" w:firstLine="318"/>
        <w:spacing w:after="0" w:line="365" w:lineRule="auto"/>
        <w:rPr>
          <w:sz w:val="20"/>
          <w:szCs w:val="20"/>
          <w:color w:val="auto"/>
        </w:rPr>
      </w:pPr>
      <w:r>
        <w:rPr>
          <w:rFonts w:ascii="Arial" w:cs="Arial" w:eastAsia="Arial" w:hAnsi="Arial"/>
          <w:sz w:val="15"/>
          <w:szCs w:val="15"/>
          <w:color w:val="auto"/>
        </w:rPr>
        <w:t>Segment revenues of $1.0 billion and $2.0 billion in the three and six months ended June 30, 2022, increased $165 million, or 19%, and increased $269 million, or 16%, compared to the same periods in 2021, respectively. The year-over-year improvement was from an increased demand in all segments.</w:t>
      </w:r>
    </w:p>
    <w:p>
      <w:pPr>
        <w:spacing w:after="0" w:line="138" w:lineRule="exact"/>
        <w:rPr>
          <w:sz w:val="20"/>
          <w:szCs w:val="20"/>
          <w:color w:val="auto"/>
        </w:rPr>
      </w:pPr>
    </w:p>
    <w:p>
      <w:pPr>
        <w:jc w:val="both"/>
        <w:ind w:right="60" w:firstLine="318"/>
        <w:spacing w:after="0" w:line="252" w:lineRule="auto"/>
        <w:rPr>
          <w:sz w:val="20"/>
          <w:szCs w:val="20"/>
          <w:color w:val="auto"/>
        </w:rPr>
      </w:pPr>
      <w:r>
        <w:rPr>
          <w:rFonts w:ascii="Arial" w:cs="Arial" w:eastAsia="Arial" w:hAnsi="Arial"/>
          <w:sz w:val="18"/>
          <w:szCs w:val="18"/>
          <w:color w:val="auto"/>
        </w:rPr>
        <w:t>DRE revenues of $317 million and $609 million in the three and six months ended June 30, 2022, increased $52 million, or 20%, and increased $108 million, or 22%, compared to the same periods in 2021, respectively. The year-over-year increase was largely due to increased demand for wireline in the three months ended and managed pressure drilling in the six months ended June 30, 2022, compared to the same periods in 2021, respectively, and primarily in Latin America.</w:t>
      </w:r>
    </w:p>
    <w:p>
      <w:pPr>
        <w:spacing w:after="0" w:line="217"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WCC revenues of $383 million and $727 million in the three and six months ended June 30, 2022, increased $46 million, or 14%, and increased $67 million, or 10%, compared to the same periods in 2021, respectively. The year-over-year increase in the three and six months was largely due to increased demand for cementation products, primarily in North America and the Middle East North Africa/Asia regions.</w:t>
      </w:r>
    </w:p>
    <w:p>
      <w:pPr>
        <w:spacing w:after="0" w:line="215" w:lineRule="exact"/>
        <w:rPr>
          <w:sz w:val="20"/>
          <w:szCs w:val="20"/>
          <w:color w:val="auto"/>
        </w:rPr>
      </w:pPr>
    </w:p>
    <w:p>
      <w:pPr>
        <w:jc w:val="both"/>
        <w:ind w:right="60" w:firstLine="318"/>
        <w:spacing w:after="0" w:line="264" w:lineRule="auto"/>
        <w:rPr>
          <w:sz w:val="20"/>
          <w:szCs w:val="20"/>
          <w:color w:val="auto"/>
        </w:rPr>
      </w:pPr>
      <w:r>
        <w:rPr>
          <w:rFonts w:ascii="Arial" w:cs="Arial" w:eastAsia="Arial" w:hAnsi="Arial"/>
          <w:sz w:val="18"/>
          <w:szCs w:val="18"/>
          <w:color w:val="auto"/>
        </w:rPr>
        <w:t>PRI revenues of $345 million and $631 million in the three and six months ended June 30, 2022, increased $67 million, or 24%, and increased $94 million, or 18%, compared to the same periods in 2021, respectively. The year-over-year increase in</w:t>
      </w: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type w:val="continuous"/>
        </w:sectPr>
      </w:pPr>
    </w:p>
    <w:bookmarkStart w:id="21" w:name="page22"/>
    <w:bookmarkEnd w:id="21"/>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three and six months was largely due to increased demand for artificial lift, primarily in North America.</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Segment Adjusted EBITDA and Margins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primary measure of segment profitability is segment adjusted EBITDA. Segment adjusted EBITDA of $204 million and $369 million in the three and six months ended June 30, 2022, increased $57 million, or 39%, and increased $102 million, or 38%, compared to the same periods in 2021, respectively. The year-over-year improvement exceeded the rate of improvement for revenues primarily from an increased demand in all segments with a more profitable mix of service and product sales on a more efficient cost structure, resulting in higher fall-through on margins. Segment adjusted EBITDA margins were 20% and 19% in the three and six months ended June 30, 2022, an improvement compared to 17% and 16% in the three and six months ended June 30, 2021, respectively.</w:t>
      </w:r>
    </w:p>
    <w:p>
      <w:pPr>
        <w:spacing w:after="0" w:line="22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DRE segment adjusted EBITDA of $69 million and $128 million in the three and six months ended June 30, 2022, increased $23 million, or 50%, and increased $53 million or 71%, compared to the same period in 2021, respectively. DRE segment adjusted EBITDA margins were 22% and 21% in the three and six months ended June 30, 2022, an improvement compared to 17% and 15% in the three and six months ended June 30, 2021, respectively. The year-over-year improvements were largely due to higher fall-through on margins for managed pressure drilling and wireline, primarily in Latin America in all periods, and North America in the three months ended and the Middle East North Africa/Asia regions in the six months ended June 30, 2022, compared to the same periods in 2021, respectively.</w:t>
      </w:r>
    </w:p>
    <w:p>
      <w:pPr>
        <w:spacing w:after="0" w:line="22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WCC segment adjusted EBITDA of $67 million and $134 million in the three and six months ended June 30, 2022, increased $12 million, or 22%, and increased $29 million, or 28%, compared to the same period in 2021, respectively. WCC segment adjusted EBITDA margins were 18% in both the three and six months ended June 30, 2022, an improvement compared to 16% in both the three and six months ended June 30, 2021, respectively. The year-over-year improvements were largely due to higher fall-through on margins for cementation and liner hangers, primarily in North America and the Middle East North Africa/Asia regions in all periods.</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PRI segment adjusted EBITDA of $68 million and $107 million in the three and six months ended June 30, 2022, increased $22 million, or 48%, and increased $20 million, or 23%, compared to the same period in 2021, respectively. PRI segment adjusted EBITDA margins were 20% and 17% in the three and six months ended June 30, 2022, an improvement compared to 17% and 16% in the three and six months ended June 30, 2021, respectively. The year-over-year improvements were largely due to higher fall-through on margins for intervention services and drilling tools, primarily in North America and the Middle East North Africa/Asia regions in all periods.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Depreciation and Amortization</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Depreciation and amortization was $90 million and $177 million in the three and six months ended June 30, 2022, compared to $114 million and $225 million in the three and six months ended June 30, 2021, respectively. The year-over-year decrease was primarily from a lower asset base.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Share-based Compensation Expense</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record share-based compensation expense in “Selling, General and Administrative” on the accompanying Condensed Consolidated Statements of Operations. We recognized $6 million and $13 million in the three and six months ended June 30, 2022, compared to $5 million and $9 million in the three and six months ended June 30, 2021, respectively. The year-over-year increase was due to additional awards granted.</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Adjustments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adjustments in the six months ended June 30, 2022 primarily include a net credit from the gain on asset sales related to our fulfillment initiatives and collections of previously impaired receivables in the three months ended June 30, 2022 offset by net charges in the three months ended March 31, 2022 that include a $20 million restructuring charge and a $17 million charge related to Ukraine. See “Note 4 – Restructuring Charges” and earlier description of other charges (credits)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 Outlook</w:t>
      </w:r>
    </w:p>
    <w:p>
      <w:pPr>
        <w:spacing w:after="0" w:line="2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Growth in the energy services industry is highly dependent on many external factors. These include, but are not limited to, the impact from geopolitical conflicts, the global response to the COVID-19 pandemic, our customers’ capital expenditures, ESG driven changes, world economic, political and weather conditions, the price of oil and natural gas, and member-country quota compliance within the Organization of Petroleum Exporting Countries and the expanded alliance (“OPEC+”). We expect continued improvements in our customer activity levels and generally positive macroeconomic conditions that may offset inflationary pressures and potential recessionary concerns, all of which are expected to provide a pathway to a multi-year energy demand expansion. We continue to closely monitor the ongoing supply chain disruptions, escalating costs, logistical constraints and travel restrictions. We believe that industry activity will continue to improve in 2022 and our consolidated revenues are anticipated to grow by mid-teens above 2021 levels.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Russia Ukraine Conflict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February 24, 2022, the broad Russia Ukraine Conflict began and in response, we evaluated, and continue to evaluate, our operations, with the first action being centered on the safety and well-being of our employees in the impacted regions.</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response to the Russia Ukraine Conflict, the United States, the European Union, the United Kingdom and other countries have imposed broad sanctions against Russia, certain Russian individuals and certain activities involving Russia or Russian individuals. Certain restrictions have been placed, that have impacted the movement of assets, primarily activity into Russia. We continue to monitor and intend to remain in full compliance with the evolving sanctions landscape and will continue to fulfill existing contractual obligations within applicable international laws and sanctions.</w:t>
      </w:r>
    </w:p>
    <w:p>
      <w:pPr>
        <w:spacing w:after="0" w:line="2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Revenues in Russia were 6% of our total revenues for both the three and six months ended June 30, 2022. Excluding cash, net assets in Russia were $168 million as of June 30, 2022, and are comprised of $127 million in current assets, $93 million in property, plant and equipment, $5 million in other non-current assets, and $57 million in liabilities.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the Russia Ukraine Conflict and related sanctions persist or are escalated, our business may be negatively impacted, potentially lowering revenues or triggering asset impairments in Russia.</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Opportunities and Challenges</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pressures us to deliver our products and services at competitive rates. In addition, as consolidation of the energy services industry continues due to market conditions, there has been an increased demand for companies to provide specialized products, services and technologies. Weatherford delivers innovative energy services that integrate proven technologies with advanced digitalization to create sustainable offerings for maximized value and return on investment. We believe we are well positioned to satisfy our customers’ needs, but the level of improvement in our businesses in the future will depend heavily on pricing, volume of work, our ability to offer technology solutions to more efficiently extract oil and gas while controlling costs, and our success in penetrating new and existing markets with our newly developed technologies. Over the long-term, we expect the world’s demand for energy to continue to rise and require more advanced technology from the energy service industry. We remain focused on delivering innovative and cost-efficient solutions for customers to assist them in achieving their operational, safety and environmental objectives.</w:t>
      </w:r>
    </w:p>
    <w:p>
      <w:pPr>
        <w:spacing w:after="0" w:line="3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Current market conditions could make it more difficult to obtain our targeted cost reduction benefits and to recruit, motivate and retain employees, including key personnel. Escalations of sanctions and other events around the Russia Ukraine Conflict, including increased exposure to cyber attacks, increasing investor and government focus on ESG factors, supply chain challenges and disruptions, and the cyclicality of the energy industry may negatively impact demand for our products and services. We are following our long-term strategy aimed at achieving sustainable profitability in our businesses, servicing our customers and creating value for our shareholders. Our long-term success will be determined by our ability to manage effectively the cyclicality of our industry, including future potential prolonged industry downturns, our ability to respond to industry demands in periods of over-supply or uncertain oil prices, and ultimately to generate consistent positive cash flow and positive returns on the invested capital.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June 30, 2022, we had total cash and cash equivalents plus restricted cash of $1.1 billion, of which $211 million was restricted cash, compared to $1.1 billion at December 31, 2021, of which $162 million was restricted cash. The following table summarizes cash flows (used in) provided by each type of business activity in the periods presented:</w:t>
      </w:r>
    </w:p>
    <w:p>
      <w:pPr>
        <w:spacing w:after="0" w:line="103" w:lineRule="exact"/>
        <w:rPr>
          <w:sz w:val="20"/>
          <w:szCs w:val="20"/>
          <w:color w:val="auto"/>
        </w:rPr>
      </w:pPr>
    </w:p>
    <w:tbl>
      <w:tblPr>
        <w:tblLayout w:type="fixed"/>
        <w:tblInd w:w="52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8"/>
                <w:szCs w:val="18"/>
                <w:b w:val="1"/>
                <w:bCs w:val="1"/>
                <w:color w:val="auto"/>
              </w:rPr>
              <w:t>Six Months Ended June 30,</w:t>
            </w:r>
          </w:p>
        </w:tc>
        <w:tc>
          <w:tcPr>
            <w:tcW w:w="480" w:type="dxa"/>
            <w:vAlign w:val="bottom"/>
            <w:tcBorders>
              <w:bottom w:val="single" w:sz="8" w:color="auto"/>
            </w:tcBorders>
          </w:tcPr>
          <w:p>
            <w:pPr>
              <w:spacing w:after="0"/>
              <w:rPr>
                <w:sz w:val="19"/>
                <w:szCs w:val="19"/>
                <w:color w:val="auto"/>
              </w:rPr>
            </w:pPr>
          </w:p>
        </w:tc>
      </w:tr>
      <w:tr>
        <w:trPr>
          <w:trHeight w:val="220"/>
        </w:trPr>
        <w:tc>
          <w:tcPr>
            <w:tcW w:w="6620" w:type="dxa"/>
            <w:vAlign w:val="bottom"/>
            <w:tcBorders>
              <w:bottom w:val="single" w:sz="8" w:color="auto"/>
            </w:tcBorders>
          </w:tcPr>
          <w:p>
            <w:pPr>
              <w:ind w:left="340"/>
              <w:spacing w:after="0"/>
              <w:rPr>
                <w:sz w:val="20"/>
                <w:szCs w:val="20"/>
                <w:color w:val="auto"/>
              </w:rPr>
            </w:pPr>
            <w:r>
              <w:rPr>
                <w:rFonts w:ascii="Arial" w:cs="Arial" w:eastAsia="Arial" w:hAnsi="Arial"/>
                <w:sz w:val="18"/>
                <w:szCs w:val="18"/>
                <w:i w:val="1"/>
                <w:iCs w:val="1"/>
                <w:color w:val="auto"/>
              </w:rPr>
              <w:t>(Dollars in millions)</w:t>
            </w:r>
          </w:p>
        </w:tc>
        <w:tc>
          <w:tcPr>
            <w:tcW w:w="1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r>
      <w:tr>
        <w:trPr>
          <w:trHeight w:val="218"/>
        </w:trPr>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148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130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662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480" w:type="dxa"/>
            <w:vAlign w:val="bottom"/>
          </w:tcPr>
          <w:p>
            <w:pPr>
              <w:jc w:val="right"/>
              <w:ind w:right="9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9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Cash used in operating activities was $4 million for the six months ended June 30, 2022. The primary uses of cash in operating activities were working capital investments to support increased customer activity and interest payments. The cash used in operating activities was minimized by accounts receivable collections and by a short-term monetization transaction we entered into during the three months ended June 30, 2022 on certain accounts receivable balances. This transaction resulted in net cash proceeds of $59 million in the three months ended June 30, 2022, which decreased our net cash outflows in the six months ended June 30, 2022.</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provided by operating activities was $120 million for the six months ended June 30, 2021. The primary sources of cash provided by operating activities were driven by collections on our accounts receivables and inventory utilization, partially offset by interest payments.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provided by investing activities was $7 million for the six months ended June 30, 2022. The primary investing activities included proceeds from the sale of assets of $43 million and a release of funds in escrow related to the sale of business for $9 million, which was offset by cash used for capital expenditures of $44 million.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used in investing activities was $2 million for the six months ended June 30, 2021. The primary uses of cash in investing activities were capital expenditures of $24 million for property, plant and equipment, offset by proceeds of $22 million from other asset dispositions.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Cash used in financing activities was $25 million for the six months ended June 30, 2022 and $15 million for the six months ended June 30, 2021. The primary uses of cash in financing activities in all periods presented were for finance lease payments and dividends paid to noncontrolling interests.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sources of available liquidity include cash generated by our operations, cash and cash equivalent balances, and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our recent refinancing transactions, we expect to have sufficient cash from operations and cash on hand to fund our cash requirements (discussed below) and financial obligations, both in the short-term and long-term.</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cash and cash equivalents of $879 million (which excludes restricted cash) remain our primary source of funds to manage any liquidity event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4" w:name="page25"/>
    <w:bookmarkEnd w:id="24"/>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LC Agreement</w:t>
      </w:r>
    </w:p>
    <w:p>
      <w:pPr>
        <w:spacing w:after="0" w:line="1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have a senior secured letter of credit agreement (the “LC Agreement”) in an aggregate amount of $215 million maturing on May 29, 2024, which is used by the Company and certain of its subsidiaries for the issuance of bid and performance letters of credit.</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June 30, 2022, we had approximately $173 million in outstanding letters of credit under the LC Agreement and availability of $42 million.</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credit ratings at June 30, 2022 were maintained since December 31, 2021.</w:t>
      </w:r>
    </w:p>
    <w:p>
      <w:pPr>
        <w:spacing w:after="0" w:line="244" w:lineRule="exact"/>
        <w:rPr>
          <w:sz w:val="20"/>
          <w:szCs w:val="20"/>
          <w:color w:val="auto"/>
        </w:rPr>
      </w:pPr>
    </w:p>
    <w:p>
      <w:pPr>
        <w:ind w:left="640" w:hanging="316"/>
        <w:spacing w:after="0" w:line="25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Moody’s Investors Service corporate family rating is at B2, our senior unsecured notes rating is at B3, and our senior secured notes and LC Agreement ratings are at Ba3. The outlook is stable.</w:t>
      </w: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Standard and Poor’s corporate family and senior unsecured notes ratings are at B-, and our senior secured notes and LC Agreement ratings are B+. The outlook is stable.</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cash requirements will continue to include payments for capital expenditures, payments for short-term working capital needs, interest payments on our long-term debt, repayment on finance leases, operating costs associated with our business and restructuring payments. In 2021, operating cash flow benefited from the monetization of working capital accumulated in 2020. As business activity rises, we expect to continue to utilize cash on capital assets and working capital growth. Our cash requirements may also include awards under our employee incentive programs and other amounts to settle litigation related matters.</w:t>
      </w:r>
    </w:p>
    <w:p>
      <w:pPr>
        <w:spacing w:after="0" w:line="22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At June 30, 2022, we had outstanding debt of $300 million in aggregate principal amount for our Exit Notes due 2024, $500 million in aggregate principal amount for our 2028 Senior Secured Notes and $1.6 billion in aggregate principal amount of the 2030 Senior Notes. On July 11, 2022, we issued a notice of election to redeem $50 million of our Exit Notes on August 10, 2022. Please see “Note 7 – Borrowings and Other Debt Obligations” for additional details.</w:t>
      </w:r>
    </w:p>
    <w:p>
      <w:pPr>
        <w:spacing w:after="0" w:line="16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capital spending for 2022 is currently projected to be between $120 million to $140 million. Capital expenditures are expected to be used primarily to support the ongoing activities and commitments in our core business. We expect to make $213 million in interest payments in 2022 and approximately $198 million in interest payments annually until the maturity of our long-term debt (excluding finance leases). Our payments on operating leases and operating purchase obligations in 2022 are expected to be approximately $74 million and $177 million, respectively.</w:t>
      </w:r>
    </w:p>
    <w:p>
      <w:pPr>
        <w:spacing w:after="0" w:line="20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Cash and cash equivalents plus restricted cash are held by subsidiaries outside of Ireland. At June 30, 2022 we had approximately $160 million of our cash and cash equivalents that cannot be immediately repatriated from various countries due to country central bank controls or other regulations. Based on the nature of our structure, other than the restrictions noted above, we foresee we will be able to redeploy cash with minimal to no incremental tax.</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Receivables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may experience delayed customer payments and payment defaults due to, among other reasons, reductions in our customers’ cash flow from operations, our customers’ inability to access credit markets, as well as unsettled political conditions.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 Factoring and Monetization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for cash proceeds net of discount and hold-back. The programs we factor under are uncommitted and thus we cannot assure they will be available as a source of liquidity. Our factoring transactions were recognized as sales, and the proceeds are included as operating cash flows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and six months ended June 30, 2022, we sold accounts receivable balances of $9 million and $26 million, and received cash proceeds of $8 million and $23 million, respectively. During the three and six months ended June 30, 2021, we sold accounts receivable balances of $34 million and $40 million, and received cash proceeds of $29 million and $34 million, respectively.</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during the three months ended June 30, 2022, we entered into a short-term monetization transaction on accounts receivable balances of $77 million. We received net cash proceeds of $59 million in the three months ended June 30, 2022 and $16 million in early July. The proceeds are included as operating cash flows in our Condensed Consolidated Statements of Cash Flows.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Weatherford International plc,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Exit Notes, 2028 Senior Secured Notes and 2030 Senior Notes were issued by Weatherford Bermuda and guaranteed by Weatherford International plc and Weatherford Delaware and other subsidiary guarantors party thereto. Please see “Note 7 – Borrowings and Other Debt Obligations” for additional details.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Letters of Credit and Surety Bonds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June 30, 2022, we had $378 million of letters of credit outstanding, consisting of the $173 million under the LC Agreement and another $205 million under various uncommitted bi-lateral facilities (of which there was $205 million in cash collateral held and recorded in “Restricted Cash” on the Condensed Consolidated Balance Sheets). Our letters of credit under various uncommitted bi-lateral facilities increased “Restricted Cash” since December 31, 2021 due to a requirement from a new multi-year contract.</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utilize surety bonds as part of our customary business practice in Latin America. As of June 30, 2022, we had surety bonds outstanding of $299 million. Any of our outstanding letters of credit or surety bonds could be called by the beneficiaries should we breach certain contractual or performance obligations. If the beneficiaries were to call the letters of credit under our LC Agreement or surety bonds, our available liquidity would be reduced by the amount called.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2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the filing of this report,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spacing w:after="0" w:line="183" w:lineRule="exact"/>
        <w:rPr>
          <w:sz w:val="20"/>
          <w:szCs w:val="20"/>
          <w:color w:val="auto"/>
        </w:rPr>
      </w:pPr>
    </w:p>
    <w:p>
      <w:pPr>
        <w:ind w:left="640" w:right="140" w:hanging="316"/>
        <w:spacing w:after="0" w:line="25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global economic repercussions related to U.S. and global inflationary pressures and potential recessionary concerns;</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16"/>
        <w:spacing w:after="0" w:line="25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and sanctions, including but not limited to those related to the Russia Ukraine Conflict, and environmental and tax and accounting laws, rules and regulations;</w:t>
      </w:r>
    </w:p>
    <w:p>
      <w:pPr>
        <w:jc w:val="both"/>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and the administration of, treaties, laws, and regulations, including in response to issues related to the Russia Ukraine Conflict and the potential for such issues to exacerbate other risks we face, including those related to the other risks and uncertainties listed or referenced in this Forward-Looking Statements section and in the Risk Factors section below;</w:t>
      </w:r>
    </w:p>
    <w:p>
      <w:pPr>
        <w:spacing w:after="0" w:line="2"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cybersecurity issues, as we may experience a higher rate of cybersecurity attacks, intrusions or incidents in the current environment of remote connectivity, as well as increased geopolitical conflicts and tensions;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and respond to, climate change, ESG and other “sustainability” initiatives and future legislative and regulatory measures both globally and in the specific geographic regions in which we and our customers operate;</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and timely address the need to conduct our operations and provision of services to our customers more sustainably and with a lower carbon footprint;</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the COVID-19 pandemic, their impact on the global economy and the business of our company, customers, suppliers and other partners;</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spread and potential for a resurgence of the COVID-19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5" w:lineRule="exact"/>
        <w:rPr>
          <w:rFonts w:ascii="Arial" w:cs="Arial" w:eastAsia="Arial" w:hAnsi="Arial"/>
          <w:sz w:val="18"/>
          <w:szCs w:val="18"/>
          <w:color w:val="auto"/>
        </w:rPr>
      </w:pPr>
    </w:p>
    <w:p>
      <w:pPr>
        <w:jc w:val="both"/>
        <w:ind w:left="640" w:hanging="316"/>
        <w:spacing w:after="0" w:line="294"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to capital markets on terms that are commercially acceptable to the Company;</w:t>
      </w:r>
    </w:p>
    <w:p>
      <w:pPr>
        <w:spacing w:after="0" w:line="5"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2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than the change in fair value of our debt as discussed in “Note 7 – Borrowings and Other Debt Obligations” in the Notes to Condensed Consolidated Financial Statements, our exposure to market risk has not changed materially since December 31,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7" w:name="page28"/>
    <w:bookmarkEnd w:id="27"/>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Evaluation of Disclosure Controls and Procedures. </w:t>
      </w:r>
      <w:r>
        <w:rPr>
          <w:rFonts w:ascii="Arial" w:cs="Arial" w:eastAsia="Arial" w:hAnsi="Arial"/>
          <w:sz w:val="15"/>
          <w:szCs w:val="15"/>
          <w:color w:val="auto"/>
        </w:rPr>
        <w:t>Disclosure controls and procedures (as defined in Rules 13a-15(e) and 15d-15(e) under the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management, under the supervision and with the participation of our CEO and CFO, evaluated the effectiveness of the design and operation of our disclosure controls and procedures at June 30, 2022. Based on that evaluation, our CEO and CFO concluded that our disclosure controls and procedures were effective as of June 30, 2022.</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and six months ended June 30, 2022 that has materially affected, or is reasonably likely to materially affect, our internal control over financial reporting.</w:t>
      </w: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 – Other Information</w:t>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8 – Disputes, Litigation and Legal Contingencies” in our Notes to Condensed Consolidated Financial Statements for details regarding our ongoing disputes and litigation.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2021 Annual Report, Part I, under the heading “Item 1A. Risk Factors” and our Form 10-Q for the three months ended March 31, 2022, as well as other information included and incorporated by reference in this report. As of June 30, 2022, there have been no material changes in our assessment of our risk factors from the aforementioned.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June 2022, we issued an aggregate of 3 ordinary shares upon the exercise of outstanding warrants, resulting in cash proceeds to the Company of approximately $300. The ordinary shares were issued pursuant to an exemption from registration under Section 4(a)(2) and Regulation D of the Securities Act of 1933.</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4. Mine Safety Disclosures.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5. Other Information.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1">
              <w:r>
                <w:rPr>
                  <w:rFonts w:ascii="Arial" w:cs="Arial" w:eastAsia="Arial" w:hAnsi="Arial"/>
                  <w:sz w:val="18"/>
                  <w:szCs w:val="18"/>
                  <w:color w:val="0000FF"/>
                  <w:w w:val="87"/>
                </w:rPr>
                <w:t>Table of Contents</w:t>
              </w:r>
            </w:hyperlink>
          </w:p>
        </w:tc>
        <w:tc>
          <w:tcPr>
            <w:tcW w:w="5180" w:type="dxa"/>
            <w:vAlign w:val="bottom"/>
            <w:gridSpan w:val="5"/>
          </w:tcPr>
          <w:p>
            <w:pPr>
              <w:spacing w:after="0"/>
              <w:rPr>
                <w:sz w:val="17"/>
                <w:szCs w:val="17"/>
                <w:color w:val="auto"/>
              </w:rPr>
            </w:pPr>
          </w:p>
        </w:tc>
        <w:tc>
          <w:tcPr>
            <w:tcW w:w="2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0"/>
        </w:trPr>
        <w:tc>
          <w:tcPr>
            <w:tcW w:w="320" w:type="dxa"/>
            <w:vAlign w:val="bottom"/>
          </w:tcPr>
          <w:p>
            <w:pPr>
              <w:spacing w:after="0"/>
              <w:rPr>
                <w:sz w:val="24"/>
                <w:szCs w:val="24"/>
                <w:color w:val="auto"/>
              </w:rPr>
            </w:pPr>
          </w:p>
        </w:tc>
        <w:tc>
          <w:tcPr>
            <w:tcW w:w="644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2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8820" w:type="dxa"/>
            <w:vAlign w:val="bottom"/>
            <w:gridSpan w:val="9"/>
          </w:tcPr>
          <w:p>
            <w:pPr>
              <w:spacing w:after="0"/>
              <w:rPr>
                <w:sz w:val="20"/>
                <w:szCs w:val="20"/>
                <w:color w:val="auto"/>
              </w:rPr>
            </w:pPr>
            <w:r>
              <w:rPr>
                <w:rFonts w:ascii="Arial" w:cs="Arial" w:eastAsia="Arial" w:hAnsi="Arial"/>
                <w:sz w:val="18"/>
                <w:szCs w:val="18"/>
                <w:color w:val="auto"/>
              </w:rPr>
              <w:t>All exhibits designated with a dagger (†) are filed herewith or double dagger (††) are furnished herewith.</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7"/>
              </w:rPr>
              <w:t>Exhibit Number</w:t>
            </w:r>
          </w:p>
        </w:tc>
        <w:tc>
          <w:tcPr>
            <w:tcW w:w="540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Description</w:t>
            </w:r>
          </w:p>
        </w:tc>
        <w:tc>
          <w:tcPr>
            <w:tcW w:w="23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Original Filed Exhibit</w:t>
            </w:r>
          </w:p>
        </w:tc>
        <w:tc>
          <w:tcPr>
            <w:tcW w:w="21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File Number</w:t>
            </w:r>
          </w:p>
        </w:tc>
        <w:tc>
          <w:tcPr>
            <w:tcW w:w="0" w:type="dxa"/>
            <w:vAlign w:val="bottom"/>
          </w:tcPr>
          <w:p>
            <w:pPr>
              <w:spacing w:after="0"/>
              <w:rPr>
                <w:sz w:val="1"/>
                <w:szCs w:val="1"/>
                <w:color w:val="auto"/>
              </w:rPr>
            </w:pPr>
          </w:p>
        </w:tc>
      </w:tr>
      <w:tr>
        <w:trPr>
          <w:trHeight w:val="179"/>
        </w:trPr>
        <w:tc>
          <w:tcPr>
            <w:tcW w:w="1360" w:type="dxa"/>
            <w:vAlign w:val="bottom"/>
            <w:tcBorders>
              <w:bottom w:val="single" w:sz="8" w:color="CCEEFF"/>
            </w:tcBorders>
            <w:gridSpan w:val="2"/>
            <w:shd w:val="clear" w:color="auto" w:fill="CCEEFF"/>
          </w:tcPr>
          <w:p>
            <w:pPr>
              <w:ind w:left="20"/>
              <w:spacing w:after="0" w:line="179"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5"/>
                <w:szCs w:val="15"/>
                <w:color w:val="auto"/>
              </w:rPr>
            </w:pPr>
          </w:p>
        </w:tc>
        <w:tc>
          <w:tcPr>
            <w:tcW w:w="4740" w:type="dxa"/>
            <w:vAlign w:val="bottom"/>
            <w:tcBorders>
              <w:bottom w:val="single" w:sz="8" w:color="0000FF"/>
            </w:tcBorders>
            <w:gridSpan w:val="4"/>
            <w:shd w:val="clear" w:color="auto" w:fill="CCEEFF"/>
          </w:tcPr>
          <w:p>
            <w:pPr>
              <w:spacing w:after="0" w:line="179" w:lineRule="exact"/>
              <w:rPr>
                <w:rFonts w:ascii="Arial" w:cs="Arial" w:eastAsia="Arial" w:hAnsi="Arial"/>
                <w:sz w:val="18"/>
                <w:szCs w:val="18"/>
                <w:color w:val="0000FF"/>
                <w:w w:val="91"/>
              </w:rPr>
            </w:pPr>
            <w:hyperlink w:anchor="page31">
              <w:r>
                <w:rPr>
                  <w:rFonts w:ascii="Arial" w:cs="Arial" w:eastAsia="Arial" w:hAnsi="Arial"/>
                  <w:sz w:val="18"/>
                  <w:szCs w:val="18"/>
                  <w:color w:val="0000FF"/>
                  <w:w w:val="91"/>
                </w:rPr>
                <w:t>Certification of Chief Executive Officer pursuant to Section 302 of</w:t>
              </w:r>
            </w:hyperlink>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98"/>
        </w:trPr>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5300" w:type="dxa"/>
            <w:vAlign w:val="bottom"/>
            <w:gridSpan w:val="6"/>
            <w:vMerge w:val="restart"/>
            <w:shd w:val="clear" w:color="auto" w:fill="CCEEFF"/>
          </w:tcPr>
          <w:p>
            <w:pPr>
              <w:spacing w:after="0" w:line="152" w:lineRule="exact"/>
              <w:rPr>
                <w:rFonts w:ascii="Arial" w:cs="Arial" w:eastAsia="Arial" w:hAnsi="Arial"/>
                <w:sz w:val="17"/>
                <w:szCs w:val="17"/>
                <w:color w:val="0000FF"/>
              </w:rPr>
            </w:pPr>
            <w:hyperlink w:anchor="page31">
              <w:r>
                <w:rPr>
                  <w:rFonts w:ascii="Arial" w:cs="Arial" w:eastAsia="Arial" w:hAnsi="Arial"/>
                  <w:sz w:val="17"/>
                  <w:szCs w:val="17"/>
                  <w:color w:val="0000FF"/>
                </w:rPr>
                <w:t>the Sarbanes-Oxley Act of 2002.</w:t>
              </w:r>
            </w:hyperlink>
          </w:p>
        </w:tc>
        <w:tc>
          <w:tcPr>
            <w:tcW w:w="238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300" w:type="dxa"/>
            <w:vAlign w:val="bottom"/>
            <w:gridSpan w:val="6"/>
            <w:vMerge w:val="continue"/>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9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c>
          <w:tcPr>
            <w:tcW w:w="5300" w:type="dxa"/>
            <w:vAlign w:val="bottom"/>
            <w:gridSpan w:val="6"/>
          </w:tcPr>
          <w:p>
            <w:pPr>
              <w:spacing w:after="0" w:line="186" w:lineRule="exact"/>
              <w:rPr>
                <w:rFonts w:ascii="Arial" w:cs="Arial" w:eastAsia="Arial" w:hAnsi="Arial"/>
                <w:sz w:val="18"/>
                <w:szCs w:val="18"/>
                <w:color w:val="0000FF"/>
                <w:w w:val="97"/>
              </w:rPr>
            </w:pPr>
            <w:hyperlink w:anchor="page32">
              <w:r>
                <w:rPr>
                  <w:rFonts w:ascii="Arial" w:cs="Arial" w:eastAsia="Arial" w:hAnsi="Arial"/>
                  <w:sz w:val="18"/>
                  <w:szCs w:val="18"/>
                  <w:color w:val="0000FF"/>
                  <w:w w:val="97"/>
                </w:rPr>
                <w:t>Certification of Chief Financial Officer pursuant to Section 302 of the</w:t>
              </w:r>
            </w:hyperlink>
          </w:p>
        </w:tc>
        <w:tc>
          <w:tcPr>
            <w:tcW w:w="2380" w:type="dxa"/>
            <w:vAlign w:val="bottom"/>
          </w:tcPr>
          <w:p>
            <w:pPr>
              <w:spacing w:after="0"/>
              <w:rPr>
                <w:sz w:val="16"/>
                <w:szCs w:val="16"/>
                <w:color w:val="auto"/>
              </w:rPr>
            </w:pPr>
          </w:p>
        </w:tc>
        <w:tc>
          <w:tcPr>
            <w:tcW w:w="2100" w:type="dxa"/>
            <w:vAlign w:val="bottom"/>
            <w:vMerge w:val="restart"/>
          </w:tcPr>
          <w:p>
            <w:pPr>
              <w:ind w:left="3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98"/>
        </w:trPr>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4940" w:type="dxa"/>
            <w:vAlign w:val="bottom"/>
            <w:tcBorders>
              <w:top w:val="single" w:sz="8" w:color="0000FF"/>
            </w:tcBorders>
            <w:gridSpan w:val="5"/>
            <w:vMerge w:val="restart"/>
          </w:tcPr>
          <w:p>
            <w:pPr>
              <w:spacing w:after="0" w:line="152" w:lineRule="exact"/>
              <w:rPr>
                <w:rFonts w:ascii="Arial" w:cs="Arial" w:eastAsia="Arial" w:hAnsi="Arial"/>
                <w:sz w:val="17"/>
                <w:szCs w:val="17"/>
                <w:color w:val="0000FF"/>
              </w:rPr>
            </w:pPr>
            <w:hyperlink w:anchor="page32">
              <w:r>
                <w:rPr>
                  <w:rFonts w:ascii="Arial" w:cs="Arial" w:eastAsia="Arial" w:hAnsi="Arial"/>
                  <w:sz w:val="17"/>
                  <w:szCs w:val="17"/>
                  <w:color w:val="0000FF"/>
                </w:rPr>
                <w:t>Sarbanes-Oxley Act of 2002.</w:t>
              </w:r>
            </w:hyperlink>
          </w:p>
        </w:tc>
        <w:tc>
          <w:tcPr>
            <w:tcW w:w="36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940" w:type="dxa"/>
            <w:vAlign w:val="bottom"/>
            <w:gridSpan w:val="5"/>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tcBorders>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16"/>
                <w:szCs w:val="16"/>
                <w:color w:val="auto"/>
              </w:rPr>
            </w:pPr>
          </w:p>
        </w:tc>
        <w:tc>
          <w:tcPr>
            <w:tcW w:w="4740" w:type="dxa"/>
            <w:vAlign w:val="bottom"/>
            <w:tcBorders>
              <w:bottom w:val="single" w:sz="8" w:color="0000FF"/>
            </w:tcBorders>
            <w:gridSpan w:val="4"/>
            <w:shd w:val="clear" w:color="auto" w:fill="CCEEFF"/>
          </w:tcPr>
          <w:p>
            <w:pPr>
              <w:spacing w:after="0" w:line="195" w:lineRule="exact"/>
              <w:rPr>
                <w:rFonts w:ascii="Arial" w:cs="Arial" w:eastAsia="Arial" w:hAnsi="Arial"/>
                <w:sz w:val="18"/>
                <w:szCs w:val="18"/>
                <w:color w:val="0000FF"/>
                <w:w w:val="91"/>
              </w:rPr>
            </w:pPr>
            <w:hyperlink w:anchor="page33">
              <w:r>
                <w:rPr>
                  <w:rFonts w:ascii="Arial" w:cs="Arial" w:eastAsia="Arial" w:hAnsi="Arial"/>
                  <w:sz w:val="18"/>
                  <w:szCs w:val="18"/>
                  <w:color w:val="0000FF"/>
                  <w:w w:val="91"/>
                </w:rPr>
                <w:t>Certification of Chief Executive Officer pursuant to Section 906 of</w:t>
              </w:r>
            </w:hyperlink>
          </w:p>
        </w:tc>
        <w:tc>
          <w:tcPr>
            <w:tcW w:w="560" w:type="dxa"/>
            <w:vAlign w:val="bottom"/>
            <w:tcBorders>
              <w:bottom w:val="single" w:sz="8" w:color="CCEEFF"/>
            </w:tcBorders>
            <w:gridSpan w:val="2"/>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98"/>
        </w:trPr>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5300" w:type="dxa"/>
            <w:vAlign w:val="bottom"/>
            <w:gridSpan w:val="6"/>
            <w:vMerge w:val="restart"/>
            <w:shd w:val="clear" w:color="auto" w:fill="CCEEFF"/>
          </w:tcPr>
          <w:p>
            <w:pPr>
              <w:spacing w:after="0" w:line="152" w:lineRule="exact"/>
              <w:rPr>
                <w:rFonts w:ascii="Arial" w:cs="Arial" w:eastAsia="Arial" w:hAnsi="Arial"/>
                <w:sz w:val="17"/>
                <w:szCs w:val="17"/>
                <w:color w:val="0000FF"/>
              </w:rPr>
            </w:pPr>
            <w:hyperlink w:anchor="page33">
              <w:r>
                <w:rPr>
                  <w:rFonts w:ascii="Arial" w:cs="Arial" w:eastAsia="Arial" w:hAnsi="Arial"/>
                  <w:sz w:val="17"/>
                  <w:szCs w:val="17"/>
                  <w:color w:val="0000FF"/>
                </w:rPr>
                <w:t>the Sarbanes-Oxley Act of 2002.</w:t>
              </w:r>
            </w:hyperlink>
          </w:p>
        </w:tc>
        <w:tc>
          <w:tcPr>
            <w:tcW w:w="238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300" w:type="dxa"/>
            <w:vAlign w:val="bottom"/>
            <w:gridSpan w:val="6"/>
            <w:vMerge w:val="continue"/>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9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6"/>
                <w:szCs w:val="16"/>
                <w:color w:val="auto"/>
              </w:rPr>
            </w:pPr>
          </w:p>
        </w:tc>
        <w:tc>
          <w:tcPr>
            <w:tcW w:w="5300" w:type="dxa"/>
            <w:vAlign w:val="bottom"/>
            <w:gridSpan w:val="6"/>
          </w:tcPr>
          <w:p>
            <w:pPr>
              <w:spacing w:after="0" w:line="186" w:lineRule="exact"/>
              <w:rPr>
                <w:rFonts w:ascii="Arial" w:cs="Arial" w:eastAsia="Arial" w:hAnsi="Arial"/>
                <w:sz w:val="18"/>
                <w:szCs w:val="18"/>
                <w:color w:val="0000FF"/>
                <w:w w:val="97"/>
              </w:rPr>
            </w:pPr>
            <w:hyperlink w:anchor="page34">
              <w:r>
                <w:rPr>
                  <w:rFonts w:ascii="Arial" w:cs="Arial" w:eastAsia="Arial" w:hAnsi="Arial"/>
                  <w:sz w:val="18"/>
                  <w:szCs w:val="18"/>
                  <w:color w:val="0000FF"/>
                  <w:w w:val="97"/>
                </w:rPr>
                <w:t>Certification of Chief Financial Officer pursuant to Section 906 of the</w:t>
              </w:r>
            </w:hyperlink>
          </w:p>
        </w:tc>
        <w:tc>
          <w:tcPr>
            <w:tcW w:w="2380" w:type="dxa"/>
            <w:vAlign w:val="bottom"/>
          </w:tcPr>
          <w:p>
            <w:pPr>
              <w:spacing w:after="0"/>
              <w:rPr>
                <w:sz w:val="16"/>
                <w:szCs w:val="16"/>
                <w:color w:val="auto"/>
              </w:rPr>
            </w:pPr>
          </w:p>
        </w:tc>
        <w:tc>
          <w:tcPr>
            <w:tcW w:w="2100" w:type="dxa"/>
            <w:vAlign w:val="bottom"/>
            <w:vMerge w:val="restart"/>
          </w:tcPr>
          <w:p>
            <w:pPr>
              <w:ind w:left="3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98"/>
        </w:trPr>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4940" w:type="dxa"/>
            <w:vAlign w:val="bottom"/>
            <w:tcBorders>
              <w:top w:val="single" w:sz="8" w:color="0000FF"/>
            </w:tcBorders>
            <w:gridSpan w:val="5"/>
            <w:vMerge w:val="restart"/>
          </w:tcPr>
          <w:p>
            <w:pPr>
              <w:spacing w:after="0" w:line="152" w:lineRule="exact"/>
              <w:rPr>
                <w:rFonts w:ascii="Arial" w:cs="Arial" w:eastAsia="Arial" w:hAnsi="Arial"/>
                <w:sz w:val="17"/>
                <w:szCs w:val="17"/>
                <w:color w:val="0000FF"/>
              </w:rPr>
            </w:pPr>
            <w:hyperlink w:anchor="page34">
              <w:r>
                <w:rPr>
                  <w:rFonts w:ascii="Arial" w:cs="Arial" w:eastAsia="Arial" w:hAnsi="Arial"/>
                  <w:sz w:val="17"/>
                  <w:szCs w:val="17"/>
                  <w:color w:val="0000FF"/>
                </w:rPr>
                <w:t>Sarbanes-Oxley Act of 2002.</w:t>
              </w:r>
            </w:hyperlink>
          </w:p>
        </w:tc>
        <w:tc>
          <w:tcPr>
            <w:tcW w:w="36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940" w:type="dxa"/>
            <w:vAlign w:val="bottom"/>
            <w:gridSpan w:val="5"/>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5"/>
                <w:szCs w:val="15"/>
                <w:color w:val="auto"/>
              </w:rPr>
            </w:pPr>
          </w:p>
        </w:tc>
        <w:tc>
          <w:tcPr>
            <w:tcW w:w="9780" w:type="dxa"/>
            <w:vAlign w:val="bottom"/>
            <w:gridSpan w:val="8"/>
            <w:shd w:val="clear" w:color="auto" w:fill="CCEEFF"/>
          </w:tcPr>
          <w:p>
            <w:pPr>
              <w:spacing w:after="0" w:line="183"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4"/>
        </w:trPr>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within the inline XBRL document</w:t>
            </w:r>
          </w:p>
        </w:tc>
        <w:tc>
          <w:tcPr>
            <w:tcW w:w="23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5400" w:type="dxa"/>
            <w:vAlign w:val="bottom"/>
            <w:gridSpan w:val="7"/>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2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540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23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5400" w:type="dxa"/>
            <w:vAlign w:val="bottom"/>
            <w:gridSpan w:val="7"/>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2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540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23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5400" w:type="dxa"/>
            <w:vAlign w:val="bottom"/>
            <w:gridSpan w:val="7"/>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2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460" w:hanging="1436"/>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3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9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5"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Weatherford International plc</w:t>
            </w:r>
          </w:p>
        </w:tc>
      </w:tr>
      <w:tr>
        <w:trPr>
          <w:trHeight w:val="49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Pr>
          <w:p>
            <w:pPr>
              <w:ind w:left="180"/>
              <w:spacing w:after="0"/>
              <w:rPr>
                <w:sz w:val="20"/>
                <w:szCs w:val="20"/>
                <w:color w:val="auto"/>
              </w:rPr>
            </w:pPr>
            <w:r>
              <w:rPr>
                <w:rFonts w:ascii="Arial" w:cs="Arial" w:eastAsia="Arial" w:hAnsi="Arial"/>
                <w:sz w:val="18"/>
                <w:szCs w:val="18"/>
                <w:color w:val="auto"/>
              </w:rPr>
              <w:t>July 28, 2022</w:t>
            </w:r>
          </w:p>
        </w:tc>
        <w:tc>
          <w:tcPr>
            <w:tcW w:w="2700" w:type="dxa"/>
            <w:vAlign w:val="bottom"/>
          </w:tcPr>
          <w:p>
            <w:pPr>
              <w:ind w:left="2420"/>
              <w:spacing w:after="0"/>
              <w:rPr>
                <w:sz w:val="20"/>
                <w:szCs w:val="20"/>
                <w:color w:val="auto"/>
              </w:rPr>
            </w:pPr>
            <w:r>
              <w:rPr>
                <w:rFonts w:ascii="Arial" w:cs="Arial" w:eastAsia="Arial" w:hAnsi="Arial"/>
                <w:sz w:val="18"/>
                <w:szCs w:val="18"/>
                <w:color w:val="auto"/>
                <w:w w:val="99"/>
              </w:rPr>
              <w:t>By:</w:t>
            </w:r>
          </w:p>
        </w:tc>
        <w:tc>
          <w:tcPr>
            <w:tcW w:w="3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H. Keith Jennings</w:t>
            </w:r>
          </w:p>
        </w:tc>
      </w:tr>
      <w:tr>
        <w:trPr>
          <w:trHeight w:val="218"/>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H. Keith Jennings</w:t>
            </w:r>
          </w:p>
        </w:tc>
      </w:tr>
      <w:tr>
        <w:trPr>
          <w:trHeight w:val="225"/>
        </w:trPr>
        <w:tc>
          <w:tcPr>
            <w:tcW w:w="5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Executive Vice President and</w:t>
            </w:r>
          </w:p>
        </w:tc>
      </w:tr>
      <w:tr>
        <w:trPr>
          <w:trHeight w:val="225"/>
        </w:trPr>
        <w:tc>
          <w:tcPr>
            <w:tcW w:w="5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Pr>
          <w:p>
            <w:pPr>
              <w:ind w:left="180"/>
              <w:spacing w:after="0"/>
              <w:rPr>
                <w:sz w:val="20"/>
                <w:szCs w:val="20"/>
                <w:color w:val="auto"/>
              </w:rPr>
            </w:pPr>
            <w:r>
              <w:rPr>
                <w:rFonts w:ascii="Arial" w:cs="Arial" w:eastAsia="Arial" w:hAnsi="Arial"/>
                <w:sz w:val="18"/>
                <w:szCs w:val="18"/>
                <w:color w:val="auto"/>
              </w:rPr>
              <w:t>July 28, 2022</w:t>
            </w:r>
          </w:p>
        </w:tc>
        <w:tc>
          <w:tcPr>
            <w:tcW w:w="2700" w:type="dxa"/>
            <w:vAlign w:val="bottom"/>
          </w:tcPr>
          <w:p>
            <w:pPr>
              <w:ind w:left="2420"/>
              <w:spacing w:after="0"/>
              <w:rPr>
                <w:sz w:val="20"/>
                <w:szCs w:val="20"/>
                <w:color w:val="auto"/>
              </w:rPr>
            </w:pPr>
            <w:r>
              <w:rPr>
                <w:rFonts w:ascii="Arial" w:cs="Arial" w:eastAsia="Arial" w:hAnsi="Arial"/>
                <w:sz w:val="18"/>
                <w:szCs w:val="18"/>
                <w:color w:val="auto"/>
                <w:w w:val="99"/>
              </w:rPr>
              <w:t>By:</w:t>
            </w:r>
          </w:p>
        </w:tc>
        <w:tc>
          <w:tcPr>
            <w:tcW w:w="3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Desmond J. Mills</w:t>
            </w:r>
          </w:p>
        </w:tc>
      </w:tr>
      <w:tr>
        <w:trPr>
          <w:trHeight w:val="218"/>
        </w:trPr>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Desmond J. Mills</w:t>
            </w:r>
          </w:p>
        </w:tc>
      </w:tr>
      <w:tr>
        <w:trPr>
          <w:trHeight w:val="225"/>
        </w:trPr>
        <w:tc>
          <w:tcPr>
            <w:tcW w:w="5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Senior Vice President and</w:t>
            </w:r>
          </w:p>
        </w:tc>
      </w:tr>
      <w:tr>
        <w:trPr>
          <w:trHeight w:val="225"/>
        </w:trPr>
        <w:tc>
          <w:tcPr>
            <w:tcW w:w="5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320" w:top="472"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1" w:lineRule="exact"/>
        <w:rPr>
          <w:rFonts w:ascii="Arial" w:cs="Arial" w:eastAsia="Arial" w:hAnsi="Arial"/>
          <w:sz w:val="18"/>
          <w:szCs w:val="18"/>
          <w:color w:val="auto"/>
        </w:rPr>
      </w:pPr>
    </w:p>
    <w:p>
      <w:pPr>
        <w:ind w:left="320" w:hanging="314"/>
        <w:spacing w:after="0" w:line="365" w:lineRule="auto"/>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hanging="314"/>
        <w:spacing w:after="0" w:line="264"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320" w:hanging="314"/>
        <w:spacing w:after="0" w:line="294"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July 28, 2022</w:t>
      </w:r>
    </w:p>
    <w:p>
      <w:pPr>
        <w:spacing w:after="0" w:line="2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44450</wp:posOffset>
            </wp:positionV>
            <wp:extent cx="35166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111"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1" w:lineRule="exact"/>
        <w:rPr>
          <w:rFonts w:ascii="Arial" w:cs="Arial" w:eastAsia="Arial" w:hAnsi="Arial"/>
          <w:sz w:val="18"/>
          <w:szCs w:val="18"/>
          <w:color w:val="auto"/>
        </w:rPr>
      </w:pPr>
    </w:p>
    <w:p>
      <w:pPr>
        <w:ind w:left="320" w:hanging="314"/>
        <w:spacing w:after="0" w:line="365"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hanging="314"/>
        <w:spacing w:after="0" w:line="264"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320" w:hanging="314"/>
        <w:spacing w:after="0" w:line="294"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Date: July 28, 2022</w:t>
      </w:r>
    </w:p>
    <w:p>
      <w:pPr>
        <w:spacing w:after="0" w:line="28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44450</wp:posOffset>
            </wp:positionV>
            <wp:extent cx="28943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H. Keith Jennings</w:t>
      </w:r>
    </w:p>
    <w:p>
      <w:pPr>
        <w:spacing w:after="0" w:line="1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w:t>
      </w:r>
    </w:p>
    <w:p>
      <w:pPr>
        <w:spacing w:after="0" w:line="7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6"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June 30, 2022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198" w:lineRule="exact"/>
        <w:rPr>
          <w:sz w:val="20"/>
          <w:szCs w:val="20"/>
          <w:color w:val="auto"/>
        </w:rPr>
      </w:pPr>
    </w:p>
    <w:p>
      <w:pPr>
        <w:ind w:left="1280" w:hanging="320"/>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1280" w:hanging="320"/>
        <w:spacing w:after="0" w:line="264" w:lineRule="auto"/>
        <w:tabs>
          <w:tab w:leader="none" w:pos="1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10795</wp:posOffset>
            </wp:positionV>
            <wp:extent cx="260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Girishchandra K. Saligram</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July 28, 2022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connection with the quarterly report on Form 10-Q of Weatherford International plc (the "Company") for the period ended June 30, 2022 as filed with the Securities and Exchange Commission on the date hereof (the "Report"), I, H. Keith Jennings, Executive Vice President and Chief Financial Officer of the Company, certify, pursuant to 18 U.S.C. Section 1350, as adopted pursuant to Section 906 of the Sarbanes-Oxley Act of 2002, that:</w:t>
      </w:r>
    </w:p>
    <w:p>
      <w:pPr>
        <w:spacing w:after="0" w:line="163" w:lineRule="exact"/>
        <w:rPr>
          <w:sz w:val="20"/>
          <w:szCs w:val="20"/>
          <w:color w:val="auto"/>
        </w:rPr>
      </w:pPr>
    </w:p>
    <w:p>
      <w:pPr>
        <w:ind w:left="1280" w:hanging="32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1280" w:hanging="320"/>
        <w:spacing w:after="0" w:line="264" w:lineRule="auto"/>
        <w:tabs>
          <w:tab w:leader="none" w:pos="12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44450</wp:posOffset>
            </wp:positionV>
            <wp:extent cx="3458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H. Keith Jennings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July 28, 2022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829"/>
    </w:lvl>
  </w:abstractNum>
  <w:abstractNum w:abstractNumId="6">
    <w:nsid w:val="1F16E9E8"/>
    <w:multiLevelType w:val="hybridMultilevel"/>
    <w:lvl w:ilvl="0">
      <w:lvlJc w:val="left"/>
      <w:lvlText w:val="%1"/>
      <w:numFmt w:val="decimal"/>
      <w:start w:val="819"/>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2022-07-28T15:42:12Z</dcterms:created>
  <dcterms:modified xsi:type="dcterms:W3CDTF">2022-07-28T15:42:12Z</dcterms:modified>
</cp:coreProperties>
</file>