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568960</wp:posOffset>
            </wp:positionH>
            <wp:positionV relativeFrom="page">
              <wp:posOffset>612140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8, 2015</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Weatherford International plc will present to certain investors at the Barclays CEO Energy-Power Conference to be held in New York City on September 9, 2015. The presentation materials will be available on Weatherford’s website at www.weatherford.com in the Investor Relations section on the date of the event.</w:t>
      </w:r>
    </w:p>
    <w:p>
      <w:pPr>
        <w:sectPr>
          <w:pgSz w:w="11900" w:h="16838" w:orient="portrait"/>
          <w:cols w:equalWidth="0" w:num="1">
            <w:col w:w="11420"/>
          </w:cols>
          <w:pgMar w:left="240" w:top="918"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Weatherford International plc</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September 8, 2015</w:t>
      </w:r>
    </w:p>
    <w:p>
      <w:pPr>
        <w:spacing w:after="0" w:line="90"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48895</wp:posOffset>
            </wp:positionV>
            <wp:extent cx="3944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111"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Krishna Shivram</w:t>
      </w:r>
    </w:p>
    <w:p>
      <w:pPr>
        <w:spacing w:after="0" w:line="33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600"/>
      </w:cols>
      <w:pgMar w:left="240" w:top="60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2019-12-09T04:14:58Z</dcterms:created>
  <dcterms:modified xsi:type="dcterms:W3CDTF">2019-12-09T04:14:58Z</dcterms:modified>
</cp:coreProperties>
</file>