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683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6838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Mills Desmond J</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01/18/2023</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3"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73"/>
        <w:spacing w:after="0"/>
        <w:rPr>
          <w:sz w:val="20"/>
          <w:szCs w:val="20"/>
          <w:color w:val="auto"/>
        </w:rPr>
      </w:pPr>
      <w:r>
        <w:rPr>
          <w:rFonts w:ascii="Times New Roman" w:cs="Times New Roman" w:eastAsia="Times New Roman" w:hAnsi="Times New Roman"/>
          <w:sz w:val="17"/>
          <w:szCs w:val="17"/>
          <w:color w:val="0000FF"/>
        </w:rPr>
        <w:t>SVP &amp; Chief Accounting Officer</w:t>
      </w:r>
    </w:p>
    <w:p>
      <w:pPr>
        <w:spacing w:after="0" w:line="301" w:lineRule="exact"/>
        <w:rPr>
          <w:sz w:val="24"/>
          <w:szCs w:val="24"/>
          <w:color w:val="auto"/>
        </w:rPr>
      </w:pPr>
    </w:p>
    <w:p>
      <w:pPr>
        <w:sectPr>
          <w:pgSz w:w="11900" w:h="16838" w:orient="portrait"/>
          <w:cols w:equalWidth="0" w:num="3">
            <w:col w:w="3180" w:space="720"/>
            <w:col w:w="3180" w:space="647"/>
            <w:col w:w="3353"/>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01/18/2023</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2,817</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14,497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01/18/2023</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right"/>
              <w:ind w:right="60"/>
              <w:spacing w:after="0"/>
              <w:rPr>
                <w:sz w:val="20"/>
                <w:szCs w:val="20"/>
                <w:color w:val="auto"/>
              </w:rPr>
            </w:pPr>
            <w:r>
              <w:rPr>
                <w:rFonts w:ascii="Times New Roman" w:cs="Times New Roman" w:eastAsia="Times New Roman" w:hAnsi="Times New Roman"/>
                <w:sz w:val="17"/>
                <w:szCs w:val="17"/>
                <w:color w:val="0000FF"/>
              </w:rPr>
              <w:t>830</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53.59</w:t>
            </w:r>
          </w:p>
        </w:tc>
        <w:tc>
          <w:tcPr>
            <w:tcW w:w="128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13,667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01/18/2023</w:t>
            </w:r>
          </w:p>
        </w:tc>
        <w:tc>
          <w:tcPr>
            <w:tcW w:w="1080" w:type="dxa"/>
            <w:vAlign w:val="bottom"/>
          </w:tcPr>
          <w:p>
            <w:pPr>
              <w:spacing w:after="0"/>
              <w:rPr>
                <w:sz w:val="15"/>
                <w:szCs w:val="15"/>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2,817</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2,817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5"/>
              </w:rPr>
              <w:t>5,634</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01/18/2023</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4,101</w:t>
            </w:r>
          </w:p>
        </w:tc>
        <w:tc>
          <w:tcPr>
            <w:tcW w:w="46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4,101</w:t>
            </w:r>
          </w:p>
        </w:tc>
        <w:tc>
          <w:tcPr>
            <w:tcW w:w="6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5"/>
              </w:rPr>
              <w:t>4,101</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2023 Annual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4,101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01/18/2023</w:t>
            </w:r>
          </w:p>
        </w:tc>
        <w:tc>
          <w:tcPr>
            <w:tcW w:w="1080" w:type="dxa"/>
            <w:vAlign w:val="bottom"/>
          </w:tcPr>
          <w:p>
            <w:pPr>
              <w:spacing w:after="0"/>
              <w:rPr>
                <w:sz w:val="5"/>
                <w:szCs w:val="5"/>
                <w:color w:val="auto"/>
              </w:rPr>
            </w:pPr>
          </w:p>
        </w:tc>
        <w:tc>
          <w:tcPr>
            <w:tcW w:w="62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5"/>
                <w:szCs w:val="5"/>
                <w:color w:val="auto"/>
              </w:rPr>
            </w:pPr>
          </w:p>
        </w:tc>
        <w:tc>
          <w:tcPr>
            <w:tcW w:w="4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4,101</w:t>
            </w: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5"/>
              </w:rPr>
              <w:t>4,101</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Program</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01/18/2023</w:t>
            </w:r>
          </w:p>
        </w:tc>
        <w:tc>
          <w:tcPr>
            <w:tcW w:w="108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2"/>
                <w:szCs w:val="12"/>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5,000</w:t>
            </w:r>
          </w:p>
        </w:tc>
        <w:tc>
          <w:tcPr>
            <w:tcW w:w="46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rPr>
              <w:t>27,102</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Share Units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installment of restricted share units ("RSUs") granted on January 18, 2022 pursuant to Issuer's 2019 Equity Incentive Plan, as amended and restated (the "2019 EIP"). The RSUs vest in three equal installments over the three-year period from the date of grant.</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performance share units to satisfy the reporting person's tax withholding obligations upon vesting, pursuant to the award agreement and the 2019 EIP under which the award was granted.</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2023 pursuant to the 2019 EIP. The RSUs vest in three equal installments annually over the three-year period from the date of grant.</w:t>
      </w:r>
    </w:p>
    <w:p>
      <w:pPr>
        <w:spacing w:after="0" w:line="41" w:lineRule="exact"/>
        <w:rPr>
          <w:rFonts w:ascii="Times New Roman" w:cs="Times New Roman" w:eastAsia="Times New Roman" w:hAnsi="Times New Roman"/>
          <w:sz w:val="13"/>
          <w:szCs w:val="13"/>
          <w:color w:val="008000"/>
        </w:rPr>
      </w:pPr>
    </w:p>
    <w:p>
      <w:pPr>
        <w:jc w:val="both"/>
        <w:ind w:left="40" w:right="3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2023 under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2023 and ending December 31, 2025.</w:t>
      </w:r>
    </w:p>
    <w:p>
      <w:pPr>
        <w:spacing w:after="0" w:line="26" w:lineRule="exact"/>
        <w:rPr>
          <w:rFonts w:ascii="Times New Roman" w:cs="Times New Roman" w:eastAsia="Times New Roman" w:hAnsi="Times New Roman"/>
          <w:sz w:val="13"/>
          <w:szCs w:val="13"/>
          <w:color w:val="008000"/>
        </w:rPr>
      </w:pPr>
    </w:p>
    <w:p>
      <w:pPr>
        <w:ind w:left="40" w:right="3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PSUs granted on January 18, 2023 under the 2019 EIP. The number of PSUs reported is the target award and may be subject to a payout ranging from 0% to 100% of target award depending on the actual achievement of the performance goals at the end of the performance period. The performance period is the Issuer's fiscal years beginning on January 1, 2022 ending December 31, 2024.</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Jonathan B. Wolens by Power</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01/20/2023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of Attorney</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196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2023-01-20T20:46:19Z</dcterms:created>
  <dcterms:modified xsi:type="dcterms:W3CDTF">2023-01-20T20:46:19Z</dcterms:modified>
</cp:coreProperties>
</file>