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0"/>
        <w:spacing w:after="0"/>
        <w:rPr>
          <w:sz w:val="20"/>
          <w:szCs w:val="20"/>
          <w:color w:val="auto"/>
        </w:rPr>
      </w:pPr>
      <w:r>
        <w:rPr>
          <w:rFonts w:ascii="Calibri" w:cs="Calibri" w:eastAsia="Calibri" w:hAnsi="Calibri"/>
          <w:sz w:val="10"/>
          <w:szCs w:val="10"/>
          <w:color w:val="003366"/>
        </w:rPr>
        <w:t>TABLE OF CONTENTS</w:t>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filed with the Securities and Exchange Commission on June 15, 2022</w:t>
      </w:r>
    </w:p>
    <w:p>
      <w:pPr>
        <w:spacing w:after="0" w:line="19" w:lineRule="exact"/>
        <w:rPr>
          <w:sz w:val="24"/>
          <w:szCs w:val="24"/>
          <w:color w:val="auto"/>
        </w:rPr>
      </w:pPr>
    </w:p>
    <w:p>
      <w:pPr>
        <w:ind w:left="6440"/>
        <w:spacing w:after="0"/>
        <w:rPr>
          <w:sz w:val="20"/>
          <w:szCs w:val="20"/>
          <w:color w:val="auto"/>
        </w:rPr>
      </w:pPr>
      <w:r>
        <w:rPr>
          <w:rFonts w:ascii="Times New Roman" w:cs="Times New Roman" w:eastAsia="Times New Roman" w:hAnsi="Times New Roman"/>
          <w:sz w:val="10"/>
          <w:szCs w:val="10"/>
          <w:b w:val="1"/>
          <w:bCs w:val="1"/>
          <w:color w:val="auto"/>
        </w:rPr>
        <w:t xml:space="preserve">Registration No. 333-                 </w:t>
      </w:r>
    </w:p>
    <w:p>
      <w:pPr>
        <w:ind w:left="6440"/>
        <w:spacing w:after="0" w:line="230" w:lineRule="auto"/>
        <w:rPr>
          <w:sz w:val="20"/>
          <w:szCs w:val="20"/>
          <w:color w:val="auto"/>
        </w:rPr>
      </w:pPr>
      <w:r>
        <w:rPr>
          <w:rFonts w:ascii="Times New Roman" w:cs="Times New Roman" w:eastAsia="Times New Roman" w:hAnsi="Times New Roman"/>
          <w:sz w:val="10"/>
          <w:szCs w:val="10"/>
          <w:b w:val="1"/>
          <w:bCs w:val="1"/>
          <w:color w:val="auto"/>
        </w:rPr>
        <w:t xml:space="preserve">Registration No. 333-                 </w:t>
      </w:r>
    </w:p>
    <w:p>
      <w:pPr>
        <w:jc w:val="right"/>
        <w:ind w:right="1179"/>
        <w:spacing w:after="0"/>
        <w:rPr>
          <w:sz w:val="20"/>
          <w:szCs w:val="20"/>
          <w:color w:val="auto"/>
        </w:rPr>
      </w:pPr>
      <w:r>
        <w:rPr>
          <w:rFonts w:ascii="Times New Roman" w:cs="Times New Roman" w:eastAsia="Times New Roman" w:hAnsi="Times New Roman"/>
          <w:sz w:val="10"/>
          <w:szCs w:val="10"/>
          <w:b w:val="1"/>
          <w:bCs w:val="1"/>
          <w:color w:val="auto"/>
        </w:rPr>
        <w:t>Registration No. 333-                  ​</w:t>
      </w:r>
    </w:p>
    <w:p>
      <w:pPr>
        <w:spacing w:after="0" w:line="18"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765175</wp:posOffset>
            </wp:positionH>
            <wp:positionV relativeFrom="paragraph">
              <wp:posOffset>6350</wp:posOffset>
            </wp:positionV>
            <wp:extent cx="418973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89730" cy="11430"/>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29210</wp:posOffset>
            </wp:positionV>
            <wp:extent cx="41897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9730" cy="5715"/>
                    </a:xfrm>
                    <a:prstGeom prst="rect">
                      <a:avLst/>
                    </a:prstGeom>
                    <a:noFill/>
                  </pic:spPr>
                </pic:pic>
              </a:graphicData>
            </a:graphic>
          </wp:anchor>
        </w:drawing>
      </w:r>
    </w:p>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line="219" w:lineRule="auto"/>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jc w:val="center"/>
        <w:ind w:right="39"/>
        <w:spacing w:after="0" w:line="182" w:lineRule="auto"/>
        <w:rPr>
          <w:sz w:val="20"/>
          <w:szCs w:val="20"/>
          <w:color w:val="auto"/>
        </w:rPr>
      </w:pPr>
      <w:r>
        <w:rPr>
          <w:rFonts w:ascii="Times New Roman" w:cs="Times New Roman" w:eastAsia="Times New Roman" w:hAnsi="Times New Roman"/>
          <w:sz w:val="16"/>
          <w:szCs w:val="16"/>
          <w:b w:val="1"/>
          <w:bCs w:val="1"/>
          <w:color w:val="auto"/>
        </w:rPr>
        <w:t>Weatherford International public limited company</w:t>
      </w:r>
    </w:p>
    <w:p>
      <w:pPr>
        <w:jc w:val="center"/>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p>
    <w:p>
      <w:pPr>
        <w:spacing w:after="0" w:line="70" w:lineRule="exact"/>
        <w:rPr>
          <w:sz w:val="24"/>
          <w:szCs w:val="24"/>
          <w:color w:val="auto"/>
        </w:rPr>
      </w:pPr>
    </w:p>
    <w:p>
      <w:pPr>
        <w:ind w:left="1200"/>
        <w:spacing w:after="0"/>
        <w:tabs>
          <w:tab w:leader="none" w:pos="2640" w:val="left"/>
          <w:tab w:leader="none" w:pos="4440" w:val="left"/>
          <w:tab w:leader="none" w:pos="5920" w:val="left"/>
          <w:tab w:leader="none" w:pos="7780" w:val="left"/>
        </w:tabs>
        <w:rPr>
          <w:sz w:val="20"/>
          <w:szCs w:val="20"/>
          <w:color w:val="auto"/>
        </w:rPr>
      </w:pPr>
      <w:r>
        <w:rPr>
          <w:rFonts w:ascii="Times New Roman" w:cs="Times New Roman" w:eastAsia="Times New Roman" w:hAnsi="Times New Roman"/>
          <w:sz w:val="9"/>
          <w:szCs w:val="9"/>
          <w:color w:val="auto"/>
        </w:rPr>
        <w:t>​</w:t>
      </w:r>
      <w:r>
        <w:rPr>
          <w:sz w:val="20"/>
          <w:szCs w:val="20"/>
          <w:color w:val="auto"/>
        </w:rPr>
        <w:tab/>
      </w:r>
      <w:r>
        <w:rPr>
          <w:rFonts w:ascii="Times New Roman" w:cs="Times New Roman" w:eastAsia="Times New Roman" w:hAnsi="Times New Roman"/>
          <w:sz w:val="10"/>
          <w:szCs w:val="10"/>
          <w:b w:val="1"/>
          <w:bCs w:val="1"/>
          <w:color w:val="auto"/>
        </w:rPr>
        <w:t>Ireland</w:t>
      </w:r>
      <w:r>
        <w:rPr>
          <w:sz w:val="20"/>
          <w:szCs w:val="20"/>
          <w:color w:val="auto"/>
        </w:rPr>
        <w:tab/>
      </w:r>
      <w:r>
        <w:rPr>
          <w:rFonts w:ascii="Times New Roman" w:cs="Times New Roman" w:eastAsia="Times New Roman" w:hAnsi="Times New Roman"/>
          <w:sz w:val="9"/>
          <w:szCs w:val="9"/>
          <w:color w:val="auto"/>
        </w:rPr>
        <w:t>​ ​</w:t>
      </w:r>
      <w:r>
        <w:rPr>
          <w:sz w:val="20"/>
          <w:szCs w:val="20"/>
          <w:color w:val="auto"/>
        </w:rPr>
        <w:tab/>
      </w:r>
      <w:r>
        <w:rPr>
          <w:rFonts w:ascii="Times New Roman" w:cs="Times New Roman" w:eastAsia="Times New Roman" w:hAnsi="Times New Roman"/>
          <w:sz w:val="10"/>
          <w:szCs w:val="10"/>
          <w:b w:val="1"/>
          <w:bCs w:val="1"/>
          <w:color w:val="auto"/>
        </w:rPr>
        <w:t>98-0606750</w:t>
      </w:r>
      <w:r>
        <w:rPr>
          <w:sz w:val="20"/>
          <w:szCs w:val="20"/>
          <w:color w:val="auto"/>
        </w:rPr>
        <w:tab/>
      </w:r>
      <w:r>
        <w:rPr>
          <w:rFonts w:ascii="Times New Roman" w:cs="Times New Roman" w:eastAsia="Times New Roman" w:hAnsi="Times New Roman"/>
          <w:sz w:val="9"/>
          <w:szCs w:val="9"/>
          <w:color w:val="auto"/>
        </w:rPr>
        <w:t>​</w:t>
      </w:r>
    </w:p>
    <w:p>
      <w:pPr>
        <w:ind w:left="2280"/>
        <w:spacing w:after="0" w:line="202" w:lineRule="auto"/>
        <w:tabs>
          <w:tab w:leader="none" w:pos="5840" w:val="left"/>
        </w:tabs>
        <w:rPr>
          <w:sz w:val="20"/>
          <w:szCs w:val="20"/>
          <w:color w:val="auto"/>
        </w:rPr>
      </w:pPr>
      <w:r>
        <w:rPr>
          <w:rFonts w:ascii="Times New Roman" w:cs="Times New Roman" w:eastAsia="Times New Roman" w:hAnsi="Times New Roman"/>
          <w:sz w:val="9"/>
          <w:szCs w:val="9"/>
          <w:color w:val="auto"/>
        </w:rPr>
        <w:t>(State or other jurisdiction of</w:t>
      </w:r>
      <w:r>
        <w:rPr>
          <w:sz w:val="20"/>
          <w:szCs w:val="20"/>
          <w:color w:val="auto"/>
        </w:rPr>
        <w:tab/>
      </w:r>
      <w:r>
        <w:rPr>
          <w:rFonts w:ascii="Times New Roman" w:cs="Times New Roman" w:eastAsia="Times New Roman" w:hAnsi="Times New Roman"/>
          <w:sz w:val="9"/>
          <w:szCs w:val="9"/>
          <w:color w:val="auto"/>
        </w:rPr>
        <w:t>(I.R.S. Employer</w:t>
      </w:r>
    </w:p>
    <w:p>
      <w:pPr>
        <w:ind w:left="2280"/>
        <w:spacing w:after="0" w:line="236" w:lineRule="auto"/>
        <w:tabs>
          <w:tab w:leader="none" w:pos="5740" w:val="left"/>
        </w:tabs>
        <w:rPr>
          <w:sz w:val="20"/>
          <w:szCs w:val="20"/>
          <w:color w:val="auto"/>
        </w:rPr>
      </w:pPr>
      <w:r>
        <w:rPr>
          <w:rFonts w:ascii="Times New Roman" w:cs="Times New Roman" w:eastAsia="Times New Roman" w:hAnsi="Times New Roman"/>
          <w:sz w:val="9"/>
          <w:szCs w:val="9"/>
          <w:color w:val="auto"/>
        </w:rPr>
        <w:t>incorporation or organization)</w:t>
      </w:r>
      <w:r>
        <w:rPr>
          <w:sz w:val="20"/>
          <w:szCs w:val="20"/>
          <w:color w:val="auto"/>
        </w:rPr>
        <w:tab/>
      </w:r>
      <w:r>
        <w:rPr>
          <w:rFonts w:ascii="Times New Roman" w:cs="Times New Roman" w:eastAsia="Times New Roman" w:hAnsi="Times New Roman"/>
          <w:sz w:val="9"/>
          <w:szCs w:val="9"/>
          <w:color w:val="auto"/>
        </w:rPr>
        <w:t>Identification Number)</w:t>
      </w:r>
    </w:p>
    <w:p>
      <w:pPr>
        <w:sectPr>
          <w:pgSz w:w="11900" w:h="16838" w:orient="portrait"/>
          <w:cols w:equalWidth="0" w:num="1">
            <w:col w:w="9019"/>
          </w:cols>
          <w:pgMar w:left="1440" w:top="179" w:right="1440" w:bottom="1440" w:gutter="0" w:footer="0" w:header="0"/>
        </w:sectPr>
      </w:pPr>
    </w:p>
    <w:p>
      <w:pPr>
        <w:spacing w:after="0" w:line="9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0"/>
          <w:szCs w:val="10"/>
          <w:b w:val="1"/>
          <w:bCs w:val="1"/>
          <w:color w:val="auto"/>
        </w:rPr>
        <w:t>2000 St. James Place, Houston, Texas 77056</w:t>
      </w:r>
    </w:p>
    <w:p>
      <w:pPr>
        <w:spacing w:after="0" w:line="7" w:lineRule="exact"/>
        <w:rPr>
          <w:sz w:val="24"/>
          <w:szCs w:val="24"/>
          <w:color w:val="auto"/>
        </w:rPr>
      </w:pPr>
    </w:p>
    <w:tbl>
      <w:tblPr>
        <w:tblLayout w:type="fixed"/>
        <w:tblInd w:w="1200" w:type="dxa"/>
        <w:tblCellMar>
          <w:top w:w="0" w:type="dxa"/>
          <w:left w:w="0" w:type="dxa"/>
          <w:bottom w:w="0" w:type="dxa"/>
          <w:right w:w="0" w:type="dxa"/>
        </w:tblCellMar>
      </w:tblPr>
      <w:tr>
        <w:trPr>
          <w:trHeight w:val="134"/>
        </w:trPr>
        <w:tc>
          <w:tcPr>
            <w:tcW w:w="160" w:type="dxa"/>
            <w:vAlign w:val="bottom"/>
          </w:tcPr>
          <w:p>
            <w:pPr>
              <w:spacing w:after="0"/>
              <w:rPr>
                <w:sz w:val="11"/>
                <w:szCs w:val="11"/>
                <w:color w:val="auto"/>
              </w:rPr>
            </w:pPr>
          </w:p>
        </w:tc>
        <w:tc>
          <w:tcPr>
            <w:tcW w:w="6120" w:type="dxa"/>
            <w:vAlign w:val="bottom"/>
            <w:gridSpan w:val="4"/>
          </w:tcPr>
          <w:p>
            <w:pPr>
              <w:ind w:left="1060"/>
              <w:spacing w:after="0"/>
              <w:rPr>
                <w:sz w:val="20"/>
                <w:szCs w:val="20"/>
                <w:color w:val="auto"/>
              </w:rPr>
            </w:pPr>
            <w:r>
              <w:rPr>
                <w:rFonts w:ascii="Times New Roman" w:cs="Times New Roman" w:eastAsia="Times New Roman" w:hAnsi="Times New Roman"/>
                <w:sz w:val="9"/>
                <w:szCs w:val="9"/>
                <w:color w:val="auto"/>
              </w:rPr>
              <w:t>(Address, including zip code, and telephone number, including area code, of registrant’s principal executive offices)</w:t>
            </w:r>
            <w:r>
              <w:rPr>
                <w:rFonts w:ascii="Times New Roman" w:cs="Times New Roman" w:eastAsia="Times New Roman" w:hAnsi="Times New Roman"/>
                <w:sz w:val="10"/>
                <w:szCs w:val="10"/>
                <w:color w:val="auto"/>
              </w:rPr>
              <w:t>​</w:t>
            </w:r>
          </w:p>
        </w:tc>
      </w:tr>
      <w:tr>
        <w:trPr>
          <w:trHeight w:val="112"/>
        </w:trPr>
        <w:tc>
          <w:tcPr>
            <w:tcW w:w="16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29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9"/>
              </w:rPr>
              <w:t>Weatherford International Ltd.</w:t>
            </w:r>
          </w:p>
        </w:tc>
        <w:tc>
          <w:tcPr>
            <w:tcW w:w="2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780" w:type="dxa"/>
            <w:vAlign w:val="bottom"/>
          </w:tcPr>
          <w:p>
            <w:pPr>
              <w:jc w:val="center"/>
              <w:ind w:left="133"/>
              <w:spacing w:after="0" w:line="112" w:lineRule="exact"/>
              <w:rPr>
                <w:sz w:val="20"/>
                <w:szCs w:val="20"/>
                <w:color w:val="auto"/>
              </w:rPr>
            </w:pPr>
            <w:r>
              <w:rPr>
                <w:rFonts w:ascii="Times New Roman" w:cs="Times New Roman" w:eastAsia="Times New Roman" w:hAnsi="Times New Roman"/>
                <w:sz w:val="10"/>
                <w:szCs w:val="10"/>
                <w:b w:val="1"/>
                <w:bCs w:val="1"/>
                <w:color w:val="auto"/>
                <w:w w:val="99"/>
              </w:rPr>
              <w:t>Weatherford International, LLC</w:t>
            </w:r>
          </w:p>
        </w:tc>
      </w:tr>
      <w:tr>
        <w:trPr>
          <w:trHeight w:val="110"/>
        </w:trPr>
        <w:tc>
          <w:tcPr>
            <w:tcW w:w="160" w:type="dxa"/>
            <w:vAlign w:val="bottom"/>
          </w:tcPr>
          <w:p>
            <w:pPr>
              <w:spacing w:after="0"/>
              <w:rPr>
                <w:sz w:val="9"/>
                <w:szCs w:val="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(Exact name of co-registrant as specified in its charter)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80" w:type="dxa"/>
            <w:vAlign w:val="bottom"/>
          </w:tcPr>
          <w:p>
            <w:pPr>
              <w:jc w:val="center"/>
              <w:ind w:left="133"/>
              <w:spacing w:after="0"/>
              <w:rPr>
                <w:sz w:val="20"/>
                <w:szCs w:val="20"/>
                <w:color w:val="auto"/>
              </w:rPr>
            </w:pPr>
            <w:r>
              <w:rPr>
                <w:rFonts w:ascii="Times New Roman" w:cs="Times New Roman" w:eastAsia="Times New Roman" w:hAnsi="Times New Roman"/>
                <w:sz w:val="9"/>
                <w:szCs w:val="9"/>
                <w:color w:val="auto"/>
                <w:w w:val="99"/>
              </w:rPr>
              <w:t>(Exact name of co-registrant as specified in its charter)</w:t>
            </w:r>
          </w:p>
        </w:tc>
      </w:t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Bermuda</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780" w:type="dxa"/>
            <w:vAlign w:val="bottom"/>
          </w:tcPr>
          <w:p>
            <w:pPr>
              <w:jc w:val="center"/>
              <w:ind w:left="133"/>
              <w:spacing w:after="0"/>
              <w:rPr>
                <w:sz w:val="20"/>
                <w:szCs w:val="20"/>
                <w:color w:val="auto"/>
              </w:rPr>
            </w:pPr>
            <w:r>
              <w:rPr>
                <w:rFonts w:ascii="Times New Roman" w:cs="Times New Roman" w:eastAsia="Times New Roman" w:hAnsi="Times New Roman"/>
                <w:sz w:val="10"/>
                <w:szCs w:val="10"/>
                <w:b w:val="1"/>
                <w:bCs w:val="1"/>
                <w:color w:val="auto"/>
                <w:w w:val="98"/>
              </w:rPr>
              <w:t>Delaware</w:t>
            </w:r>
          </w:p>
        </w:tc>
      </w:tr>
      <w:tr>
        <w:trPr>
          <w:trHeight w:val="110"/>
        </w:trPr>
        <w:tc>
          <w:tcPr>
            <w:tcW w:w="160" w:type="dxa"/>
            <w:vAlign w:val="bottom"/>
          </w:tcPr>
          <w:p>
            <w:pPr>
              <w:spacing w:after="0"/>
              <w:rPr>
                <w:sz w:val="9"/>
                <w:szCs w:val="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(State or other jurisdiction of incorporation or organization)</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80" w:type="dxa"/>
            <w:vAlign w:val="bottom"/>
          </w:tcPr>
          <w:p>
            <w:pPr>
              <w:jc w:val="center"/>
              <w:ind w:left="133"/>
              <w:spacing w:after="0"/>
              <w:rPr>
                <w:sz w:val="20"/>
                <w:szCs w:val="20"/>
                <w:color w:val="auto"/>
              </w:rPr>
            </w:pPr>
            <w:r>
              <w:rPr>
                <w:rFonts w:ascii="Times New Roman" w:cs="Times New Roman" w:eastAsia="Times New Roman" w:hAnsi="Times New Roman"/>
                <w:sz w:val="9"/>
                <w:szCs w:val="9"/>
                <w:color w:val="auto"/>
              </w:rPr>
              <w:t>(State or other jurisdiction of incorporation or organization)</w:t>
            </w:r>
          </w:p>
        </w:tc>
      </w:tr>
      <w:tr>
        <w:trPr>
          <w:trHeight w:val="192"/>
        </w:trPr>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920" w:type="dxa"/>
            <w:vAlign w:val="bottom"/>
          </w:tcPr>
          <w:p>
            <w:pPr>
              <w:jc w:val="right"/>
              <w:ind w:right="1173"/>
              <w:spacing w:after="0"/>
              <w:rPr>
                <w:sz w:val="20"/>
                <w:szCs w:val="20"/>
                <w:color w:val="auto"/>
              </w:rPr>
            </w:pPr>
            <w:r>
              <w:rPr>
                <w:rFonts w:ascii="Times New Roman" w:cs="Times New Roman" w:eastAsia="Times New Roman" w:hAnsi="Times New Roman"/>
                <w:sz w:val="10"/>
                <w:szCs w:val="10"/>
                <w:b w:val="1"/>
                <w:bCs w:val="1"/>
                <w:color w:val="auto"/>
              </w:rPr>
              <w:t>98-0371344</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780" w:type="dxa"/>
            <w:vAlign w:val="bottom"/>
          </w:tcPr>
          <w:p>
            <w:pPr>
              <w:jc w:val="right"/>
              <w:ind w:right="1013"/>
              <w:spacing w:after="0"/>
              <w:rPr>
                <w:sz w:val="20"/>
                <w:szCs w:val="20"/>
                <w:color w:val="auto"/>
              </w:rPr>
            </w:pPr>
            <w:r>
              <w:rPr>
                <w:rFonts w:ascii="Times New Roman" w:cs="Times New Roman" w:eastAsia="Times New Roman" w:hAnsi="Times New Roman"/>
                <w:sz w:val="10"/>
                <w:szCs w:val="10"/>
                <w:b w:val="1"/>
                <w:bCs w:val="1"/>
                <w:color w:val="auto"/>
              </w:rPr>
              <w:t>33-0430755</w:t>
            </w:r>
          </w:p>
        </w:tc>
      </w:tr>
      <w:tr>
        <w:trPr>
          <w:trHeight w:val="110"/>
        </w:trPr>
        <w:tc>
          <w:tcPr>
            <w:tcW w:w="160" w:type="dxa"/>
            <w:vAlign w:val="bottom"/>
          </w:tcPr>
          <w:p>
            <w:pPr>
              <w:spacing w:after="0"/>
              <w:rPr>
                <w:sz w:val="9"/>
                <w:szCs w:val="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(I.R.S. Employer Identification Number)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80" w:type="dxa"/>
            <w:vAlign w:val="bottom"/>
          </w:tcPr>
          <w:p>
            <w:pPr>
              <w:jc w:val="center"/>
              <w:ind w:left="113"/>
              <w:spacing w:after="0"/>
              <w:rPr>
                <w:sz w:val="20"/>
                <w:szCs w:val="20"/>
                <w:color w:val="auto"/>
              </w:rPr>
            </w:pPr>
            <w:r>
              <w:rPr>
                <w:rFonts w:ascii="Times New Roman" w:cs="Times New Roman" w:eastAsia="Times New Roman" w:hAnsi="Times New Roman"/>
                <w:sz w:val="9"/>
                <w:szCs w:val="9"/>
                <w:color w:val="auto"/>
                <w:w w:val="99"/>
              </w:rPr>
              <w:t>(I.R.S. Employer Identification Number)</w:t>
            </w:r>
          </w:p>
        </w:tc>
      </w:tr>
      <w:tr>
        <w:trPr>
          <w:trHeight w:val="172"/>
        </w:trPr>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2000 St. James Place, Houston, Texas 77056</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780" w:type="dxa"/>
            <w:vAlign w:val="bottom"/>
          </w:tcPr>
          <w:p>
            <w:pPr>
              <w:jc w:val="center"/>
              <w:ind w:left="93"/>
              <w:spacing w:after="0"/>
              <w:rPr>
                <w:sz w:val="20"/>
                <w:szCs w:val="20"/>
                <w:color w:val="auto"/>
              </w:rPr>
            </w:pPr>
            <w:r>
              <w:rPr>
                <w:rFonts w:ascii="Times New Roman" w:cs="Times New Roman" w:eastAsia="Times New Roman" w:hAnsi="Times New Roman"/>
                <w:sz w:val="10"/>
                <w:szCs w:val="10"/>
                <w:b w:val="1"/>
                <w:bCs w:val="1"/>
                <w:color w:val="auto"/>
                <w:w w:val="98"/>
              </w:rPr>
              <w:t>2000 St. James Place, Houston, Texas 77056</w:t>
            </w:r>
          </w:p>
        </w:tc>
      </w:tr>
      <w:tr>
        <w:trPr>
          <w:trHeight w:val="121"/>
        </w:trPr>
        <w:tc>
          <w:tcPr>
            <w:tcW w:w="160" w:type="dxa"/>
            <w:vAlign w:val="bottom"/>
          </w:tcPr>
          <w:p>
            <w:pPr>
              <w:spacing w:after="0"/>
              <w:rPr>
                <w:sz w:val="10"/>
                <w:szCs w:val="10"/>
                <w:color w:val="auto"/>
              </w:rPr>
            </w:pPr>
          </w:p>
        </w:tc>
        <w:tc>
          <w:tcPr>
            <w:tcW w:w="2920" w:type="dxa"/>
            <w:vAlign w:val="bottom"/>
          </w:tcPr>
          <w:p>
            <w:pPr>
              <w:jc w:val="right"/>
              <w:ind w:right="1113"/>
              <w:spacing w:after="0"/>
              <w:rPr>
                <w:sz w:val="20"/>
                <w:szCs w:val="20"/>
                <w:color w:val="auto"/>
              </w:rPr>
            </w:pPr>
            <w:r>
              <w:rPr>
                <w:rFonts w:ascii="Times New Roman" w:cs="Times New Roman" w:eastAsia="Times New Roman" w:hAnsi="Times New Roman"/>
                <w:sz w:val="10"/>
                <w:szCs w:val="10"/>
                <w:b w:val="1"/>
                <w:bCs w:val="1"/>
                <w:color w:val="auto"/>
              </w:rPr>
              <w:t>(713) 836-4000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80" w:type="dxa"/>
            <w:vAlign w:val="bottom"/>
          </w:tcPr>
          <w:p>
            <w:pPr>
              <w:jc w:val="right"/>
              <w:ind w:right="933"/>
              <w:spacing w:after="0"/>
              <w:rPr>
                <w:sz w:val="20"/>
                <w:szCs w:val="20"/>
                <w:color w:val="auto"/>
              </w:rPr>
            </w:pPr>
            <w:r>
              <w:rPr>
                <w:rFonts w:ascii="Times New Roman" w:cs="Times New Roman" w:eastAsia="Times New Roman" w:hAnsi="Times New Roman"/>
                <w:sz w:val="10"/>
                <w:szCs w:val="10"/>
                <w:b w:val="1"/>
                <w:bCs w:val="1"/>
                <w:color w:val="auto"/>
              </w:rPr>
              <w:t>(713) 836-4000</w:t>
            </w:r>
          </w:p>
        </w:tc>
      </w:tr>
      <w:tr>
        <w:trPr>
          <w:trHeight w:val="84"/>
        </w:trPr>
        <w:tc>
          <w:tcPr>
            <w:tcW w:w="160" w:type="dxa"/>
            <w:vAlign w:val="bottom"/>
          </w:tcPr>
          <w:p>
            <w:pPr>
              <w:spacing w:after="0"/>
              <w:rPr>
                <w:sz w:val="7"/>
                <w:szCs w:val="7"/>
                <w:color w:val="auto"/>
              </w:rPr>
            </w:pPr>
          </w:p>
        </w:tc>
        <w:tc>
          <w:tcPr>
            <w:tcW w:w="2920" w:type="dxa"/>
            <w:vAlign w:val="bottom"/>
          </w:tcPr>
          <w:p>
            <w:pPr>
              <w:ind w:left="120"/>
              <w:spacing w:after="0" w:line="84" w:lineRule="exact"/>
              <w:rPr>
                <w:sz w:val="20"/>
                <w:szCs w:val="20"/>
                <w:color w:val="auto"/>
              </w:rPr>
            </w:pPr>
            <w:r>
              <w:rPr>
                <w:rFonts w:ascii="Times New Roman" w:cs="Times New Roman" w:eastAsia="Times New Roman" w:hAnsi="Times New Roman"/>
                <w:sz w:val="9"/>
                <w:szCs w:val="9"/>
                <w:color w:val="auto"/>
              </w:rPr>
              <w:t>(Address, including zip code, and telephone number, including area code,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80" w:type="dxa"/>
            <w:vAlign w:val="bottom"/>
          </w:tcPr>
          <w:p>
            <w:pPr>
              <w:jc w:val="center"/>
              <w:ind w:left="113"/>
              <w:spacing w:after="0" w:line="84" w:lineRule="exact"/>
              <w:rPr>
                <w:sz w:val="20"/>
                <w:szCs w:val="20"/>
                <w:color w:val="auto"/>
              </w:rPr>
            </w:pPr>
            <w:r>
              <w:rPr>
                <w:rFonts w:ascii="Times New Roman" w:cs="Times New Roman" w:eastAsia="Times New Roman" w:hAnsi="Times New Roman"/>
                <w:sz w:val="9"/>
                <w:szCs w:val="9"/>
                <w:color w:val="auto"/>
                <w:w w:val="98"/>
              </w:rPr>
              <w:t>(Address, including zip code, and telephone number, including area code,</w:t>
            </w:r>
          </w:p>
        </w:tc>
      </w:tr>
      <w:tr>
        <w:trPr>
          <w:trHeight w:val="110"/>
        </w:trPr>
        <w:tc>
          <w:tcPr>
            <w:tcW w:w="160" w:type="dxa"/>
            <w:vAlign w:val="bottom"/>
          </w:tcPr>
          <w:p>
            <w:pPr>
              <w:spacing w:after="0"/>
              <w:rPr>
                <w:sz w:val="9"/>
                <w:szCs w:val="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9"/>
              </w:rPr>
              <w:t>of co-registrant’s principal executive offices)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80" w:type="dxa"/>
            <w:vAlign w:val="bottom"/>
          </w:tcPr>
          <w:p>
            <w:pPr>
              <w:jc w:val="center"/>
              <w:ind w:left="133"/>
              <w:spacing w:after="0"/>
              <w:rPr>
                <w:sz w:val="20"/>
                <w:szCs w:val="20"/>
                <w:color w:val="auto"/>
              </w:rPr>
            </w:pPr>
            <w:r>
              <w:rPr>
                <w:rFonts w:ascii="Times New Roman" w:cs="Times New Roman" w:eastAsia="Times New Roman" w:hAnsi="Times New Roman"/>
                <w:sz w:val="9"/>
                <w:szCs w:val="9"/>
                <w:color w:val="auto"/>
                <w:w w:val="98"/>
              </w:rPr>
              <w:t>of co-registrant’s principal executive offices)</w:t>
            </w:r>
          </w:p>
        </w:tc>
      </w:tr>
    </w:tbl>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w:t>
      </w:r>
    </w:p>
    <w:p>
      <w:pPr>
        <w:spacing w:after="0" w:line="434" w:lineRule="exact"/>
        <w:rPr>
          <w:sz w:val="24"/>
          <w:szCs w:val="24"/>
          <w:color w:val="auto"/>
        </w:rPr>
      </w:pPr>
    </w:p>
    <w:p>
      <w:pPr>
        <w:sectPr>
          <w:pgSz w:w="11900" w:h="16838" w:orient="portrait"/>
          <w:cols w:equalWidth="0" w:num="2">
            <w:col w:w="7480" w:space="320"/>
            <w:col w:w="1219"/>
          </w:cols>
          <w:pgMar w:left="1440" w:top="179"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Scott C. Weatherholt</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Weatherford International plc</w:t>
      </w:r>
    </w:p>
    <w:p>
      <w:pPr>
        <w:jc w:val="center"/>
        <w:ind w:right="39"/>
        <w:spacing w:after="0" w:line="229" w:lineRule="auto"/>
        <w:rPr>
          <w:sz w:val="20"/>
          <w:szCs w:val="20"/>
          <w:color w:val="auto"/>
        </w:rPr>
      </w:pPr>
      <w:r>
        <w:rPr>
          <w:rFonts w:ascii="Times New Roman" w:cs="Times New Roman" w:eastAsia="Times New Roman" w:hAnsi="Times New Roman"/>
          <w:sz w:val="10"/>
          <w:szCs w:val="10"/>
          <w:b w:val="1"/>
          <w:bCs w:val="1"/>
          <w:color w:val="auto"/>
        </w:rPr>
        <w:t>Executive Vice President, General Counsel and Chief Compliance Officer</w:t>
      </w:r>
    </w:p>
    <w:p>
      <w:pPr>
        <w:jc w:val="center"/>
        <w:ind w:right="39"/>
        <w:spacing w:after="0" w:line="229" w:lineRule="auto"/>
        <w:rPr>
          <w:sz w:val="20"/>
          <w:szCs w:val="20"/>
          <w:color w:val="auto"/>
        </w:rPr>
      </w:pPr>
      <w:r>
        <w:rPr>
          <w:rFonts w:ascii="Times New Roman" w:cs="Times New Roman" w:eastAsia="Times New Roman" w:hAnsi="Times New Roman"/>
          <w:sz w:val="10"/>
          <w:szCs w:val="10"/>
          <w:b w:val="1"/>
          <w:bCs w:val="1"/>
          <w:color w:val="auto"/>
        </w:rPr>
        <w:t>2000 St. James Place</w:t>
      </w:r>
    </w:p>
    <w:p>
      <w:pPr>
        <w:ind w:left="4040"/>
        <w:spacing w:after="0" w:line="229" w:lineRule="auto"/>
        <w:rPr>
          <w:sz w:val="20"/>
          <w:szCs w:val="20"/>
          <w:color w:val="auto"/>
        </w:rPr>
      </w:pPr>
      <w:r>
        <w:rPr>
          <w:rFonts w:ascii="Times New Roman" w:cs="Times New Roman" w:eastAsia="Times New Roman" w:hAnsi="Times New Roman"/>
          <w:sz w:val="10"/>
          <w:szCs w:val="10"/>
          <w:b w:val="1"/>
          <w:bCs w:val="1"/>
          <w:color w:val="auto"/>
        </w:rPr>
        <w:t>Houston, Texas 77056</w:t>
      </w:r>
    </w:p>
    <w:p>
      <w:pPr>
        <w:ind w:left="4200"/>
        <w:spacing w:after="0" w:line="229" w:lineRule="auto"/>
        <w:rPr>
          <w:sz w:val="20"/>
          <w:szCs w:val="20"/>
          <w:color w:val="auto"/>
        </w:rPr>
      </w:pPr>
      <w:r>
        <w:rPr>
          <w:rFonts w:ascii="Times New Roman" w:cs="Times New Roman" w:eastAsia="Times New Roman" w:hAnsi="Times New Roman"/>
          <w:sz w:val="10"/>
          <w:szCs w:val="10"/>
          <w:b w:val="1"/>
          <w:bCs w:val="1"/>
          <w:color w:val="auto"/>
        </w:rPr>
        <w:t>(713) 836-4000</w:t>
      </w:r>
    </w:p>
    <w:p>
      <w:pPr>
        <w:jc w:val="center"/>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i w:val="1"/>
          <w:iCs w:val="1"/>
          <w:color w:val="auto"/>
        </w:rPr>
        <w:t>With a copy to:</w:t>
      </w:r>
    </w:p>
    <w:p>
      <w:pPr>
        <w:spacing w:after="0" w:line="2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0"/>
          <w:szCs w:val="10"/>
          <w:b w:val="1"/>
          <w:bCs w:val="1"/>
          <w:color w:val="auto"/>
        </w:rPr>
        <w:t>Jonathan B. Newton</w:t>
      </w:r>
    </w:p>
    <w:p>
      <w:pPr>
        <w:ind w:left="4120"/>
        <w:spacing w:after="0" w:line="230" w:lineRule="auto"/>
        <w:rPr>
          <w:sz w:val="20"/>
          <w:szCs w:val="20"/>
          <w:color w:val="auto"/>
        </w:rPr>
      </w:pPr>
      <w:r>
        <w:rPr>
          <w:rFonts w:ascii="Times New Roman" w:cs="Times New Roman" w:eastAsia="Times New Roman" w:hAnsi="Times New Roman"/>
          <w:sz w:val="10"/>
          <w:szCs w:val="10"/>
          <w:b w:val="1"/>
          <w:bCs w:val="1"/>
          <w:color w:val="auto"/>
        </w:rPr>
        <w:t>Heath C. Trisdale</w:t>
      </w:r>
    </w:p>
    <w:p>
      <w:pPr>
        <w:ind w:left="4020"/>
        <w:spacing w:after="0" w:line="229" w:lineRule="auto"/>
        <w:rPr>
          <w:sz w:val="20"/>
          <w:szCs w:val="20"/>
          <w:color w:val="auto"/>
        </w:rPr>
      </w:pPr>
      <w:r>
        <w:rPr>
          <w:rFonts w:ascii="Times New Roman" w:cs="Times New Roman" w:eastAsia="Times New Roman" w:hAnsi="Times New Roman"/>
          <w:sz w:val="10"/>
          <w:szCs w:val="10"/>
          <w:b w:val="1"/>
          <w:bCs w:val="1"/>
          <w:color w:val="auto"/>
        </w:rPr>
        <w:t>King &amp; Spalding LLP</w:t>
      </w:r>
    </w:p>
    <w:p>
      <w:pPr>
        <w:ind w:left="3940"/>
        <w:spacing w:after="0" w:line="229" w:lineRule="auto"/>
        <w:rPr>
          <w:sz w:val="20"/>
          <w:szCs w:val="20"/>
          <w:color w:val="auto"/>
        </w:rPr>
      </w:pPr>
      <w:r>
        <w:rPr>
          <w:rFonts w:ascii="Times New Roman" w:cs="Times New Roman" w:eastAsia="Times New Roman" w:hAnsi="Times New Roman"/>
          <w:sz w:val="10"/>
          <w:szCs w:val="10"/>
          <w:b w:val="1"/>
          <w:bCs w:val="1"/>
          <w:color w:val="auto"/>
        </w:rPr>
        <w:t>1100 Louisiana, Suite 4100</w:t>
      </w:r>
    </w:p>
    <w:p>
      <w:pPr>
        <w:ind w:left="4080"/>
        <w:spacing w:after="0" w:line="229" w:lineRule="auto"/>
        <w:rPr>
          <w:sz w:val="20"/>
          <w:szCs w:val="20"/>
          <w:color w:val="auto"/>
        </w:rPr>
      </w:pPr>
      <w:r>
        <w:rPr>
          <w:rFonts w:ascii="Times New Roman" w:cs="Times New Roman" w:eastAsia="Times New Roman" w:hAnsi="Times New Roman"/>
          <w:sz w:val="10"/>
          <w:szCs w:val="10"/>
          <w:b w:val="1"/>
          <w:bCs w:val="1"/>
          <w:color w:val="auto"/>
        </w:rPr>
        <w:t>Houston, TX 77002</w:t>
      </w:r>
    </w:p>
    <w:p>
      <w:pPr>
        <w:ind w:left="4200"/>
        <w:spacing w:after="0"/>
        <w:rPr>
          <w:sz w:val="20"/>
          <w:szCs w:val="20"/>
          <w:color w:val="auto"/>
        </w:rPr>
      </w:pPr>
      <w:r>
        <w:rPr>
          <w:rFonts w:ascii="Times New Roman" w:cs="Times New Roman" w:eastAsia="Times New Roman" w:hAnsi="Times New Roman"/>
          <w:sz w:val="10"/>
          <w:szCs w:val="10"/>
          <w:b w:val="1"/>
          <w:bCs w:val="1"/>
          <w:color w:val="auto"/>
        </w:rPr>
        <w:t>(713) 751-3200</w:t>
      </w:r>
    </w:p>
    <w:p>
      <w:pPr>
        <w:spacing w:after="0" w:line="1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From time to time after the effective date of this Registration Statement.</w:t>
      </w:r>
    </w:p>
    <w:p>
      <w:pPr>
        <w:spacing w:after="0" w:line="22" w:lineRule="exact"/>
        <w:rPr>
          <w:sz w:val="24"/>
          <w:szCs w:val="24"/>
          <w:color w:val="auto"/>
        </w:rPr>
      </w:pPr>
    </w:p>
    <w:p>
      <w:pPr>
        <w:ind w:left="1200" w:right="1599" w:firstLine="244"/>
        <w:spacing w:after="0" w:line="125" w:lineRule="exact"/>
        <w:rPr>
          <w:sz w:val="20"/>
          <w:szCs w:val="20"/>
          <w:color w:val="auto"/>
        </w:rPr>
      </w:pPr>
      <w:r>
        <w:rPr>
          <w:rFonts w:ascii="Times New Roman" w:cs="Times New Roman" w:eastAsia="Times New Roman" w:hAnsi="Times New Roman"/>
          <w:sz w:val="10"/>
          <w:szCs w:val="10"/>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0"/>
          <w:szCs w:val="10"/>
          <w:color w:val="auto"/>
        </w:rPr>
        <w:t>☐</w:t>
      </w:r>
    </w:p>
    <w:p>
      <w:pPr>
        <w:spacing w:after="0" w:line="1" w:lineRule="exact"/>
        <w:rPr>
          <w:sz w:val="24"/>
          <w:szCs w:val="24"/>
          <w:color w:val="auto"/>
        </w:rPr>
      </w:pPr>
    </w:p>
    <w:p>
      <w:pPr>
        <w:ind w:left="1200" w:right="1279" w:firstLine="244"/>
        <w:spacing w:after="0" w:line="122" w:lineRule="exact"/>
        <w:rPr>
          <w:sz w:val="20"/>
          <w:szCs w:val="20"/>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0"/>
          <w:szCs w:val="10"/>
          <w:color w:val="auto"/>
        </w:rPr>
        <w:t>☒</w:t>
      </w:r>
    </w:p>
    <w:p>
      <w:pPr>
        <w:spacing w:after="0" w:line="1" w:lineRule="exact"/>
        <w:rPr>
          <w:sz w:val="24"/>
          <w:szCs w:val="24"/>
          <w:color w:val="auto"/>
        </w:rPr>
      </w:pPr>
    </w:p>
    <w:p>
      <w:pPr>
        <w:ind w:left="1200" w:right="1339" w:firstLine="244"/>
        <w:spacing w:after="0" w:line="124"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 w:lineRule="exact"/>
        <w:rPr>
          <w:sz w:val="24"/>
          <w:szCs w:val="24"/>
          <w:color w:val="auto"/>
        </w:rPr>
      </w:pPr>
    </w:p>
    <w:p>
      <w:pPr>
        <w:ind w:left="1200" w:right="1279" w:firstLine="244"/>
        <w:spacing w:after="0" w:line="121" w:lineRule="exact"/>
        <w:rPr>
          <w:sz w:val="20"/>
          <w:szCs w:val="20"/>
          <w:color w:val="auto"/>
        </w:rPr>
      </w:pPr>
      <w:r>
        <w:rPr>
          <w:rFonts w:ascii="Times New Roman" w:cs="Times New Roman" w:eastAsia="Times New Roman" w:hAnsi="Times New Roman"/>
          <w:sz w:val="10"/>
          <w:szCs w:val="10"/>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ind w:left="1200" w:right="1459" w:firstLine="244"/>
        <w:spacing w:after="0" w:line="122" w:lineRule="exact"/>
        <w:rPr>
          <w:sz w:val="20"/>
          <w:szCs w:val="20"/>
          <w:color w:val="auto"/>
        </w:rPr>
      </w:pPr>
      <w:r>
        <w:rPr>
          <w:rFonts w:ascii="Times New Roman" w:cs="Times New Roman" w:eastAsia="Times New Roman" w:hAnsi="Times New Roman"/>
          <w:sz w:val="10"/>
          <w:szCs w:val="10"/>
          <w:color w:val="auto"/>
        </w:rPr>
        <w:t xml:space="preserve">If this Form is a registration statement pursuant to General Instruction I.D. or a post -effective amendment thereto that shall become effective upon filing with the Commission pursuant to Rule 462(e) under the Securities Act, check the following box. </w:t>
      </w:r>
      <w:r>
        <w:rPr>
          <w:rFonts w:ascii="MS PGothic" w:cs="MS PGothic" w:eastAsia="MS PGothic" w:hAnsi="MS PGothic"/>
          <w:sz w:val="10"/>
          <w:szCs w:val="10"/>
          <w:color w:val="auto"/>
        </w:rPr>
        <w:t>☒</w:t>
      </w:r>
    </w:p>
    <w:p>
      <w:pPr>
        <w:spacing w:after="0" w:line="1" w:lineRule="exact"/>
        <w:rPr>
          <w:sz w:val="24"/>
          <w:szCs w:val="24"/>
          <w:color w:val="auto"/>
        </w:rPr>
      </w:pPr>
    </w:p>
    <w:p>
      <w:pPr>
        <w:ind w:left="1200" w:right="1599" w:firstLine="244"/>
        <w:spacing w:after="0" w:line="124"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0"/>
          <w:szCs w:val="10"/>
          <w:color w:val="auto"/>
        </w:rPr>
        <w:t>☐</w:t>
      </w:r>
    </w:p>
    <w:p>
      <w:pPr>
        <w:spacing w:after="0" w:line="1" w:lineRule="exact"/>
        <w:rPr>
          <w:sz w:val="24"/>
          <w:szCs w:val="24"/>
          <w:color w:val="auto"/>
        </w:rPr>
      </w:pPr>
    </w:p>
    <w:p>
      <w:pPr>
        <w:ind w:left="1200" w:right="1579" w:firstLine="244"/>
        <w:spacing w:after="0" w:line="239"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440" w:type="dxa"/>
        <w:tblCellMar>
          <w:top w:w="0" w:type="dxa"/>
          <w:left w:w="0" w:type="dxa"/>
          <w:bottom w:w="0" w:type="dxa"/>
          <w:right w:w="0" w:type="dxa"/>
        </w:tblCellMar>
      </w:tblPr>
      <w:tr>
        <w:trPr>
          <w:trHeight w:val="105"/>
        </w:trPr>
        <w:tc>
          <w:tcPr>
            <w:tcW w:w="122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​Large accelerated filer</w:t>
            </w:r>
          </w:p>
        </w:tc>
        <w:tc>
          <w:tcPr>
            <w:tcW w:w="1620" w:type="dxa"/>
            <w:vAlign w:val="bottom"/>
          </w:tcPr>
          <w:p>
            <w:pPr>
              <w:ind w:left="240"/>
              <w:spacing w:after="0" w:line="101" w:lineRule="exact"/>
              <w:rPr>
                <w:sz w:val="20"/>
                <w:szCs w:val="20"/>
                <w:color w:val="auto"/>
              </w:rPr>
            </w:pPr>
            <w:r>
              <w:rPr>
                <w:rFonts w:ascii="MS PGothic" w:cs="MS PGothic" w:eastAsia="MS PGothic" w:hAnsi="MS PGothic"/>
                <w:sz w:val="10"/>
                <w:szCs w:val="10"/>
                <w:color w:val="auto"/>
              </w:rPr>
              <w:t>☐</w:t>
            </w:r>
          </w:p>
        </w:tc>
        <w:tc>
          <w:tcPr>
            <w:tcW w:w="1320" w:type="dxa"/>
            <w:vAlign w:val="bottom"/>
          </w:tcPr>
          <w:p>
            <w:pPr>
              <w:ind w:left="12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50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Non-accelerated filer</w:t>
            </w:r>
          </w:p>
        </w:tc>
        <w:tc>
          <w:tcPr>
            <w:tcW w:w="400" w:type="dxa"/>
            <w:vAlign w:val="bottom"/>
            <w:gridSpan w:val="2"/>
          </w:tcPr>
          <w:p>
            <w:pPr>
              <w:jc w:val="right"/>
              <w:spacing w:after="0" w:line="10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12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w:t>
            </w:r>
          </w:p>
        </w:tc>
        <w:tc>
          <w:tcPr>
            <w:tcW w:w="1620" w:type="dxa"/>
            <w:vAlign w:val="bottom"/>
            <w:vMerge w:val="restart"/>
          </w:tcPr>
          <w:p>
            <w:pPr>
              <w:ind w:left="240"/>
              <w:spacing w:after="0" w:line="101" w:lineRule="exact"/>
              <w:rPr>
                <w:sz w:val="20"/>
                <w:szCs w:val="20"/>
                <w:color w:val="auto"/>
              </w:rPr>
            </w:pPr>
            <w:r>
              <w:rPr>
                <w:rFonts w:ascii="MS PGothic" w:cs="MS PGothic" w:eastAsia="MS PGothic" w:hAnsi="MS PGothic"/>
                <w:sz w:val="10"/>
                <w:szCs w:val="10"/>
                <w:color w:val="auto"/>
              </w:rPr>
              <w:t>☐</w:t>
            </w:r>
          </w:p>
        </w:tc>
        <w:tc>
          <w:tcPr>
            <w:tcW w:w="1320" w:type="dxa"/>
            <w:vAlign w:val="bottom"/>
          </w:tcPr>
          <w:p>
            <w:pPr>
              <w:ind w:left="128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380" w:type="dxa"/>
            <w:vAlign w:val="bottom"/>
            <w:vMerge w:val="restart"/>
          </w:tcPr>
          <w:p>
            <w:pPr>
              <w:ind w:left="280"/>
              <w:spacing w:after="0" w:line="101" w:lineRule="exact"/>
              <w:rPr>
                <w:sz w:val="20"/>
                <w:szCs w:val="20"/>
                <w:color w:val="auto"/>
              </w:rPr>
            </w:pPr>
            <w:r>
              <w:rPr>
                <w:rFonts w:ascii="MS PGothic" w:cs="MS PGothic" w:eastAsia="MS PGothic" w:hAnsi="MS PGothic"/>
                <w:sz w:val="10"/>
                <w:szCs w:val="10"/>
                <w:color w:val="auto"/>
                <w:w w:val="7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60"/>
        </w:trPr>
        <w:tc>
          <w:tcPr>
            <w:tcW w:w="1220" w:type="dxa"/>
            <w:vAlign w:val="bottom"/>
          </w:tcPr>
          <w:p>
            <w:pPr>
              <w:spacing w:after="0" w:line="61" w:lineRule="exact"/>
              <w:rPr>
                <w:sz w:val="20"/>
                <w:szCs w:val="20"/>
                <w:color w:val="auto"/>
              </w:rPr>
            </w:pPr>
            <w:r>
              <w:rPr>
                <w:rFonts w:ascii="Times New Roman" w:cs="Times New Roman" w:eastAsia="Times New Roman" w:hAnsi="Times New Roman"/>
                <w:sz w:val="6"/>
                <w:szCs w:val="6"/>
                <w:color w:val="auto"/>
              </w:rPr>
              <w:t>Accelerated filer</w:t>
            </w:r>
          </w:p>
        </w:tc>
        <w:tc>
          <w:tcPr>
            <w:tcW w:w="162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20" w:type="dxa"/>
            <w:vAlign w:val="bottom"/>
          </w:tcPr>
          <w:p>
            <w:pPr>
              <w:spacing w:after="0"/>
              <w:rPr>
                <w:sz w:val="23"/>
                <w:szCs w:val="23"/>
                <w:color w:val="auto"/>
              </w:rPr>
            </w:pPr>
          </w:p>
        </w:tc>
        <w:tc>
          <w:tcPr>
            <w:tcW w:w="2900" w:type="dxa"/>
            <w:vAlign w:val="bottom"/>
            <w:gridSpan w:val="3"/>
          </w:tcPr>
          <w:p>
            <w:pPr>
              <w:ind w:left="1280"/>
              <w:spacing w:after="0"/>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0"/>
                <w:szCs w:val="10"/>
                <w:color w:val="auto"/>
              </w:rPr>
              <w:t xml:space="preserve"> Emerging growth company</w:t>
            </w:r>
          </w:p>
        </w:tc>
        <w:tc>
          <w:tcPr>
            <w:tcW w:w="400" w:type="dxa"/>
            <w:vAlign w:val="bottom"/>
            <w:gridSpan w:val="2"/>
          </w:tcPr>
          <w:p>
            <w:pPr>
              <w:jc w:val="right"/>
              <w:spacing w:after="0" w:line="230"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200" w:right="1279" w:firstLine="244"/>
        <w:spacing w:after="0" w:line="128"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765175</wp:posOffset>
            </wp:positionH>
            <wp:positionV relativeFrom="paragraph">
              <wp:posOffset>54610</wp:posOffset>
            </wp:positionV>
            <wp:extent cx="41897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89730" cy="5715"/>
                    </a:xfrm>
                    <a:prstGeom prst="rect">
                      <a:avLst/>
                    </a:prstGeom>
                    <a:noFill/>
                  </pic:spPr>
                </pic:pic>
              </a:graphicData>
            </a:graphic>
          </wp:anchor>
        </w:drawing>
      </w:r>
    </w:p>
    <w:p>
      <w:pPr>
        <w:spacing w:after="0" w:line="7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765175</wp:posOffset>
            </wp:positionH>
            <wp:positionV relativeFrom="paragraph">
              <wp:posOffset>6350</wp:posOffset>
            </wp:positionV>
            <wp:extent cx="418973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89730" cy="114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173990</wp:posOffset>
            </wp:positionV>
            <wp:extent cx="463359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1" w:name="page2"/>
    <w:bookmarkEnd w:id="1"/>
    <w:p>
      <w:pPr>
        <w:ind w:left="880"/>
        <w:spacing w:after="0"/>
        <w:rPr>
          <w:sz w:val="20"/>
          <w:szCs w:val="20"/>
          <w:color w:val="auto"/>
        </w:rPr>
      </w:pPr>
      <w:r>
        <w:rPr>
          <w:rFonts w:ascii="Calibri" w:cs="Calibri" w:eastAsia="Calibri" w:hAnsi="Calibri"/>
          <w:sz w:val="10"/>
          <w:szCs w:val="10"/>
          <w:color w:val="003366"/>
        </w:rPr>
        <w:t>TABLE OF CONTENTS</w:t>
      </w:r>
    </w:p>
    <w:p>
      <w:pPr>
        <w:spacing w:after="0" w:line="33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90170</wp:posOffset>
            </wp:positionV>
            <wp:extent cx="87757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75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ind w:left="3880"/>
        <w:spacing w:after="0"/>
        <w:rPr>
          <w:sz w:val="20"/>
          <w:szCs w:val="20"/>
          <w:color w:val="auto"/>
        </w:rPr>
      </w:pPr>
      <w:r>
        <w:rPr>
          <w:rFonts w:ascii="Times New Roman" w:cs="Times New Roman" w:eastAsia="Times New Roman" w:hAnsi="Times New Roman"/>
          <w:sz w:val="12"/>
          <w:szCs w:val="12"/>
          <w:b w:val="1"/>
          <w:bCs w:val="1"/>
          <w:color w:val="auto"/>
        </w:rPr>
        <w:t>(an Irish public limited company)</w:t>
      </w:r>
    </w:p>
    <w:p>
      <w:pPr>
        <w:spacing w:after="0" w:line="1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Options</w:t>
      </w:r>
    </w:p>
    <w:p>
      <w:pPr>
        <w:spacing w:after="0" w:line="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Warrants</w:t>
      </w:r>
    </w:p>
    <w:p>
      <w:pPr>
        <w:ind w:left="3800"/>
        <w:spacing w:after="0" w:line="235" w:lineRule="auto"/>
        <w:rPr>
          <w:sz w:val="20"/>
          <w:szCs w:val="20"/>
          <w:color w:val="auto"/>
        </w:rPr>
      </w:pPr>
      <w:r>
        <w:rPr>
          <w:rFonts w:ascii="Times New Roman" w:cs="Times New Roman" w:eastAsia="Times New Roman" w:hAnsi="Times New Roman"/>
          <w:sz w:val="17"/>
          <w:szCs w:val="17"/>
          <w:b w:val="1"/>
          <w:bCs w:val="1"/>
          <w:color w:val="auto"/>
        </w:rPr>
        <w:t>Share Purchase Contracts</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Share Purchase Units</w:t>
      </w:r>
    </w:p>
    <w:p>
      <w:pPr>
        <w:spacing w:after="0" w:line="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Guarantees of Debt Securities</w:t>
      </w:r>
    </w:p>
    <w:p>
      <w:pPr>
        <w:spacing w:after="0" w:line="60"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Weatherford International Ltd.</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 xml:space="preserve">Weatherford International, LLC </w:t>
            </w:r>
            <w:r>
              <w:rPr>
                <w:rFonts w:ascii="Times New Roman" w:cs="Times New Roman" w:eastAsia="Times New Roman" w:hAnsi="Times New Roman"/>
                <w:sz w:val="12"/>
                <w:szCs w:val="12"/>
                <w:b w:val="1"/>
                <w:bCs w:val="1"/>
                <w:color w:val="auto"/>
                <w:w w:val="94"/>
              </w:rPr>
              <w:t>​</w:t>
            </w:r>
          </w:p>
        </w:tc>
        <w:tc>
          <w:tcPr>
            <w:tcW w:w="0" w:type="dxa"/>
            <w:vAlign w:val="bottom"/>
          </w:tcPr>
          <w:p>
            <w:pPr>
              <w:spacing w:after="0"/>
              <w:rPr>
                <w:sz w:val="1"/>
                <w:szCs w:val="1"/>
                <w:color w:val="auto"/>
              </w:rPr>
            </w:pPr>
          </w:p>
        </w:tc>
      </w:tr>
      <w:tr>
        <w:trPr>
          <w:trHeight w:val="161"/>
        </w:trPr>
        <w:tc>
          <w:tcPr>
            <w:tcW w:w="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 Bermuda exempted company)</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2480" w:type="dxa"/>
            <w:vAlign w:val="bottom"/>
          </w:tcPr>
          <w:p>
            <w:pPr>
              <w:jc w:val="center"/>
              <w:ind w:left="110"/>
              <w:spacing w:after="0"/>
              <w:rPr>
                <w:sz w:val="20"/>
                <w:szCs w:val="20"/>
                <w:color w:val="auto"/>
              </w:rPr>
            </w:pPr>
            <w:r>
              <w:rPr>
                <w:rFonts w:ascii="Times New Roman" w:cs="Times New Roman" w:eastAsia="Times New Roman" w:hAnsi="Times New Roman"/>
                <w:sz w:val="12"/>
                <w:szCs w:val="12"/>
                <w:b w:val="1"/>
                <w:bCs w:val="1"/>
                <w:color w:val="auto"/>
                <w:w w:val="96"/>
              </w:rPr>
              <w:t>(a Delaware limited liability company)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0"/>
        </w:trPr>
        <w:tc>
          <w:tcPr>
            <w:tcW w:w="60" w:type="dxa"/>
            <w:vAlign w:val="bottom"/>
            <w:vMerge w:val="continue"/>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Debt Securities</w:t>
            </w:r>
          </w:p>
        </w:tc>
        <w:tc>
          <w:tcPr>
            <w:tcW w:w="200" w:type="dxa"/>
            <w:vAlign w:val="bottom"/>
            <w:vMerge w:val="continue"/>
          </w:tcPr>
          <w:p>
            <w:pPr>
              <w:spacing w:after="0"/>
              <w:rPr>
                <w:sz w:val="13"/>
                <w:szCs w:val="13"/>
                <w:color w:val="auto"/>
              </w:rPr>
            </w:pPr>
          </w:p>
        </w:tc>
        <w:tc>
          <w:tcPr>
            <w:tcW w:w="2480" w:type="dxa"/>
            <w:vAlign w:val="bottom"/>
          </w:tcPr>
          <w:p>
            <w:pPr>
              <w:jc w:val="center"/>
              <w:ind w:left="90"/>
              <w:spacing w:after="0"/>
              <w:rPr>
                <w:sz w:val="20"/>
                <w:szCs w:val="20"/>
                <w:color w:val="auto"/>
              </w:rPr>
            </w:pPr>
            <w:r>
              <w:rPr>
                <w:rFonts w:ascii="Times New Roman" w:cs="Times New Roman" w:eastAsia="Times New Roman" w:hAnsi="Times New Roman"/>
                <w:sz w:val="12"/>
                <w:szCs w:val="12"/>
                <w:b w:val="1"/>
                <w:bCs w:val="1"/>
                <w:color w:val="auto"/>
                <w:w w:val="97"/>
              </w:rPr>
              <w:t>Debt Securities</w:t>
            </w: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Guarantees of Debt Securities</w:t>
            </w:r>
          </w:p>
        </w:tc>
        <w:tc>
          <w:tcPr>
            <w:tcW w:w="200" w:type="dxa"/>
            <w:vAlign w:val="bottom"/>
          </w:tcPr>
          <w:p>
            <w:pPr>
              <w:spacing w:after="0"/>
              <w:rPr>
                <w:sz w:val="13"/>
                <w:szCs w:val="13"/>
                <w:color w:val="auto"/>
              </w:rPr>
            </w:pPr>
          </w:p>
        </w:tc>
        <w:tc>
          <w:tcPr>
            <w:tcW w:w="2480" w:type="dxa"/>
            <w:vAlign w:val="bottom"/>
          </w:tcPr>
          <w:p>
            <w:pPr>
              <w:jc w:val="center"/>
              <w:ind w:left="110"/>
              <w:spacing w:after="0"/>
              <w:rPr>
                <w:sz w:val="20"/>
                <w:szCs w:val="20"/>
                <w:color w:val="auto"/>
              </w:rPr>
            </w:pPr>
            <w:r>
              <w:rPr>
                <w:rFonts w:ascii="Times New Roman" w:cs="Times New Roman" w:eastAsia="Times New Roman" w:hAnsi="Times New Roman"/>
                <w:sz w:val="12"/>
                <w:szCs w:val="12"/>
                <w:b w:val="1"/>
                <w:bCs w:val="1"/>
                <w:color w:val="auto"/>
                <w:w w:val="98"/>
              </w:rPr>
              <w:t>Guarantees of Debt Securities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940" w:right="1699" w:firstLine="244"/>
        <w:spacing w:after="0" w:line="260" w:lineRule="auto"/>
        <w:rPr>
          <w:sz w:val="20"/>
          <w:szCs w:val="20"/>
          <w:color w:val="auto"/>
        </w:rPr>
      </w:pPr>
      <w:r>
        <w:rPr>
          <w:rFonts w:ascii="Times New Roman" w:cs="Times New Roman" w:eastAsia="Times New Roman" w:hAnsi="Times New Roman"/>
          <w:sz w:val="12"/>
          <w:szCs w:val="12"/>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79" w:lineRule="exact"/>
        <w:rPr>
          <w:sz w:val="20"/>
          <w:szCs w:val="20"/>
          <w:color w:val="auto"/>
        </w:rPr>
      </w:pPr>
    </w:p>
    <w:p>
      <w:pPr>
        <w:ind w:left="1940" w:right="1559" w:firstLine="244"/>
        <w:spacing w:after="0" w:line="261" w:lineRule="auto"/>
        <w:rPr>
          <w:sz w:val="20"/>
          <w:szCs w:val="20"/>
          <w:color w:val="auto"/>
        </w:rPr>
      </w:pPr>
      <w:r>
        <w:rPr>
          <w:rFonts w:ascii="Times New Roman" w:cs="Times New Roman" w:eastAsia="Times New Roman" w:hAnsi="Times New Roman"/>
          <w:sz w:val="12"/>
          <w:szCs w:val="12"/>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any investment decision. This prospectus may not be used to consummate sales of securities of Weatherford Ireland, Weatherford Bermuda or Weatherford Delaware, unless it is accompanied by a prospectus supplement.</w:t>
      </w:r>
    </w:p>
    <w:p>
      <w:pPr>
        <w:spacing w:after="0" w:line="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2"/>
          <w:szCs w:val="12"/>
          <w:color w:val="auto"/>
        </w:rPr>
        <w:t>The ordinary shares of Weatherford Ireland are traded on the Nasdaq Global Select Market (“Nasdaq”)</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under the symbol “WFRD”.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151130</wp:posOffset>
            </wp:positionV>
            <wp:extent cx="8369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6930" cy="5715"/>
                    </a:xfrm>
                    <a:prstGeom prst="rect">
                      <a:avLst/>
                    </a:prstGeom>
                    <a:noFill/>
                  </pic:spPr>
                </pic:pic>
              </a:graphicData>
            </a:graphic>
          </wp:anchor>
        </w:drawing>
      </w:r>
    </w:p>
    <w:p>
      <w:pPr>
        <w:spacing w:after="0" w:line="359" w:lineRule="exact"/>
        <w:rPr>
          <w:sz w:val="20"/>
          <w:szCs w:val="20"/>
          <w:color w:val="auto"/>
        </w:rPr>
      </w:pPr>
    </w:p>
    <w:p>
      <w:pPr>
        <w:ind w:left="1940" w:right="1619" w:firstLine="244"/>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Investing in our securities involves risk. You should carefully review the risks and uncertainties described under the headings “Forward-Looking Statements” on page </w:t>
      </w:r>
      <w:r>
        <w:rPr>
          <w:rFonts w:ascii="Times New Roman" w:cs="Times New Roman" w:eastAsia="Times New Roman" w:hAnsi="Times New Roman"/>
          <w:sz w:val="12"/>
          <w:szCs w:val="12"/>
          <w:b w:val="1"/>
          <w:bCs w:val="1"/>
          <w:u w:val="single" w:color="auto"/>
          <w:color w:val="0000EE"/>
        </w:rPr>
        <w:t>4</w:t>
      </w:r>
      <w:r>
        <w:rPr>
          <w:rFonts w:ascii="Times New Roman" w:cs="Times New Roman" w:eastAsia="Times New Roman" w:hAnsi="Times New Roman"/>
          <w:sz w:val="12"/>
          <w:szCs w:val="12"/>
          <w:b w:val="1"/>
          <w:bCs w:val="1"/>
          <w:color w:val="auto"/>
        </w:rPr>
        <w:t xml:space="preserve"> and “Risk Factors” on page </w:t>
      </w:r>
      <w:r>
        <w:rPr>
          <w:rFonts w:ascii="Times New Roman" w:cs="Times New Roman" w:eastAsia="Times New Roman" w:hAnsi="Times New Roman"/>
          <w:sz w:val="12"/>
          <w:szCs w:val="12"/>
          <w:b w:val="1"/>
          <w:bCs w:val="1"/>
          <w:u w:val="single" w:color="auto"/>
          <w:color w:val="0000EE"/>
        </w:rPr>
        <w:t>7</w:t>
      </w:r>
      <w:r>
        <w:rPr>
          <w:rFonts w:ascii="Times New Roman" w:cs="Times New Roman" w:eastAsia="Times New Roman" w:hAnsi="Times New Roman"/>
          <w:sz w:val="12"/>
          <w:szCs w:val="12"/>
          <w:b w:val="1"/>
          <w:bCs w:val="1"/>
          <w:color w:val="auto"/>
        </w:rPr>
        <w:t xml:space="preserve"> herein and in the applicable prospectus supplement and the risk factors included in our periodic reports that we file with the Securities and Exchange Commission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136525</wp:posOffset>
            </wp:positionV>
            <wp:extent cx="8369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6930" cy="5715"/>
                    </a:xfrm>
                    <a:prstGeom prst="rect">
                      <a:avLst/>
                    </a:prstGeom>
                    <a:noFill/>
                  </pic:spPr>
                </pic:pic>
              </a:graphicData>
            </a:graphic>
          </wp:anchor>
        </w:drawing>
      </w:r>
    </w:p>
    <w:p>
      <w:pPr>
        <w:spacing w:after="0" w:line="336" w:lineRule="exact"/>
        <w:rPr>
          <w:sz w:val="20"/>
          <w:szCs w:val="20"/>
          <w:color w:val="auto"/>
        </w:rPr>
      </w:pPr>
    </w:p>
    <w:p>
      <w:pPr>
        <w:ind w:left="1940" w:right="1679" w:firstLine="244"/>
        <w:spacing w:after="0" w:line="274"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466725</wp:posOffset>
            </wp:positionV>
            <wp:extent cx="463359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 w:name="page3"/>
    <w:bookmarkEnd w:id="2"/>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6985</wp:posOffset>
            </wp:positionV>
            <wp:extent cx="3533140" cy="116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ABOUT THIS PROSPECTUS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33140" cy="1104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FORWARD-LOOKING STATEMENTS</w:t>
      </w: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6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RISK FACTORS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6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DESCRIPTION OF OUR ORDINARY SHARES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DESCRIPTION OF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6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DESCRIPTION OF DEBT SECURITIES</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DESCRIPTION OF SHARE PURCHASE CONTRACTS AND SHARE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PLAN OF DISTRIBUTION</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13335</wp:posOffset>
            </wp:positionV>
            <wp:extent cx="3533140" cy="11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3140" cy="116205"/>
                    </a:xfrm>
                    <a:prstGeom prst="rect">
                      <a:avLst/>
                    </a:prstGeom>
                    <a:noFill/>
                  </pic:spPr>
                </pic:pic>
              </a:graphicData>
            </a:graphic>
          </wp:anchor>
        </w:drawing>
      </w: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u w:val="single" w:color="auto"/>
          <w:color w:val="0000EE"/>
        </w:rPr>
        <w:t>EXPERTS</w:t>
      </w:r>
    </w:p>
    <w:p>
      <w:pPr>
        <w:spacing w:after="0" w:line="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2"/>
          <w:szCs w:val="12"/>
          <w:u w:val="single" w:color="auto"/>
          <w:color w:val="0000EE"/>
        </w:rPr>
        <w:t>SERVICE OF PROCESS AND ENFORCEMENT OF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Page </w:t>
      </w:r>
      <w:r>
        <w:rPr>
          <w:rFonts w:ascii="Times New Roman" w:cs="Times New Roman" w:eastAsia="Times New Roman" w:hAnsi="Times New Roman"/>
          <w:sz w:val="19"/>
          <w:szCs w:val="19"/>
          <w:b w:val="1"/>
          <w:bCs w:val="1"/>
          <w:color w:val="auto"/>
          <w:vertAlign w:val="subscript"/>
        </w:rPr>
        <w:t>​</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15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0000EE"/>
        </w:rPr>
        <w:t>29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p>
      <w:pPr>
        <w:sectPr>
          <w:pgSz w:w="11900" w:h="16838" w:orient="portrait"/>
          <w:cols w:equalWidth="0" w:num="2">
            <w:col w:w="6500" w:space="420"/>
            <w:col w:w="2099"/>
          </w:cols>
          <w:pgMar w:left="1440" w:top="105" w:right="1440" w:bottom="1440" w:gutter="0" w:footer="0" w:header="0"/>
        </w:sectPr>
      </w:pPr>
    </w:p>
    <w:bookmarkStart w:id="3" w:name="page4"/>
    <w:bookmarkEnd w:id="3"/>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ABOUT THIS PROSPECTUS</w:t>
      </w:r>
    </w:p>
    <w:p>
      <w:pPr>
        <w:spacing w:after="0" w:line="111" w:lineRule="exact"/>
        <w:rPr>
          <w:sz w:val="20"/>
          <w:szCs w:val="20"/>
          <w:color w:val="auto"/>
        </w:rPr>
      </w:pPr>
    </w:p>
    <w:p>
      <w:pPr>
        <w:ind w:left="1720" w:right="1739" w:firstLine="244"/>
        <w:spacing w:after="0" w:line="245" w:lineRule="auto"/>
        <w:rPr>
          <w:sz w:val="20"/>
          <w:szCs w:val="20"/>
          <w:color w:val="auto"/>
        </w:rPr>
      </w:pPr>
      <w:r>
        <w:rPr>
          <w:rFonts w:ascii="Times New Roman" w:cs="Times New Roman" w:eastAsia="Times New Roman" w:hAnsi="Times New Roman"/>
          <w:sz w:val="12"/>
          <w:szCs w:val="12"/>
          <w:color w:val="auto"/>
        </w:rPr>
        <w:t>This prospectus is part of a registration statement on Form S-3 that we filed with the U.S. Securities and Exchange Commission, which we refer to as 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365" w:lineRule="exact"/>
        <w:rPr>
          <w:sz w:val="20"/>
          <w:szCs w:val="20"/>
          <w:color w:val="auto"/>
        </w:rPr>
      </w:pPr>
    </w:p>
    <w:p>
      <w:pPr>
        <w:ind w:left="1720" w:right="1759" w:firstLine="244"/>
        <w:spacing w:after="0" w:line="248" w:lineRule="auto"/>
        <w:rPr>
          <w:sz w:val="20"/>
          <w:szCs w:val="20"/>
          <w:color w:val="auto"/>
        </w:rPr>
      </w:pPr>
      <w:r>
        <w:rPr>
          <w:rFonts w:ascii="Times New Roman" w:cs="Times New Roman" w:eastAsia="Times New Roman" w:hAnsi="Times New Roman"/>
          <w:sz w:val="12"/>
          <w:szCs w:val="12"/>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Important — EEA Investors</w:t>
      </w:r>
    </w:p>
    <w:p>
      <w:pPr>
        <w:spacing w:after="0" w:line="1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This document is not, and is not intended to be, a prospectus for the purposes of Regulation</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(EU) 2017/1129 of the European Parliament and of the Council of 14 June 2017 on the prospectus to be</w:t>
      </w:r>
    </w:p>
    <w:p>
      <w:pPr>
        <w:ind w:left="1720"/>
        <w:spacing w:after="0"/>
        <w:rPr>
          <w:sz w:val="20"/>
          <w:szCs w:val="20"/>
          <w:color w:val="auto"/>
        </w:rPr>
      </w:pPr>
      <w:r>
        <w:rPr>
          <w:rFonts w:ascii="Times New Roman" w:cs="Times New Roman" w:eastAsia="Times New Roman" w:hAnsi="Times New Roman"/>
          <w:sz w:val="12"/>
          <w:szCs w:val="12"/>
          <w:color w:val="auto"/>
        </w:rPr>
        <w:t>published when securities are offered to the public or admitted to trading on a regulated market (as</w:t>
      </w:r>
    </w:p>
    <w:p>
      <w:pPr>
        <w:ind w:left="1720"/>
        <w:spacing w:after="0"/>
        <w:rPr>
          <w:sz w:val="20"/>
          <w:szCs w:val="20"/>
          <w:color w:val="auto"/>
        </w:rPr>
      </w:pPr>
      <w:r>
        <w:rPr>
          <w:rFonts w:ascii="Times New Roman" w:cs="Times New Roman" w:eastAsia="Times New Roman" w:hAnsi="Times New Roman"/>
          <w:sz w:val="12"/>
          <w:szCs w:val="12"/>
          <w:color w:val="auto"/>
        </w:rPr>
        <w:t>amended) (the “EU Prospectus Regulation”), the European Union (Prospectus) Regulations 2019 of Ireland</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or any other legislation, regulations or rules of Ireland or any other member state of the European Economic</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Area (“EEA”) implementing the EU Prospectus Regulation.</w:t>
      </w:r>
    </w:p>
    <w:p>
      <w:pPr>
        <w:spacing w:after="0" w:line="86" w:lineRule="exact"/>
        <w:rPr>
          <w:sz w:val="20"/>
          <w:szCs w:val="20"/>
          <w:color w:val="auto"/>
        </w:rPr>
      </w:pPr>
    </w:p>
    <w:p>
      <w:pPr>
        <w:ind w:left="1720" w:right="1779" w:firstLine="244"/>
        <w:spacing w:after="0" w:line="248" w:lineRule="auto"/>
        <w:rPr>
          <w:sz w:val="20"/>
          <w:szCs w:val="20"/>
          <w:color w:val="auto"/>
        </w:rPr>
      </w:pPr>
      <w:r>
        <w:rPr>
          <w:rFonts w:ascii="Times New Roman" w:cs="Times New Roman" w:eastAsia="Times New Roman" w:hAnsi="Times New Roman"/>
          <w:sz w:val="12"/>
          <w:szCs w:val="12"/>
          <w:color w:val="auto"/>
        </w:rPr>
        <w:t>This document has not been reviewed or approved by the Central Bank of Ireland nor by any other competent or supervisory authority of any other member state of the EEA for the purposes of the EU Prospectus Regulation. No offer to the public of securities of Weatherford Ireland, Weatherford Bermuda or Weatherford Delaware is being, or shall be, made in Ireland or any other member state of the EEA Area on the basis of this document or, otherwise, in circumstances that would require a prospectus to be published pursuant to the EU Prospectus Regulation. Any investment in securities of Weatherford Ireland, Weatherford Bermuda or Weatherford Delaware does not have the status of a bank deposit in Ireland and is not within the scope of the deposit protection scheme operated by the Central Bank of Ireland.</w:t>
      </w:r>
    </w:p>
    <w:p>
      <w:pPr>
        <w:spacing w:after="0" w:line="74" w:lineRule="exact"/>
        <w:rPr>
          <w:sz w:val="20"/>
          <w:szCs w:val="20"/>
          <w:color w:val="auto"/>
        </w:rPr>
      </w:pPr>
    </w:p>
    <w:p>
      <w:pPr>
        <w:ind w:left="1720" w:right="1739" w:firstLine="244"/>
        <w:spacing w:after="0" w:line="248" w:lineRule="auto"/>
        <w:rPr>
          <w:sz w:val="20"/>
          <w:szCs w:val="20"/>
          <w:color w:val="auto"/>
        </w:rPr>
      </w:pPr>
      <w:r>
        <w:rPr>
          <w:rFonts w:ascii="Times New Roman" w:cs="Times New Roman" w:eastAsia="Times New Roman" w:hAnsi="Times New Roman"/>
          <w:sz w:val="12"/>
          <w:szCs w:val="12"/>
          <w:b w:val="1"/>
          <w:bCs w:val="1"/>
          <w:color w:val="auto"/>
        </w:rPr>
        <w:t>Prohibition of sales to EEA retail investors</w:t>
      </w:r>
      <w:r>
        <w:rPr>
          <w:rFonts w:ascii="Times New Roman" w:cs="Times New Roman" w:eastAsia="Times New Roman" w:hAnsi="Times New Roman"/>
          <w:sz w:val="12"/>
          <w:szCs w:val="12"/>
          <w:color w:val="auto"/>
        </w:rPr>
        <w:t>: No securities of Weatherford Ireland, Weatherford Bermuda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Weatherford Delaware are intended to be 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w:t>
      </w:r>
    </w:p>
    <w:p>
      <w:pPr>
        <w:spacing w:after="0" w:line="2" w:lineRule="exact"/>
        <w:rPr>
          <w:sz w:val="20"/>
          <w:szCs w:val="20"/>
          <w:color w:val="auto"/>
        </w:rPr>
      </w:pPr>
    </w:p>
    <w:p>
      <w:pPr>
        <w:ind w:left="1720" w:right="1919"/>
        <w:spacing w:after="0" w:line="266" w:lineRule="auto"/>
        <w:rPr>
          <w:sz w:val="20"/>
          <w:szCs w:val="20"/>
          <w:color w:val="auto"/>
        </w:rPr>
      </w:pPr>
      <w:r>
        <w:rPr>
          <w:rFonts w:ascii="Times New Roman" w:cs="Times New Roman" w:eastAsia="Times New Roman" w:hAnsi="Times New Roman"/>
          <w:sz w:val="12"/>
          <w:szCs w:val="12"/>
          <w:color w:val="auto"/>
        </w:rPr>
        <w:t>point (10) of Article 4(1) of MiFID II; or (iii) not a qualified investor as defined in the EU Prospectus Regulation. Consequently, no key information document required by Regulation (EU) No. 1286/2014 (as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79"/>
        <w:spacing w:after="0" w:line="272" w:lineRule="auto"/>
        <w:rPr>
          <w:sz w:val="20"/>
          <w:szCs w:val="20"/>
          <w:color w:val="auto"/>
        </w:rPr>
      </w:pPr>
      <w:r>
        <w:rPr>
          <w:rFonts w:ascii="Times New Roman" w:cs="Times New Roman" w:eastAsia="Times New Roman" w:hAnsi="Times New Roman"/>
          <w:sz w:val="12"/>
          <w:szCs w:val="12"/>
          <w:color w:val="auto"/>
        </w:rPr>
        <w:t>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w:t>
      </w:r>
    </w:p>
    <w:p>
      <w:pPr>
        <w:spacing w:after="0" w:line="71" w:lineRule="exact"/>
        <w:rPr>
          <w:sz w:val="20"/>
          <w:szCs w:val="20"/>
          <w:color w:val="auto"/>
        </w:rPr>
      </w:pPr>
    </w:p>
    <w:p>
      <w:pPr>
        <w:ind w:left="1720" w:right="2079" w:firstLine="244"/>
        <w:spacing w:after="0" w:line="290" w:lineRule="auto"/>
        <w:rPr>
          <w:sz w:val="20"/>
          <w:szCs w:val="20"/>
          <w:color w:val="auto"/>
        </w:rPr>
      </w:pPr>
      <w:r>
        <w:rPr>
          <w:rFonts w:ascii="Times New Roman" w:cs="Times New Roman" w:eastAsia="Times New Roman" w:hAnsi="Times New Roman"/>
          <w:sz w:val="12"/>
          <w:szCs w:val="12"/>
          <w:color w:val="auto"/>
        </w:rPr>
        <w:t>Unless the context requires otherwise or unless otherwise noted, as used in this prospectus or any prospectus supplement:</w:t>
      </w:r>
    </w:p>
    <w:p>
      <w:pPr>
        <w:spacing w:after="0" w:line="33" w:lineRule="exact"/>
        <w:rPr>
          <w:sz w:val="20"/>
          <w:szCs w:val="20"/>
          <w:color w:val="auto"/>
        </w:rPr>
      </w:pPr>
    </w:p>
    <w:p>
      <w:pPr>
        <w:ind w:left="2080" w:hanging="114"/>
        <w:spacing w:after="0"/>
        <w:tabs>
          <w:tab w:leader="none" w:pos="20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refers to Weatherford International plc, an Irish public limited company.</w:t>
      </w:r>
    </w:p>
    <w:p>
      <w:pPr>
        <w:spacing w:after="0" w:line="81" w:lineRule="exact"/>
        <w:rPr>
          <w:rFonts w:ascii="Times New Roman" w:cs="Times New Roman" w:eastAsia="Times New Roman" w:hAnsi="Times New Roman"/>
          <w:sz w:val="12"/>
          <w:szCs w:val="12"/>
          <w:color w:val="auto"/>
        </w:rPr>
      </w:pPr>
    </w:p>
    <w:p>
      <w:pPr>
        <w:ind w:left="2080" w:right="1779" w:hanging="114"/>
        <w:spacing w:after="0" w:line="290" w:lineRule="auto"/>
        <w:tabs>
          <w:tab w:leader="none" w:pos="20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Bermuda” refers to Weatherford International Ltd., a Bermuda exempted company and wholly owned, indirect subsidiary of Weatherford Ireland.</w:t>
      </w:r>
    </w:p>
    <w:p>
      <w:pPr>
        <w:spacing w:after="0" w:line="32" w:lineRule="exact"/>
        <w:rPr>
          <w:rFonts w:ascii="Times New Roman" w:cs="Times New Roman" w:eastAsia="Times New Roman" w:hAnsi="Times New Roman"/>
          <w:sz w:val="12"/>
          <w:szCs w:val="12"/>
          <w:color w:val="auto"/>
        </w:rPr>
      </w:pPr>
    </w:p>
    <w:p>
      <w:pPr>
        <w:ind w:left="2080" w:right="2079" w:hanging="114"/>
        <w:spacing w:after="0" w:line="290" w:lineRule="auto"/>
        <w:tabs>
          <w:tab w:leader="none" w:pos="20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Delaware” refers to Weatherford International, LLC, a Delaware limited liability company and wholly owned, indirect subsidiary of Weatherford Ireland.</w:t>
      </w:r>
    </w:p>
    <w:p>
      <w:pPr>
        <w:spacing w:after="0" w:line="32" w:lineRule="exact"/>
        <w:rPr>
          <w:rFonts w:ascii="Times New Roman" w:cs="Times New Roman" w:eastAsia="Times New Roman" w:hAnsi="Times New Roman"/>
          <w:sz w:val="12"/>
          <w:szCs w:val="12"/>
          <w:color w:val="auto"/>
        </w:rPr>
      </w:pPr>
    </w:p>
    <w:p>
      <w:pPr>
        <w:ind w:left="2080" w:right="2159" w:hanging="114"/>
        <w:spacing w:after="0" w:line="290" w:lineRule="auto"/>
        <w:tabs>
          <w:tab w:leader="none" w:pos="20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 or “our” refers to Weatherford Ireland and its subsidiaries (including Weatherford Bermuda and Weatherford Delaware)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WHERE YOU CAN FIND MORE INFORMATION</w:t>
      </w:r>
    </w:p>
    <w:p>
      <w:pPr>
        <w:spacing w:after="0" w:line="111" w:lineRule="exact"/>
        <w:rPr>
          <w:sz w:val="20"/>
          <w:szCs w:val="20"/>
          <w:color w:val="auto"/>
        </w:rPr>
      </w:pPr>
    </w:p>
    <w:p>
      <w:pPr>
        <w:ind w:left="1720" w:right="1799" w:firstLine="244"/>
        <w:spacing w:after="0" w:line="263" w:lineRule="auto"/>
        <w:rPr>
          <w:sz w:val="20"/>
          <w:szCs w:val="20"/>
          <w:color w:val="auto"/>
        </w:rPr>
      </w:pPr>
      <w:r>
        <w:rPr>
          <w:rFonts w:ascii="Times New Roman" w:cs="Times New Roman" w:eastAsia="Times New Roman" w:hAnsi="Times New Roman"/>
          <w:sz w:val="12"/>
          <w:szCs w:val="12"/>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and at our website at </w:t>
      </w:r>
      <w:r>
        <w:rPr>
          <w:rFonts w:ascii="Times New Roman" w:cs="Times New Roman" w:eastAsia="Times New Roman" w:hAnsi="Times New Roman"/>
          <w:sz w:val="12"/>
          <w:szCs w:val="12"/>
          <w:i w:val="1"/>
          <w:iCs w:val="1"/>
          <w:color w:val="auto"/>
        </w:rPr>
        <w:t>www.weatherford.com</w:t>
      </w:r>
      <w:r>
        <w:rPr>
          <w:rFonts w:ascii="Times New Roman" w:cs="Times New Roman" w:eastAsia="Times New Roman" w:hAnsi="Times New Roman"/>
          <w:sz w:val="12"/>
          <w:szCs w:val="12"/>
          <w:color w:val="auto"/>
        </w:rPr>
        <w:t>. The information contained on or linked to or from our website is not incorporated by reference into this prospectus and should not be considered a part of this prospectus or of any prospectus supplement.</w:t>
      </w:r>
    </w:p>
    <w:p>
      <w:pPr>
        <w:spacing w:after="0" w:line="77" w:lineRule="exact"/>
        <w:rPr>
          <w:sz w:val="20"/>
          <w:szCs w:val="20"/>
          <w:color w:val="auto"/>
        </w:rPr>
      </w:pPr>
    </w:p>
    <w:p>
      <w:pPr>
        <w:ind w:left="1720" w:right="1839" w:firstLine="244"/>
        <w:spacing w:after="0" w:line="263" w:lineRule="auto"/>
        <w:rPr>
          <w:sz w:val="20"/>
          <w:szCs w:val="20"/>
          <w:color w:val="auto"/>
        </w:rPr>
      </w:pPr>
      <w:r>
        <w:rPr>
          <w:rFonts w:ascii="Times New Roman" w:cs="Times New Roman" w:eastAsia="Times New Roman" w:hAnsi="Times New Roman"/>
          <w:sz w:val="12"/>
          <w:szCs w:val="12"/>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49" w:lineRule="exact"/>
        <w:rPr>
          <w:sz w:val="20"/>
          <w:szCs w:val="20"/>
          <w:color w:val="auto"/>
        </w:rPr>
      </w:pPr>
    </w:p>
    <w:p>
      <w:pPr>
        <w:ind w:left="2080" w:right="1799" w:hanging="114"/>
        <w:spacing w:after="0" w:line="290" w:lineRule="auto"/>
        <w:tabs>
          <w:tab w:leader="none" w:pos="2080" w:val="left"/>
        </w:tabs>
        <w:numPr>
          <w:ilvl w:val="0"/>
          <w:numId w:val="2"/>
        </w:numPr>
        <w:rPr>
          <w:rFonts w:ascii="Times New Roman" w:cs="Times New Roman" w:eastAsia="Times New Roman" w:hAnsi="Times New Roman"/>
          <w:sz w:val="12"/>
          <w:szCs w:val="12"/>
          <w:u w:val="single" w:color="auto"/>
          <w:color w:val="0000EE"/>
        </w:rPr>
      </w:pPr>
      <w:hyperlink r:id="rId27">
        <w:r>
          <w:rPr>
            <w:rFonts w:ascii="Times New Roman" w:cs="Times New Roman" w:eastAsia="Times New Roman" w:hAnsi="Times New Roman"/>
            <w:sz w:val="12"/>
            <w:szCs w:val="12"/>
            <w:u w:val="single" w:color="auto"/>
            <w:color w:val="0000EE"/>
          </w:rPr>
          <w:t>Weatherford Ireland’s Annual Report on Form 10-K for the fiscal year ended December 31, 2021, as</w:t>
        </w:r>
      </w:hyperlink>
      <w:r>
        <w:rPr>
          <w:rFonts w:ascii="Times New Roman" w:cs="Times New Roman" w:eastAsia="Times New Roman" w:hAnsi="Times New Roman"/>
          <w:sz w:val="12"/>
          <w:szCs w:val="12"/>
          <w:u w:val="single" w:color="auto"/>
          <w:color w:val="0000EE"/>
        </w:rPr>
        <w:t xml:space="preserve"> </w:t>
      </w:r>
      <w:hyperlink r:id="rId27">
        <w:r>
          <w:rPr>
            <w:rFonts w:ascii="Times New Roman" w:cs="Times New Roman" w:eastAsia="Times New Roman" w:hAnsi="Times New Roman"/>
            <w:sz w:val="12"/>
            <w:szCs w:val="12"/>
            <w:u w:val="single" w:color="auto"/>
            <w:color w:val="0000EE"/>
          </w:rPr>
          <w:t>filed with the SEC on February 17, 2022;</w:t>
        </w:r>
      </w:hyperlink>
    </w:p>
    <w:p>
      <w:pPr>
        <w:spacing w:after="0" w:line="32" w:lineRule="exact"/>
        <w:rPr>
          <w:rFonts w:ascii="Times New Roman" w:cs="Times New Roman" w:eastAsia="Times New Roman" w:hAnsi="Times New Roman"/>
          <w:sz w:val="12"/>
          <w:szCs w:val="12"/>
          <w:u w:val="single" w:color="auto"/>
          <w:color w:val="0000EE"/>
        </w:rPr>
      </w:pPr>
    </w:p>
    <w:p>
      <w:pPr>
        <w:ind w:left="2080" w:right="1919" w:hanging="114"/>
        <w:spacing w:after="0" w:line="272" w:lineRule="auto"/>
        <w:tabs>
          <w:tab w:leader="none" w:pos="2080" w:val="left"/>
        </w:tabs>
        <w:numPr>
          <w:ilvl w:val="0"/>
          <w:numId w:val="2"/>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The portions of our </w:t>
      </w:r>
      <w:hyperlink r:id="rId28">
        <w:r>
          <w:rPr>
            <w:rFonts w:ascii="Times New Roman" w:cs="Times New Roman" w:eastAsia="Times New Roman" w:hAnsi="Times New Roman"/>
            <w:sz w:val="12"/>
            <w:szCs w:val="12"/>
            <w:u w:val="single" w:color="auto"/>
            <w:color w:val="0000EE"/>
          </w:rPr>
          <w:t>Definitive Proxy Statement on Schedule 14A, filed on April 22, 2022</w:t>
        </w:r>
      </w:hyperlink>
      <w:r>
        <w:rPr>
          <w:rFonts w:ascii="Times New Roman" w:cs="Times New Roman" w:eastAsia="Times New Roman" w:hAnsi="Times New Roman"/>
          <w:sz w:val="12"/>
          <w:szCs w:val="12"/>
          <w:color w:val="auto"/>
        </w:rPr>
        <w:t xml:space="preserve">, that are </w:t>
      </w:r>
      <w:hyperlink r:id="rId27">
        <w:r>
          <w:rPr>
            <w:rFonts w:ascii="Times New Roman" w:cs="Times New Roman" w:eastAsia="Times New Roman" w:hAnsi="Times New Roman"/>
            <w:sz w:val="12"/>
            <w:szCs w:val="12"/>
            <w:color w:val="auto"/>
          </w:rPr>
          <w:t xml:space="preserve">incorporated by reference into our </w:t>
        </w:r>
        <w:r>
          <w:rPr>
            <w:rFonts w:ascii="Times New Roman" w:cs="Times New Roman" w:eastAsia="Times New Roman" w:hAnsi="Times New Roman"/>
            <w:sz w:val="12"/>
            <w:szCs w:val="12"/>
            <w:u w:val="single" w:color="auto"/>
            <w:color w:val="0000EE"/>
          </w:rPr>
          <w:t>Annual Report on Form 10-K for the fiscal year ended</w:t>
        </w:r>
      </w:hyperlink>
      <w:r>
        <w:rPr>
          <w:rFonts w:ascii="Times New Roman" w:cs="Times New Roman" w:eastAsia="Times New Roman" w:hAnsi="Times New Roman"/>
          <w:sz w:val="12"/>
          <w:szCs w:val="12"/>
          <w:color w:val="auto"/>
        </w:rPr>
        <w:t xml:space="preserve"> </w:t>
      </w:r>
      <w:hyperlink r:id="rId27">
        <w:r>
          <w:rPr>
            <w:rFonts w:ascii="Times New Roman" w:cs="Times New Roman" w:eastAsia="Times New Roman" w:hAnsi="Times New Roman"/>
            <w:sz w:val="12"/>
            <w:szCs w:val="12"/>
            <w:u w:val="single" w:color="auto"/>
            <w:color w:val="0000EE"/>
          </w:rPr>
          <w:t>December 31, 2021;</w:t>
        </w:r>
      </w:hyperlink>
    </w:p>
    <w:p>
      <w:pPr>
        <w:spacing w:after="0" w:line="43" w:lineRule="exact"/>
        <w:rPr>
          <w:rFonts w:ascii="Times New Roman" w:cs="Times New Roman" w:eastAsia="Times New Roman" w:hAnsi="Times New Roman"/>
          <w:sz w:val="12"/>
          <w:szCs w:val="12"/>
          <w:u w:val="single" w:color="auto"/>
          <w:color w:val="0000EE"/>
        </w:rPr>
      </w:pPr>
    </w:p>
    <w:p>
      <w:pPr>
        <w:ind w:left="2080" w:right="1819" w:hanging="114"/>
        <w:spacing w:after="0" w:line="290" w:lineRule="auto"/>
        <w:tabs>
          <w:tab w:leader="none" w:pos="2080" w:val="left"/>
        </w:tabs>
        <w:numPr>
          <w:ilvl w:val="0"/>
          <w:numId w:val="2"/>
        </w:numPr>
        <w:rPr>
          <w:rFonts w:ascii="Times New Roman" w:cs="Times New Roman" w:eastAsia="Times New Roman" w:hAnsi="Times New Roman"/>
          <w:sz w:val="12"/>
          <w:szCs w:val="12"/>
          <w:u w:val="single" w:color="auto"/>
          <w:color w:val="0000EE"/>
        </w:rPr>
      </w:pPr>
      <w:hyperlink r:id="rId29">
        <w:r>
          <w:rPr>
            <w:rFonts w:ascii="Times New Roman" w:cs="Times New Roman" w:eastAsia="Times New Roman" w:hAnsi="Times New Roman"/>
            <w:sz w:val="12"/>
            <w:szCs w:val="12"/>
            <w:u w:val="single" w:color="auto"/>
            <w:color w:val="0000EE"/>
          </w:rPr>
          <w:t>Our Quarterly Report on Form 10-Q for the quarter ended March 31, 2022, as filed with the SEC on</w:t>
        </w:r>
      </w:hyperlink>
      <w:r>
        <w:rPr>
          <w:rFonts w:ascii="Times New Roman" w:cs="Times New Roman" w:eastAsia="Times New Roman" w:hAnsi="Times New Roman"/>
          <w:sz w:val="12"/>
          <w:szCs w:val="12"/>
          <w:u w:val="single" w:color="auto"/>
          <w:color w:val="0000EE"/>
        </w:rPr>
        <w:t xml:space="preserve"> </w:t>
      </w:r>
      <w:hyperlink r:id="rId29">
        <w:r>
          <w:rPr>
            <w:rFonts w:ascii="Times New Roman" w:cs="Times New Roman" w:eastAsia="Times New Roman" w:hAnsi="Times New Roman"/>
            <w:sz w:val="12"/>
            <w:szCs w:val="12"/>
            <w:u w:val="single" w:color="auto"/>
            <w:color w:val="0000EE"/>
          </w:rPr>
          <w:t>April 28, 2022;</w:t>
        </w:r>
      </w:hyperlink>
    </w:p>
    <w:p>
      <w:pPr>
        <w:spacing w:after="0" w:line="32" w:lineRule="exact"/>
        <w:rPr>
          <w:rFonts w:ascii="Times New Roman" w:cs="Times New Roman" w:eastAsia="Times New Roman" w:hAnsi="Times New Roman"/>
          <w:sz w:val="12"/>
          <w:szCs w:val="12"/>
          <w:u w:val="single" w:color="auto"/>
          <w:color w:val="0000EE"/>
        </w:rPr>
      </w:pPr>
    </w:p>
    <w:p>
      <w:pPr>
        <w:ind w:left="2080" w:right="2019" w:hanging="114"/>
        <w:spacing w:after="0" w:line="290" w:lineRule="auto"/>
        <w:tabs>
          <w:tab w:leader="none" w:pos="2080" w:val="left"/>
        </w:tabs>
        <w:numPr>
          <w:ilvl w:val="0"/>
          <w:numId w:val="2"/>
        </w:numPr>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 xml:space="preserve">Weatherford Ireland’s Current Reports on Form 8-K, as filed with the SEC on </w:t>
      </w:r>
      <w:hyperlink r:id="rId30">
        <w:r>
          <w:rPr>
            <w:rFonts w:ascii="Times New Roman" w:cs="Times New Roman" w:eastAsia="Times New Roman" w:hAnsi="Times New Roman"/>
            <w:sz w:val="12"/>
            <w:szCs w:val="12"/>
            <w:u w:val="single" w:color="auto"/>
            <w:color w:val="0000EE"/>
          </w:rPr>
          <w:t>January 20, 2022</w:t>
        </w:r>
      </w:hyperlink>
      <w:r>
        <w:rPr>
          <w:rFonts w:ascii="Times New Roman" w:cs="Times New Roman" w:eastAsia="Times New Roman" w:hAnsi="Times New Roman"/>
          <w:sz w:val="12"/>
          <w:szCs w:val="12"/>
          <w:color w:val="auto"/>
        </w:rPr>
        <w:t xml:space="preserve">, </w:t>
      </w:r>
      <w:hyperlink r:id="rId31">
        <w:r>
          <w:rPr>
            <w:rFonts w:ascii="Times New Roman" w:cs="Times New Roman" w:eastAsia="Times New Roman" w:hAnsi="Times New Roman"/>
            <w:sz w:val="12"/>
            <w:szCs w:val="12"/>
            <w:u w:val="single" w:color="auto"/>
            <w:color w:val="0000EE"/>
          </w:rPr>
          <w:t>May 16, 2022</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and</w:t>
      </w:r>
      <w:r>
        <w:rPr>
          <w:rFonts w:ascii="Times New Roman" w:cs="Times New Roman" w:eastAsia="Times New Roman" w:hAnsi="Times New Roman"/>
          <w:sz w:val="12"/>
          <w:szCs w:val="12"/>
          <w:color w:val="0000EE"/>
        </w:rPr>
        <w:t xml:space="preserve"> </w:t>
      </w:r>
      <w:hyperlink r:id="rId32">
        <w:r>
          <w:rPr>
            <w:rFonts w:ascii="Times New Roman" w:cs="Times New Roman" w:eastAsia="Times New Roman" w:hAnsi="Times New Roman"/>
            <w:sz w:val="12"/>
            <w:szCs w:val="12"/>
            <w:u w:val="single" w:color="auto"/>
            <w:color w:val="0000EE"/>
          </w:rPr>
          <w:t>June 3, 2022</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and</w:t>
      </w:r>
    </w:p>
    <w:p>
      <w:pPr>
        <w:spacing w:after="0" w:line="32" w:lineRule="exact"/>
        <w:rPr>
          <w:rFonts w:ascii="Times New Roman" w:cs="Times New Roman" w:eastAsia="Times New Roman" w:hAnsi="Times New Roman"/>
          <w:sz w:val="12"/>
          <w:szCs w:val="12"/>
          <w:color w:val="0000EE"/>
        </w:rPr>
      </w:pPr>
    </w:p>
    <w:p>
      <w:pPr>
        <w:ind w:left="2080" w:right="1799" w:hanging="114"/>
        <w:spacing w:after="0" w:line="266" w:lineRule="auto"/>
        <w:tabs>
          <w:tab w:leader="none" w:pos="2080" w:val="left"/>
        </w:tabs>
        <w:numPr>
          <w:ilvl w:val="0"/>
          <w:numId w:val="2"/>
        </w:numPr>
        <w:rPr>
          <w:rFonts w:ascii="Times New Roman" w:cs="Times New Roman" w:eastAsia="Times New Roman" w:hAnsi="Times New Roman"/>
          <w:sz w:val="12"/>
          <w:szCs w:val="12"/>
          <w:color w:val="0000EE"/>
        </w:rPr>
      </w:pPr>
      <w:r>
        <w:rPr>
          <w:rFonts w:ascii="Times New Roman" w:cs="Times New Roman" w:eastAsia="Times New Roman" w:hAnsi="Times New Roman"/>
          <w:sz w:val="12"/>
          <w:szCs w:val="12"/>
          <w:color w:val="auto"/>
        </w:rPr>
        <w:t xml:space="preserve">The description of Weatherford Ireland’s ordinary shares contained in its Registration Statement on </w:t>
      </w:r>
      <w:hyperlink r:id="rId33">
        <w:r>
          <w:rPr>
            <w:rFonts w:ascii="Times New Roman" w:cs="Times New Roman" w:eastAsia="Times New Roman" w:hAnsi="Times New Roman"/>
            <w:sz w:val="12"/>
            <w:szCs w:val="12"/>
            <w:u w:val="single" w:color="auto"/>
            <w:color w:val="0000EE"/>
          </w:rPr>
          <w:t>Form 10, as filed with the SEC on March 29, 2021</w:t>
        </w:r>
        <w:r>
          <w:rPr>
            <w:rFonts w:ascii="Times New Roman" w:cs="Times New Roman" w:eastAsia="Times New Roman" w:hAnsi="Times New Roman"/>
            <w:sz w:val="12"/>
            <w:szCs w:val="12"/>
            <w:color w:val="000000"/>
          </w:rPr>
          <w:t>, as updated by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u w:val="single" w:color="auto"/>
            <w:color w:val="0000EE"/>
          </w:rPr>
          <w:t>Exhibit 4.1 to our Annual Report</w:t>
        </w:r>
      </w:hyperlink>
      <w:r>
        <w:rPr>
          <w:rFonts w:ascii="Times New Roman" w:cs="Times New Roman" w:eastAsia="Times New Roman" w:hAnsi="Times New Roman"/>
          <w:sz w:val="12"/>
          <w:szCs w:val="12"/>
          <w:color w:val="0000EE"/>
        </w:rPr>
        <w:t xml:space="preserve"> </w:t>
      </w:r>
      <w:hyperlink r:id="rId33">
        <w:r>
          <w:rPr>
            <w:rFonts w:ascii="Times New Roman" w:cs="Times New Roman" w:eastAsia="Times New Roman" w:hAnsi="Times New Roman"/>
            <w:sz w:val="12"/>
            <w:szCs w:val="12"/>
            <w:u w:val="single" w:color="auto"/>
            <w:color w:val="0000EE"/>
          </w:rPr>
          <w:t>on Form 10-K for the fiscal year ended December 31, 2021</w:t>
        </w:r>
        <w:r>
          <w:rPr>
            <w:rFonts w:ascii="Times New Roman" w:cs="Times New Roman" w:eastAsia="Times New Roman" w:hAnsi="Times New Roman"/>
            <w:sz w:val="12"/>
            <w:szCs w:val="12"/>
            <w:color w:val="000000"/>
          </w:rPr>
          <w:t>, and any amendment or report filed with</w:t>
        </w:r>
      </w:hyperlink>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the SEC for the purpose of updating such description.</w:t>
      </w:r>
    </w:p>
    <w:p>
      <w:pPr>
        <w:spacing w:after="0" w:line="65" w:lineRule="exact"/>
        <w:rPr>
          <w:rFonts w:ascii="Times New Roman" w:cs="Times New Roman" w:eastAsia="Times New Roman" w:hAnsi="Times New Roman"/>
          <w:sz w:val="12"/>
          <w:szCs w:val="12"/>
          <w:color w:val="auto"/>
        </w:rPr>
      </w:pPr>
    </w:p>
    <w:p>
      <w:pPr>
        <w:ind w:left="1720" w:right="1759" w:firstLine="244"/>
        <w:spacing w:after="0" w:line="259" w:lineRule="auto"/>
        <w:rPr>
          <w:sz w:val="20"/>
          <w:szCs w:val="20"/>
          <w:color w:val="auto"/>
        </w:rPr>
      </w:pPr>
      <w:r>
        <w:rPr>
          <w:rFonts w:ascii="Times New Roman" w:cs="Times New Roman" w:eastAsia="Times New Roman" w:hAnsi="Times New Roman"/>
          <w:sz w:val="12"/>
          <w:szCs w:val="12"/>
          <w:color w:val="auto"/>
        </w:rPr>
        <w:t>In addition, all documents that we subsequently file with the SEC under Sections 13(a), 13(c), 14 or 15(d) of the U.S. Securities Exchange Act of 1934, 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 in this prospectus, in any prospectus supplement, or in any document incorporated by reference that is different from any statement contained in any later-filed document should be regarded as changed by that later statement. Once so changed, the earlier statement is no longer considered part of this prospectus or any prospectus supplement.</w:t>
      </w:r>
    </w:p>
    <w:p>
      <w:pPr>
        <w:spacing w:after="0" w:line="78" w:lineRule="exact"/>
        <w:rPr>
          <w:rFonts w:ascii="Times New Roman" w:cs="Times New Roman" w:eastAsia="Times New Roman" w:hAnsi="Times New Roman"/>
          <w:sz w:val="12"/>
          <w:szCs w:val="12"/>
          <w:color w:val="auto"/>
        </w:rPr>
      </w:pPr>
    </w:p>
    <w:p>
      <w:pPr>
        <w:ind w:left="1720" w:right="2079" w:firstLine="244"/>
        <w:spacing w:after="0" w:line="272" w:lineRule="auto"/>
        <w:rPr>
          <w:sz w:val="20"/>
          <w:szCs w:val="20"/>
          <w:color w:val="auto"/>
        </w:rPr>
      </w:pPr>
      <w:r>
        <w:rPr>
          <w:rFonts w:ascii="Times New Roman" w:cs="Times New Roman" w:eastAsia="Times New Roman" w:hAnsi="Times New Roman"/>
          <w:sz w:val="12"/>
          <w:szCs w:val="12"/>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7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Weatherford International plc</w:t>
      </w:r>
    </w:p>
    <w:p>
      <w:pPr>
        <w:spacing w:after="0" w:line="2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Attention: Investor Relations</w:t>
      </w:r>
    </w:p>
    <w:p>
      <w:pPr>
        <w:spacing w:after="0" w:line="8"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2000 St. James Place</w:t>
      </w:r>
    </w:p>
    <w:p>
      <w:pPr>
        <w:spacing w:after="0" w:line="8"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Houston, Texas 77056</w:t>
      </w:r>
    </w:p>
    <w:p>
      <w:pPr>
        <w:spacing w:after="0" w:line="8" w:lineRule="exact"/>
        <w:rPr>
          <w:rFonts w:ascii="Times New Roman" w:cs="Times New Roman" w:eastAsia="Times New Roman" w:hAnsi="Times New Roman"/>
          <w:sz w:val="12"/>
          <w:szCs w:val="12"/>
          <w:color w:val="auto"/>
        </w:rPr>
      </w:pPr>
    </w:p>
    <w:p>
      <w:pPr>
        <w:jc w:val="center"/>
        <w:spacing w:after="0"/>
        <w:rPr>
          <w:sz w:val="20"/>
          <w:szCs w:val="20"/>
          <w:color w:val="auto"/>
        </w:rPr>
      </w:pPr>
      <w:r>
        <w:rPr>
          <w:rFonts w:ascii="Times New Roman" w:cs="Times New Roman" w:eastAsia="Times New Roman" w:hAnsi="Times New Roman"/>
          <w:sz w:val="12"/>
          <w:szCs w:val="12"/>
          <w:color w:val="auto"/>
        </w:rPr>
        <w:t>(713) 836-4000</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3"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 w:name="page7"/>
    <w:bookmarkEnd w:id="6"/>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1" w:lineRule="exact"/>
        <w:rPr>
          <w:sz w:val="20"/>
          <w:szCs w:val="20"/>
          <w:color w:val="auto"/>
        </w:rPr>
      </w:pPr>
    </w:p>
    <w:p>
      <w:pPr>
        <w:ind w:left="1720" w:right="1739" w:firstLine="244"/>
        <w:spacing w:after="0" w:line="259" w:lineRule="auto"/>
        <w:rPr>
          <w:sz w:val="20"/>
          <w:szCs w:val="20"/>
          <w:color w:val="auto"/>
        </w:rPr>
      </w:pPr>
      <w:r>
        <w:rPr>
          <w:rFonts w:ascii="Times New Roman" w:cs="Times New Roman" w:eastAsia="Times New Roman" w:hAnsi="Times New Roman"/>
          <w:sz w:val="12"/>
          <w:szCs w:val="12"/>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81"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203" w:lineRule="exact"/>
        <w:rPr>
          <w:sz w:val="20"/>
          <w:szCs w:val="20"/>
          <w:color w:val="auto"/>
        </w:rPr>
      </w:pPr>
    </w:p>
    <w:p>
      <w:pPr>
        <w:ind w:left="2080" w:right="1859" w:hanging="114"/>
        <w:spacing w:after="0" w:line="269"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political, economic and market conditions, political disturbances, war, terrorist attacks, changes in global trade policies, weak local economic conditions and international currency fluctuations (including the ongoing military conflict between Russia and Ukraine (“Russia Ukraine Conflict”));</w:t>
      </w:r>
    </w:p>
    <w:p>
      <w:pPr>
        <w:spacing w:after="0" w:line="194" w:lineRule="exact"/>
        <w:rPr>
          <w:rFonts w:ascii="Times New Roman" w:cs="Times New Roman" w:eastAsia="Times New Roman" w:hAnsi="Times New Roman"/>
          <w:sz w:val="12"/>
          <w:szCs w:val="12"/>
          <w:color w:val="auto"/>
        </w:rPr>
      </w:pPr>
    </w:p>
    <w:p>
      <w:pPr>
        <w:ind w:left="2080" w:right="1839" w:hanging="114"/>
        <w:spacing w:after="0" w:line="272"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spacing w:after="0" w:line="43" w:lineRule="exact"/>
        <w:rPr>
          <w:rFonts w:ascii="Times New Roman" w:cs="Times New Roman" w:eastAsia="Times New Roman" w:hAnsi="Times New Roman"/>
          <w:sz w:val="12"/>
          <w:szCs w:val="12"/>
          <w:color w:val="auto"/>
        </w:rPr>
      </w:pPr>
    </w:p>
    <w:p>
      <w:pPr>
        <w:jc w:val="both"/>
        <w:ind w:left="2080" w:right="1819" w:hanging="114"/>
        <w:spacing w:after="0" w:line="283"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and the administration of, treaties, laws, and regulations, including in response to issues related to the Russia Ukraine Conflict and the potential for such issues to exacerbate other risks we face;</w:t>
      </w:r>
    </w:p>
    <w:p>
      <w:pPr>
        <w:spacing w:after="0" w:line="187" w:lineRule="exact"/>
        <w:rPr>
          <w:rFonts w:ascii="Times New Roman" w:cs="Times New Roman" w:eastAsia="Times New Roman" w:hAnsi="Times New Roman"/>
          <w:sz w:val="12"/>
          <w:szCs w:val="12"/>
          <w:color w:val="auto"/>
        </w:rPr>
      </w:pPr>
    </w:p>
    <w:p>
      <w:pPr>
        <w:jc w:val="both"/>
        <w:ind w:left="2080" w:right="1739" w:hanging="114"/>
        <w:spacing w:after="0" w:line="272"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43" w:lineRule="exact"/>
        <w:rPr>
          <w:rFonts w:ascii="Times New Roman" w:cs="Times New Roman" w:eastAsia="Times New Roman" w:hAnsi="Times New Roman"/>
          <w:sz w:val="12"/>
          <w:szCs w:val="12"/>
          <w:color w:val="auto"/>
        </w:rPr>
      </w:pPr>
    </w:p>
    <w:p>
      <w:pPr>
        <w:ind w:left="2080" w:right="2019" w:hanging="114"/>
        <w:spacing w:after="0" w:line="290"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and timely address the need to conduct our operations and provision of services to our customers more sustainably and with a lower carbon footprint;</w:t>
      </w:r>
    </w:p>
    <w:p>
      <w:pPr>
        <w:spacing w:after="0" w:line="32" w:lineRule="exact"/>
        <w:rPr>
          <w:rFonts w:ascii="Times New Roman" w:cs="Times New Roman" w:eastAsia="Times New Roman" w:hAnsi="Times New Roman"/>
          <w:sz w:val="12"/>
          <w:szCs w:val="12"/>
          <w:color w:val="auto"/>
        </w:rPr>
      </w:pPr>
    </w:p>
    <w:p>
      <w:pPr>
        <w:ind w:left="2080" w:right="1739" w:hanging="114"/>
        <w:spacing w:after="0" w:line="272"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disease outbreaks and other public health issues, including the COVID-19 pandemic, their impact on the global economy and the business of our company, customers, suppliers and other partners;</w:t>
      </w:r>
    </w:p>
    <w:p>
      <w:pPr>
        <w:spacing w:after="0" w:line="43" w:lineRule="exact"/>
        <w:rPr>
          <w:rFonts w:ascii="Times New Roman" w:cs="Times New Roman" w:eastAsia="Times New Roman" w:hAnsi="Times New Roman"/>
          <w:sz w:val="12"/>
          <w:szCs w:val="12"/>
          <w:color w:val="auto"/>
        </w:rPr>
      </w:pPr>
    </w:p>
    <w:p>
      <w:pPr>
        <w:ind w:left="2080" w:right="1819" w:hanging="114"/>
        <w:spacing w:after="0" w:line="262" w:lineRule="auto"/>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198"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and price volatility of, and demand for, oil, natural gas and natural gas liquids;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member-country quota compliance within the Organization of Petroleum Exporting Countries;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realize expected revenues and profitability levels from current and future contracts;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generate cash flow from operations to fund our operations;</w:t>
      </w:r>
    </w:p>
    <w:p>
      <w:pPr>
        <w:spacing w:after="0" w:line="81" w:lineRule="exact"/>
        <w:rPr>
          <w:rFonts w:ascii="Times New Roman" w:cs="Times New Roman" w:eastAsia="Times New Roman" w:hAnsi="Times New Roman"/>
          <w:sz w:val="12"/>
          <w:szCs w:val="12"/>
          <w:color w:val="auto"/>
        </w:rPr>
      </w:pPr>
    </w:p>
    <w:p>
      <w:pPr>
        <w:ind w:left="2080" w:right="1799" w:hanging="114"/>
        <w:spacing w:after="0" w:line="269" w:lineRule="auto"/>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94"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prices and lack of availability of our procured products and services;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timely collect from customers;</w:t>
      </w:r>
    </w:p>
    <w:p>
      <w:pPr>
        <w:spacing w:after="0" w:line="81" w:lineRule="exact"/>
        <w:rPr>
          <w:rFonts w:ascii="Times New Roman" w:cs="Times New Roman" w:eastAsia="Times New Roman" w:hAnsi="Times New Roman"/>
          <w:sz w:val="12"/>
          <w:szCs w:val="12"/>
          <w:color w:val="auto"/>
        </w:rPr>
      </w:pPr>
    </w:p>
    <w:p>
      <w:pPr>
        <w:ind w:left="2080" w:right="2439" w:hanging="114"/>
        <w:spacing w:after="0" w:line="290" w:lineRule="auto"/>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realize cost savings and business enhancements from our revenue and cost improvement efforts;</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motivate and retain employees, including key personnel;</w:t>
      </w:r>
    </w:p>
    <w:p>
      <w:pPr>
        <w:spacing w:after="0" w:line="81" w:lineRule="exact"/>
        <w:rPr>
          <w:rFonts w:ascii="Times New Roman" w:cs="Times New Roman" w:eastAsia="Times New Roman" w:hAnsi="Times New Roman"/>
          <w:sz w:val="12"/>
          <w:szCs w:val="12"/>
          <w:color w:val="auto"/>
        </w:rPr>
      </w:pPr>
    </w:p>
    <w:p>
      <w:pPr>
        <w:ind w:left="2080" w:right="1979" w:hanging="114"/>
        <w:spacing w:after="0" w:line="290" w:lineRule="auto"/>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access to capital markets on terms that are commercially acceptable to Weatherford Ireland;</w:t>
      </w:r>
    </w:p>
    <w:p>
      <w:pPr>
        <w:spacing w:after="0" w:line="32" w:lineRule="exact"/>
        <w:rPr>
          <w:rFonts w:ascii="Times New Roman" w:cs="Times New Roman" w:eastAsia="Times New Roman" w:hAnsi="Times New Roman"/>
          <w:sz w:val="12"/>
          <w:szCs w:val="12"/>
          <w:color w:val="auto"/>
        </w:rPr>
      </w:pPr>
    </w:p>
    <w:p>
      <w:pPr>
        <w:ind w:left="2080" w:right="1899" w:hanging="114"/>
        <w:spacing w:after="0" w:line="269" w:lineRule="auto"/>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94"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service our debt obligations;</w:t>
      </w:r>
    </w:p>
    <w:p>
      <w:pPr>
        <w:spacing w:after="0" w:line="81" w:lineRule="exact"/>
        <w:rPr>
          <w:rFonts w:ascii="Times New Roman" w:cs="Times New Roman" w:eastAsia="Times New Roman" w:hAnsi="Times New Roman"/>
          <w:sz w:val="12"/>
          <w:szCs w:val="12"/>
          <w:color w:val="auto"/>
        </w:rPr>
      </w:pPr>
    </w:p>
    <w:p>
      <w:pPr>
        <w:ind w:left="2080" w:right="1879" w:hanging="114"/>
        <w:spacing w:after="0" w:line="265" w:lineRule="auto"/>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non-cash asset impairment charges for long-lived assets, intangible assets or other assets; and</w:t>
      </w:r>
    </w:p>
    <w:p>
      <w:pPr>
        <w:spacing w:after="0" w:line="213"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weather conditions in certain regions of our operations.</w:t>
      </w:r>
    </w:p>
    <w:p>
      <w:pPr>
        <w:spacing w:after="0" w:line="109"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 materially from those expressed in or implied by any of our forward-looking statements. Other unknown or unpredictable factors, many of which are beyond our control, also could harm our results, performance, or achievements. All forward-looking statements contained in this prospectus and any accompanying prospectus supplement, including the information incorporated by reference into this prospectus and any accompanying prospectus supplement, are expressly qualified in their entirety by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ABOUT US</w:t>
      </w:r>
    </w:p>
    <w:p>
      <w:pPr>
        <w:spacing w:after="0" w:line="111" w:lineRule="exact"/>
        <w:rPr>
          <w:sz w:val="20"/>
          <w:szCs w:val="20"/>
          <w:color w:val="auto"/>
        </w:rPr>
      </w:pPr>
    </w:p>
    <w:p>
      <w:pPr>
        <w:ind w:left="1720" w:right="1739" w:firstLine="244"/>
        <w:spacing w:after="0" w:line="259" w:lineRule="auto"/>
        <w:rPr>
          <w:sz w:val="20"/>
          <w:szCs w:val="20"/>
          <w:color w:val="auto"/>
        </w:rPr>
      </w:pPr>
      <w:r>
        <w:rPr>
          <w:rFonts w:ascii="Times New Roman" w:cs="Times New Roman" w:eastAsia="Times New Roman" w:hAnsi="Times New Roman"/>
          <w:sz w:val="12"/>
          <w:szCs w:val="12"/>
          <w:color w:val="auto"/>
        </w:rPr>
        <w:t>We are a leading global energy services company providing equipment and services used in the drilling, evaluation, well construction, completion, production, intervention and responsible abandonment of wells across the broad spectrum of energy sources. Many of our businesses, including those of our predecessor companies, have been operating for more than 50 years. We conduct operations in approximately</w:t>
      </w:r>
    </w:p>
    <w:p>
      <w:pPr>
        <w:spacing w:after="0" w:line="2" w:lineRule="exact"/>
        <w:rPr>
          <w:sz w:val="20"/>
          <w:szCs w:val="20"/>
          <w:color w:val="auto"/>
        </w:rPr>
      </w:pPr>
    </w:p>
    <w:p>
      <w:pPr>
        <w:ind w:left="1720" w:right="1779"/>
        <w:spacing w:after="0" w:line="257" w:lineRule="auto"/>
        <w:rPr>
          <w:sz w:val="20"/>
          <w:szCs w:val="20"/>
          <w:color w:val="auto"/>
        </w:rPr>
      </w:pPr>
      <w:r>
        <w:rPr>
          <w:rFonts w:ascii="Times New Roman" w:cs="Times New Roman" w:eastAsia="Times New Roman" w:hAnsi="Times New Roman"/>
          <w:sz w:val="12"/>
          <w:szCs w:val="12"/>
          <w:color w:val="auto"/>
        </w:rPr>
        <w:t>75 countries, answering the challenges of the energy industry with 350 operating locations including manufacturing, research and development, service, and training facilities. 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 abandonment.</w:t>
      </w:r>
    </w:p>
    <w:p>
      <w:pPr>
        <w:spacing w:after="0" w:line="79" w:lineRule="exact"/>
        <w:rPr>
          <w:sz w:val="20"/>
          <w:szCs w:val="20"/>
          <w:color w:val="auto"/>
        </w:rPr>
      </w:pPr>
    </w:p>
    <w:p>
      <w:pPr>
        <w:ind w:left="1720" w:right="1819" w:firstLine="244"/>
        <w:spacing w:after="0" w:line="266" w:lineRule="auto"/>
        <w:rPr>
          <w:sz w:val="20"/>
          <w:szCs w:val="20"/>
          <w:color w:val="auto"/>
        </w:rPr>
      </w:pPr>
      <w:r>
        <w:rPr>
          <w:rFonts w:ascii="Times New Roman" w:cs="Times New Roman" w:eastAsia="Times New Roman" w:hAnsi="Times New Roman"/>
          <w:sz w:val="12"/>
          <w:szCs w:val="12"/>
          <w:color w:val="auto"/>
        </w:rPr>
        <w:t>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 through its subsidiaries, including Weatherford Bermuda and Weatherford Delaware.</w:t>
      </w:r>
    </w:p>
    <w:p>
      <w:pPr>
        <w:spacing w:after="0" w:line="65" w:lineRule="exact"/>
        <w:rPr>
          <w:sz w:val="20"/>
          <w:szCs w:val="20"/>
          <w:color w:val="auto"/>
        </w:rPr>
      </w:pPr>
    </w:p>
    <w:p>
      <w:pPr>
        <w:ind w:left="1720" w:right="1839" w:firstLine="244"/>
        <w:spacing w:after="0" w:line="290" w:lineRule="auto"/>
        <w:rPr>
          <w:sz w:val="20"/>
          <w:szCs w:val="20"/>
          <w:color w:val="auto"/>
        </w:rPr>
      </w:pPr>
      <w:r>
        <w:rPr>
          <w:rFonts w:ascii="Times New Roman" w:cs="Times New Roman" w:eastAsia="Times New Roman" w:hAnsi="Times New Roman"/>
          <w:sz w:val="12"/>
          <w:szCs w:val="12"/>
          <w:color w:val="auto"/>
        </w:rPr>
        <w:t>Our principal executive offices are located at 2000 St. James Place, Houston, Texas and our telephone number is (713) 836-4000.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 w:name="page10"/>
    <w:bookmarkEnd w:id="9"/>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11" w:lineRule="exact"/>
        <w:rPr>
          <w:sz w:val="20"/>
          <w:szCs w:val="20"/>
          <w:color w:val="auto"/>
        </w:rPr>
      </w:pPr>
    </w:p>
    <w:p>
      <w:pPr>
        <w:ind w:left="1720" w:right="1779" w:firstLine="244"/>
        <w:spacing w:after="0" w:line="257" w:lineRule="auto"/>
        <w:rPr>
          <w:sz w:val="20"/>
          <w:szCs w:val="20"/>
          <w:color w:val="auto"/>
        </w:rPr>
      </w:pPr>
      <w:r>
        <w:rPr>
          <w:rFonts w:ascii="Times New Roman" w:cs="Times New Roman" w:eastAsia="Times New Roman" w:hAnsi="Times New Roman"/>
          <w:sz w:val="12"/>
          <w:szCs w:val="12"/>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 w:name="page11"/>
    <w:bookmarkEnd w:id="10"/>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11" w:lineRule="exact"/>
        <w:rPr>
          <w:sz w:val="20"/>
          <w:szCs w:val="20"/>
          <w:color w:val="auto"/>
        </w:rPr>
      </w:pPr>
    </w:p>
    <w:p>
      <w:pPr>
        <w:ind w:left="1720" w:right="1799" w:firstLine="244"/>
        <w:spacing w:after="0" w:line="263" w:lineRule="auto"/>
        <w:rPr>
          <w:sz w:val="20"/>
          <w:szCs w:val="20"/>
          <w:color w:val="auto"/>
        </w:rPr>
      </w:pPr>
      <w:r>
        <w:rPr>
          <w:rFonts w:ascii="Times New Roman" w:cs="Times New Roman" w:eastAsia="Times New Roman" w:hAnsi="Times New Roman"/>
          <w:sz w:val="12"/>
          <w:szCs w:val="12"/>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1" w:name="page12"/>
    <w:bookmarkEnd w:id="11"/>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OUR ORDINARY SHARES</w:t>
      </w:r>
    </w:p>
    <w:p>
      <w:pPr>
        <w:spacing w:after="0" w:line="111" w:lineRule="exact"/>
        <w:rPr>
          <w:sz w:val="20"/>
          <w:szCs w:val="20"/>
          <w:color w:val="auto"/>
        </w:rPr>
      </w:pPr>
    </w:p>
    <w:p>
      <w:pPr>
        <w:ind w:left="1720" w:right="1799" w:firstLine="244"/>
        <w:spacing w:after="0" w:line="252" w:lineRule="auto"/>
        <w:rPr>
          <w:sz w:val="20"/>
          <w:szCs w:val="20"/>
          <w:color w:val="auto"/>
        </w:rPr>
      </w:pPr>
      <w:r>
        <w:rPr>
          <w:rFonts w:ascii="Times New Roman" w:cs="Times New Roman" w:eastAsia="Times New Roman" w:hAnsi="Times New Roman"/>
          <w:sz w:val="12"/>
          <w:szCs w:val="12"/>
          <w:color w:val="auto"/>
        </w:rPr>
        <w:t>The following description of the ordinary shares of Weatherford Ireland is a summary. The complete text of our Constitution comprising our 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Authorized Share Capital</w:t>
      </w:r>
    </w:p>
    <w:p>
      <w:pPr>
        <w:spacing w:after="0" w:line="111" w:lineRule="exact"/>
        <w:rPr>
          <w:sz w:val="20"/>
          <w:szCs w:val="20"/>
          <w:color w:val="auto"/>
        </w:rPr>
      </w:pPr>
    </w:p>
    <w:p>
      <w:pPr>
        <w:ind w:left="1720" w:right="1759" w:firstLine="244"/>
        <w:spacing w:after="0" w:line="251" w:lineRule="auto"/>
        <w:rPr>
          <w:sz w:val="20"/>
          <w:szCs w:val="20"/>
          <w:color w:val="auto"/>
        </w:rPr>
      </w:pPr>
      <w:r>
        <w:rPr>
          <w:rFonts w:ascii="Times New Roman" w:cs="Times New Roman" w:eastAsia="Times New Roman" w:hAnsi="Times New Roman"/>
          <w:sz w:val="12"/>
          <w:szCs w:val="12"/>
          <w:color w:val="auto"/>
        </w:rPr>
        <w:t>As of June 14, 2022, our authorized share capital is $1,356,000 divided into 1,356,000,000 ordinary shares with a nominal value of $0.001 per share. As of June 14, 2022, there were approximately 73 shareholders of record and 70,545,415 ordinary shares issued and outstanding. The actual number of shareholders is considerably greater than the number of shareholders of record and includes shareholders who are beneficial owners but whose ordinary shares are held in street name by brokers and other nominees.</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111" w:lineRule="exact"/>
        <w:rPr>
          <w:sz w:val="20"/>
          <w:szCs w:val="20"/>
          <w:color w:val="auto"/>
        </w:rPr>
      </w:pPr>
    </w:p>
    <w:p>
      <w:pPr>
        <w:jc w:val="both"/>
        <w:ind w:left="1720" w:right="1739" w:firstLine="244"/>
        <w:spacing w:after="0" w:line="256" w:lineRule="auto"/>
        <w:rPr>
          <w:sz w:val="20"/>
          <w:szCs w:val="20"/>
          <w:color w:val="auto"/>
        </w:rPr>
      </w:pPr>
      <w:r>
        <w:rPr>
          <w:rFonts w:ascii="Times New Roman" w:cs="Times New Roman" w:eastAsia="Times New Roman" w:hAnsi="Times New Roman"/>
          <w:sz w:val="12"/>
          <w:szCs w:val="12"/>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70" w:lineRule="exact"/>
        <w:rPr>
          <w:sz w:val="20"/>
          <w:szCs w:val="20"/>
          <w:color w:val="auto"/>
        </w:rPr>
      </w:pPr>
    </w:p>
    <w:p>
      <w:pPr>
        <w:jc w:val="both"/>
        <w:ind w:left="1720" w:right="1779" w:firstLine="244"/>
        <w:spacing w:after="0" w:line="264" w:lineRule="auto"/>
        <w:rPr>
          <w:sz w:val="20"/>
          <w:szCs w:val="20"/>
          <w:color w:val="auto"/>
        </w:rPr>
      </w:pPr>
      <w:r>
        <w:rPr>
          <w:rFonts w:ascii="Times New Roman" w:cs="Times New Roman" w:eastAsia="Times New Roman" w:hAnsi="Times New Roman"/>
          <w:sz w:val="12"/>
          <w:szCs w:val="12"/>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General Meetings</w:t>
      </w:r>
    </w:p>
    <w:p>
      <w:pPr>
        <w:spacing w:after="0" w:line="111" w:lineRule="exact"/>
        <w:rPr>
          <w:sz w:val="20"/>
          <w:szCs w:val="20"/>
          <w:color w:val="auto"/>
        </w:rPr>
      </w:pPr>
    </w:p>
    <w:p>
      <w:pPr>
        <w:ind w:left="1720" w:right="1799" w:firstLine="244"/>
        <w:spacing w:after="0" w:line="248" w:lineRule="auto"/>
        <w:rPr>
          <w:sz w:val="20"/>
          <w:szCs w:val="20"/>
          <w:color w:val="auto"/>
        </w:rPr>
      </w:pPr>
      <w:r>
        <w:rPr>
          <w:rFonts w:ascii="Times New Roman" w:cs="Times New Roman" w:eastAsia="Times New Roman" w:hAnsi="Times New Roman"/>
          <w:sz w:val="12"/>
          <w:szCs w:val="12"/>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arrangements for shareholders of record to participate at the 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Director Elections</w:t>
      </w:r>
    </w:p>
    <w:p>
      <w:pPr>
        <w:spacing w:after="0" w:line="111" w:lineRule="exact"/>
        <w:rPr>
          <w:sz w:val="20"/>
          <w:szCs w:val="20"/>
          <w:color w:val="auto"/>
        </w:rPr>
      </w:pPr>
    </w:p>
    <w:p>
      <w:pPr>
        <w:ind w:left="1720" w:right="1779" w:firstLine="244"/>
        <w:spacing w:after="0" w:line="290" w:lineRule="auto"/>
        <w:rPr>
          <w:sz w:val="20"/>
          <w:szCs w:val="20"/>
          <w:color w:val="auto"/>
        </w:rPr>
      </w:pPr>
      <w:r>
        <w:rPr>
          <w:rFonts w:ascii="Times New Roman" w:cs="Times New Roman" w:eastAsia="Times New Roman" w:hAnsi="Times New Roman"/>
          <w:sz w:val="12"/>
          <w:szCs w:val="12"/>
          <w:color w:val="auto"/>
        </w:rPr>
        <w:t>Directors may be appointed by our shareholders at the Annual General Meeting or at any extraordinary general meeting called for that purpose and by our Board of Directors in accordance with our Articles.</w:t>
      </w:r>
    </w:p>
    <w:p>
      <w:pPr>
        <w:spacing w:after="0" w:line="51" w:lineRule="exact"/>
        <w:rPr>
          <w:sz w:val="20"/>
          <w:szCs w:val="20"/>
          <w:color w:val="auto"/>
        </w:rPr>
      </w:pPr>
    </w:p>
    <w:p>
      <w:pPr>
        <w:ind w:left="1720" w:right="1779" w:firstLine="244"/>
        <w:spacing w:after="0" w:line="272" w:lineRule="auto"/>
        <w:rPr>
          <w:sz w:val="20"/>
          <w:szCs w:val="20"/>
          <w:color w:val="auto"/>
        </w:rPr>
      </w:pPr>
      <w:r>
        <w:rPr>
          <w:rFonts w:ascii="Times New Roman" w:cs="Times New Roman" w:eastAsia="Times New Roman" w:hAnsi="Times New Roman"/>
          <w:sz w:val="12"/>
          <w:szCs w:val="12"/>
          <w:color w:val="auto"/>
        </w:rPr>
        <w:t>Each of our directors shall (unless his or her office is earlier vacated in accordance with our Articles) serve for a one-year term concluding on the latter of (i) the Annual General Meeting after such director was last appointed or re-appointed and (y) until his or her successor is elected and qualified.</w:t>
      </w:r>
    </w:p>
    <w:p>
      <w:pPr>
        <w:spacing w:after="0" w:line="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Any director retiring at an Annual General Meeting will be eligible for re-appointment.</w:t>
      </w:r>
    </w:p>
    <w:p>
      <w:pPr>
        <w:spacing w:after="0" w:line="109" w:lineRule="exact"/>
        <w:rPr>
          <w:sz w:val="20"/>
          <w:szCs w:val="20"/>
          <w:color w:val="auto"/>
        </w:rPr>
      </w:pPr>
    </w:p>
    <w:p>
      <w:pPr>
        <w:ind w:left="1720" w:right="1779" w:firstLine="244"/>
        <w:spacing w:after="0" w:line="262" w:lineRule="auto"/>
        <w:rPr>
          <w:sz w:val="20"/>
          <w:szCs w:val="20"/>
          <w:color w:val="auto"/>
        </w:rPr>
      </w:pPr>
      <w:r>
        <w:rPr>
          <w:rFonts w:ascii="Times New Roman" w:cs="Times New Roman" w:eastAsia="Times New Roman" w:hAnsi="Times New Roman"/>
          <w:sz w:val="12"/>
          <w:szCs w:val="12"/>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217" w:lineRule="exact"/>
        <w:rPr>
          <w:sz w:val="20"/>
          <w:szCs w:val="20"/>
          <w:color w:val="auto"/>
        </w:rPr>
      </w:pPr>
    </w:p>
    <w:p>
      <w:pPr>
        <w:ind w:left="1720" w:right="1759" w:firstLine="244"/>
        <w:spacing w:after="0" w:line="290" w:lineRule="auto"/>
        <w:rPr>
          <w:sz w:val="20"/>
          <w:szCs w:val="20"/>
          <w:color w:val="auto"/>
        </w:rPr>
      </w:pPr>
      <w:r>
        <w:rPr>
          <w:rFonts w:ascii="Times New Roman" w:cs="Times New Roman" w:eastAsia="Times New Roman" w:hAnsi="Times New Roman"/>
          <w:sz w:val="12"/>
          <w:szCs w:val="12"/>
          <w:color w:val="auto"/>
        </w:rPr>
        <w:t>Under our Articles, in an uncontested election (where the number of director nominees does not exceed the number of directors to be elected), any nominee for election to the Board of Directors who is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 w:name="page13"/>
    <w:bookmarkEnd w:id="12"/>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59"/>
        <w:spacing w:after="0" w:line="277" w:lineRule="auto"/>
        <w:rPr>
          <w:sz w:val="20"/>
          <w:szCs w:val="20"/>
          <w:color w:val="auto"/>
        </w:rPr>
      </w:pPr>
      <w:r>
        <w:rPr>
          <w:rFonts w:ascii="Times New Roman" w:cs="Times New Roman" w:eastAsia="Times New Roman" w:hAnsi="Times New Roman"/>
          <w:sz w:val="12"/>
          <w:szCs w:val="12"/>
          <w:color w:val="auto"/>
        </w:rPr>
        <w:t>then serving as a director and who receives a greater number of “against” votes than “for” votes shall promptly tender his or her resignation following certification of the vote. The Board of Directors (excluding the director who has so tendered his or her resignation) is then obliged to consider the resignation offer and decide whether to accept or reject the resignation, or whether other action should be taken.</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Issuance of Ordinary Shares</w:t>
      </w:r>
    </w:p>
    <w:p>
      <w:pPr>
        <w:spacing w:after="0" w:line="111" w:lineRule="exact"/>
        <w:rPr>
          <w:sz w:val="20"/>
          <w:szCs w:val="20"/>
          <w:color w:val="auto"/>
        </w:rPr>
      </w:pPr>
    </w:p>
    <w:p>
      <w:pPr>
        <w:ind w:left="1720" w:right="1879" w:firstLine="244"/>
        <w:spacing w:after="0" w:line="283" w:lineRule="auto"/>
        <w:rPr>
          <w:sz w:val="20"/>
          <w:szCs w:val="20"/>
          <w:color w:val="auto"/>
        </w:rPr>
      </w:pPr>
      <w:r>
        <w:rPr>
          <w:rFonts w:ascii="Times New Roman" w:cs="Times New Roman" w:eastAsia="Times New Roman" w:hAnsi="Times New Roman"/>
          <w:sz w:val="12"/>
          <w:szCs w:val="12"/>
          <w:color w:val="auto"/>
        </w:rPr>
        <w:t>We may allot and issue ordinary shares subject to the maximum authorized share capital contained in our Articles. The authorized maximum may be increased or reduced by an ordinary resolution of shareholders.</w:t>
      </w:r>
    </w:p>
    <w:p>
      <w:pPr>
        <w:spacing w:after="0" w:line="205" w:lineRule="exact"/>
        <w:rPr>
          <w:sz w:val="20"/>
          <w:szCs w:val="20"/>
          <w:color w:val="auto"/>
        </w:rPr>
      </w:pPr>
    </w:p>
    <w:p>
      <w:pPr>
        <w:ind w:left="1720" w:right="1739" w:firstLine="244"/>
        <w:spacing w:after="0" w:line="271" w:lineRule="auto"/>
        <w:rPr>
          <w:sz w:val="20"/>
          <w:szCs w:val="20"/>
          <w:color w:val="auto"/>
        </w:rPr>
      </w:pPr>
      <w:r>
        <w:rPr>
          <w:rFonts w:ascii="Times New Roman" w:cs="Times New Roman" w:eastAsia="Times New Roman" w:hAnsi="Times New Roman"/>
          <w:sz w:val="12"/>
          <w:szCs w:val="12"/>
          <w:color w:val="auto"/>
        </w:rPr>
        <w:t>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62" w:lineRule="exact"/>
        <w:rPr>
          <w:sz w:val="20"/>
          <w:szCs w:val="20"/>
          <w:color w:val="auto"/>
        </w:rPr>
      </w:pPr>
    </w:p>
    <w:p>
      <w:pPr>
        <w:ind w:left="2080" w:right="1959" w:hanging="114"/>
        <w:spacing w:after="0" w:line="266" w:lineRule="auto"/>
        <w:tabs>
          <w:tab w:leader="none" w:pos="2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65" w:lineRule="exact"/>
        <w:rPr>
          <w:rFonts w:ascii="Times New Roman" w:cs="Times New Roman" w:eastAsia="Times New Roman" w:hAnsi="Times New Roman"/>
          <w:sz w:val="12"/>
          <w:szCs w:val="12"/>
          <w:color w:val="auto"/>
        </w:rPr>
      </w:pPr>
    </w:p>
    <w:p>
      <w:pPr>
        <w:ind w:left="2080" w:right="1799" w:hanging="114"/>
        <w:spacing w:after="0" w:line="263" w:lineRule="auto"/>
        <w:tabs>
          <w:tab w:leader="none" w:pos="20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$87,000 (87,000,000 ordinary shares) for the purposes of allotting relevant securities contemplated in (i) the examiner’s scheme of arrangement under Part 10 of the Companies Act 2014 of Ireland, as amended (the “Irish Companies Act”) approved by the Irish High Court on December 12, 2019 and (ii) a scheme of arrangement in respect of Weatherford International Ltd. pursuant to the Companies Act 1981 of Bermuda.</w:t>
      </w:r>
    </w:p>
    <w:p>
      <w:pPr>
        <w:spacing w:after="0" w:line="77" w:lineRule="exact"/>
        <w:rPr>
          <w:sz w:val="20"/>
          <w:szCs w:val="20"/>
          <w:color w:val="auto"/>
        </w:rPr>
      </w:pPr>
    </w:p>
    <w:p>
      <w:pPr>
        <w:jc w:val="both"/>
        <w:ind w:left="1720" w:right="1879" w:firstLine="244"/>
        <w:spacing w:after="0" w:line="277" w:lineRule="auto"/>
        <w:rPr>
          <w:sz w:val="20"/>
          <w:szCs w:val="20"/>
          <w:color w:val="auto"/>
        </w:rPr>
      </w:pPr>
      <w:r>
        <w:rPr>
          <w:rFonts w:ascii="Times New Roman" w:cs="Times New Roman" w:eastAsia="Times New Roman" w:hAnsi="Times New Roman"/>
          <w:sz w:val="12"/>
          <w:szCs w:val="12"/>
          <w:color w:val="auto"/>
        </w:rPr>
        <w:t>On that basis, taking account of ordinary shares that have been allotted or issued since December 10, 2019 or that are otherwise reserved for issuance, as of the date of this registration statement, our Board of Directors is authorized to issue an additional 83,622,267 ordinary shares without shareholder approval for the balance of the period of five years ending on December 9, 2024.</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Preemption Rights, Share Warrants and Options</w:t>
      </w:r>
    </w:p>
    <w:p>
      <w:pPr>
        <w:spacing w:after="0" w:line="111" w:lineRule="exact"/>
        <w:rPr>
          <w:sz w:val="20"/>
          <w:szCs w:val="20"/>
          <w:color w:val="auto"/>
        </w:rPr>
      </w:pPr>
    </w:p>
    <w:p>
      <w:pPr>
        <w:ind w:left="1720" w:right="1739" w:firstLine="244"/>
        <w:spacing w:after="0" w:line="269" w:lineRule="auto"/>
        <w:rPr>
          <w:sz w:val="20"/>
          <w:szCs w:val="20"/>
          <w:color w:val="auto"/>
        </w:rPr>
      </w:pPr>
      <w:r>
        <w:rPr>
          <w:rFonts w:ascii="Times New Roman" w:cs="Times New Roman" w:eastAsia="Times New Roman" w:hAnsi="Times New Roman"/>
          <w:sz w:val="12"/>
          <w:szCs w:val="12"/>
          <w:color w:val="auto"/>
        </w:rPr>
        <w:t>Under Irish law, certain statutory preemption rights apply automatically in favor of shareholders when shares are to be issued for cash. As permitted under Irish law, we opted-out of these preemption rights in our Articles adopted at the time of emergence from bankruptcy in respect of the 170,000,000 ordinary shares our directors were authorized to allot pursuant to the allotment authority referenced above. Irish law requires this opt-out to be renewed at least every five years by a qualified 75% majority of the votes cast, in person or by proxy, at a general meeting of our shareholders at which a quorum is 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228" w:lineRule="exact"/>
        <w:rPr>
          <w:sz w:val="20"/>
          <w:szCs w:val="20"/>
          <w:color w:val="auto"/>
        </w:rPr>
      </w:pPr>
    </w:p>
    <w:p>
      <w:pPr>
        <w:ind w:left="1720" w:right="1739" w:firstLine="244"/>
        <w:spacing w:after="0" w:line="277" w:lineRule="auto"/>
        <w:rPr>
          <w:sz w:val="20"/>
          <w:szCs w:val="20"/>
          <w:color w:val="auto"/>
        </w:rPr>
      </w:pPr>
      <w:r>
        <w:rPr>
          <w:rFonts w:ascii="Times New Roman" w:cs="Times New Roman" w:eastAsia="Times New Roman" w:hAnsi="Times New Roman"/>
          <w:sz w:val="12"/>
          <w:szCs w:val="12"/>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77" w:lineRule="exact"/>
        <w:rPr>
          <w:sz w:val="20"/>
          <w:szCs w:val="20"/>
          <w:color w:val="auto"/>
        </w:rPr>
      </w:pPr>
    </w:p>
    <w:p>
      <w:pPr>
        <w:ind w:left="1720" w:right="1739" w:firstLine="244"/>
        <w:spacing w:after="0" w:line="277" w:lineRule="auto"/>
        <w:rPr>
          <w:sz w:val="20"/>
          <w:szCs w:val="20"/>
          <w:color w:val="auto"/>
        </w:rPr>
      </w:pPr>
      <w:r>
        <w:rPr>
          <w:rFonts w:ascii="Times New Roman" w:cs="Times New Roman" w:eastAsia="Times New Roman" w:hAnsi="Times New Roman"/>
          <w:sz w:val="12"/>
          <w:szCs w:val="12"/>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Weatherford Ireland and its shareholders.</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 w:name="page14"/>
    <w:bookmarkEnd w:id="13"/>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11" w:lineRule="exact"/>
        <w:rPr>
          <w:sz w:val="20"/>
          <w:szCs w:val="20"/>
          <w:color w:val="auto"/>
        </w:rPr>
      </w:pPr>
    </w:p>
    <w:p>
      <w:pPr>
        <w:ind w:left="1720" w:right="1859" w:firstLine="244"/>
        <w:spacing w:after="0" w:line="272" w:lineRule="auto"/>
        <w:rPr>
          <w:sz w:val="20"/>
          <w:szCs w:val="20"/>
          <w:color w:val="auto"/>
        </w:rPr>
      </w:pPr>
      <w:r>
        <w:rPr>
          <w:rFonts w:ascii="Times New Roman" w:cs="Times New Roman" w:eastAsia="Times New Roman" w:hAnsi="Times New Roman"/>
          <w:sz w:val="12"/>
          <w:szCs w:val="12"/>
          <w:color w:val="auto"/>
        </w:rPr>
        <w:t>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Liquidation</w:t>
      </w:r>
    </w:p>
    <w:p>
      <w:pPr>
        <w:spacing w:after="0" w:line="111" w:lineRule="exact"/>
        <w:rPr>
          <w:sz w:val="20"/>
          <w:szCs w:val="20"/>
          <w:color w:val="auto"/>
        </w:rPr>
      </w:pPr>
    </w:p>
    <w:p>
      <w:pPr>
        <w:ind w:left="1720" w:right="1779" w:firstLine="244"/>
        <w:spacing w:after="0" w:line="290" w:lineRule="auto"/>
        <w:rPr>
          <w:sz w:val="20"/>
          <w:szCs w:val="20"/>
          <w:color w:val="auto"/>
        </w:rPr>
      </w:pPr>
      <w:r>
        <w:rPr>
          <w:rFonts w:ascii="Times New Roman" w:cs="Times New Roman" w:eastAsia="Times New Roman" w:hAnsi="Times New Roman"/>
          <w:sz w:val="12"/>
          <w:szCs w:val="12"/>
          <w:color w:val="auto"/>
        </w:rPr>
        <w:t>Subject to the provisions of the Irish Companies Act as to preferential payments, upon winding up, our property shall be distributed among the members according to their rights and interests.</w:t>
      </w:r>
    </w:p>
    <w:p>
      <w:pPr>
        <w:spacing w:after="0" w:line="1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1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Our ordinary shares are listed on Nasdaq under the ticker symbol “WFRD.”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 w:name="page15"/>
    <w:bookmarkEnd w:id="14"/>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OPTIONS AND WARRANTS</w:t>
      </w:r>
    </w:p>
    <w:p>
      <w:pPr>
        <w:spacing w:after="0" w:line="111" w:lineRule="exact"/>
        <w:rPr>
          <w:sz w:val="20"/>
          <w:szCs w:val="20"/>
          <w:color w:val="auto"/>
        </w:rPr>
      </w:pPr>
    </w:p>
    <w:p>
      <w:pPr>
        <w:ind w:left="1720" w:right="1779" w:firstLine="244"/>
        <w:spacing w:after="0" w:line="263" w:lineRule="auto"/>
        <w:rPr>
          <w:sz w:val="20"/>
          <w:szCs w:val="20"/>
          <w:color w:val="auto"/>
        </w:rPr>
      </w:pPr>
      <w:r>
        <w:rPr>
          <w:rFonts w:ascii="Times New Roman" w:cs="Times New Roman" w:eastAsia="Times New Roman" w:hAnsi="Times New Roman"/>
          <w:sz w:val="12"/>
          <w:szCs w:val="12"/>
          <w:color w:val="auto"/>
        </w:rPr>
        <w:t>The following description of the options and warrants exercisable for the ordinary shares sets forth certain general terms and provisions. This 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w:t>
      </w:r>
    </w:p>
    <w:p>
      <w:pPr>
        <w:spacing w:after="0" w:line="77"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217" w:lineRule="exact"/>
        <w:rPr>
          <w:sz w:val="20"/>
          <w:szCs w:val="20"/>
          <w:color w:val="auto"/>
        </w:rPr>
      </w:pPr>
    </w:p>
    <w:p>
      <w:pPr>
        <w:ind w:left="1720" w:right="1859" w:firstLine="244"/>
        <w:spacing w:after="0" w:line="272" w:lineRule="auto"/>
        <w:rPr>
          <w:sz w:val="20"/>
          <w:szCs w:val="20"/>
          <w:color w:val="auto"/>
        </w:rPr>
      </w:pPr>
      <w:r>
        <w:rPr>
          <w:rFonts w:ascii="Times New Roman" w:cs="Times New Roman" w:eastAsia="Times New Roman" w:hAnsi="Times New Roman"/>
          <w:sz w:val="12"/>
          <w:szCs w:val="12"/>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71" w:lineRule="exact"/>
        <w:rPr>
          <w:sz w:val="20"/>
          <w:szCs w:val="20"/>
          <w:color w:val="auto"/>
        </w:rPr>
      </w:pPr>
    </w:p>
    <w:p>
      <w:pPr>
        <w:ind w:left="1720" w:right="1799" w:firstLine="244"/>
        <w:spacing w:after="0" w:line="260" w:lineRule="auto"/>
        <w:rPr>
          <w:sz w:val="20"/>
          <w:szCs w:val="20"/>
          <w:color w:val="auto"/>
        </w:rPr>
      </w:pPr>
      <w:r>
        <w:rPr>
          <w:rFonts w:ascii="Times New Roman" w:cs="Times New Roman" w:eastAsia="Times New Roman" w:hAnsi="Times New Roman"/>
          <w:sz w:val="12"/>
          <w:szCs w:val="12"/>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1" w:lineRule="exact"/>
        <w:rPr>
          <w:sz w:val="20"/>
          <w:szCs w:val="20"/>
          <w:color w:val="auto"/>
        </w:rPr>
      </w:pPr>
    </w:p>
    <w:p>
      <w:pPr>
        <w:ind w:left="1720" w:right="2199" w:firstLine="244"/>
        <w:spacing w:after="0" w:line="290" w:lineRule="auto"/>
        <w:rPr>
          <w:sz w:val="20"/>
          <w:szCs w:val="20"/>
          <w:color w:val="auto"/>
        </w:rPr>
      </w:pPr>
      <w:r>
        <w:rPr>
          <w:rFonts w:ascii="Times New Roman" w:cs="Times New Roman" w:eastAsia="Times New Roman" w:hAnsi="Times New Roman"/>
          <w:sz w:val="12"/>
          <w:szCs w:val="12"/>
          <w:color w:val="auto"/>
        </w:rPr>
        <w:t>We will describe in the applicable prospectus supplement the terms of the series of options and warrants, including:</w:t>
      </w:r>
    </w:p>
    <w:p>
      <w:pPr>
        <w:spacing w:after="0" w:line="33" w:lineRule="exact"/>
        <w:rPr>
          <w:sz w:val="20"/>
          <w:szCs w:val="20"/>
          <w:color w:val="auto"/>
        </w:rPr>
      </w:pPr>
    </w:p>
    <w:p>
      <w:pPr>
        <w:ind w:left="2080" w:hanging="114"/>
        <w:spacing w:after="0"/>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offering price and aggregate number of the options or warrants offered;</w:t>
      </w:r>
    </w:p>
    <w:p>
      <w:pPr>
        <w:spacing w:after="0" w:line="81" w:lineRule="exact"/>
        <w:rPr>
          <w:rFonts w:ascii="Times New Roman" w:cs="Times New Roman" w:eastAsia="Times New Roman" w:hAnsi="Times New Roman"/>
          <w:sz w:val="12"/>
          <w:szCs w:val="12"/>
          <w:color w:val="auto"/>
        </w:rPr>
      </w:pPr>
    </w:p>
    <w:p>
      <w:pPr>
        <w:ind w:left="2080" w:right="1999" w:hanging="114"/>
        <w:spacing w:after="0" w:line="290" w:lineRule="auto"/>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or currencies, including composite currencies, in which the price of such options or warrants may be payable;</w:t>
      </w:r>
    </w:p>
    <w:p>
      <w:pPr>
        <w:spacing w:after="0" w:line="41" w:lineRule="exact"/>
        <w:rPr>
          <w:rFonts w:ascii="Times New Roman" w:cs="Times New Roman" w:eastAsia="Times New Roman" w:hAnsi="Times New Roman"/>
          <w:sz w:val="12"/>
          <w:szCs w:val="12"/>
          <w:color w:val="auto"/>
        </w:rPr>
      </w:pPr>
    </w:p>
    <w:p>
      <w:pPr>
        <w:ind w:left="2080" w:right="1919" w:hanging="114"/>
        <w:spacing w:after="0" w:line="272" w:lineRule="auto"/>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at which and the currencies, including composite currencies, in which the securities purchasable upon exercise of such warrants shall commence and the date on which such right will expire;</w:t>
      </w:r>
    </w:p>
    <w:p>
      <w:pPr>
        <w:spacing w:after="0" w:line="43" w:lineRule="exact"/>
        <w:rPr>
          <w:rFonts w:ascii="Times New Roman" w:cs="Times New Roman" w:eastAsia="Times New Roman" w:hAnsi="Times New Roman"/>
          <w:sz w:val="12"/>
          <w:szCs w:val="12"/>
          <w:color w:val="auto"/>
        </w:rPr>
      </w:pPr>
    </w:p>
    <w:p>
      <w:pPr>
        <w:ind w:left="2080" w:right="1739" w:hanging="114"/>
        <w:spacing w:after="0" w:line="283" w:lineRule="auto"/>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designation and terms of the securities with which the options or warrants are issued and the number of options or warrants issued with each such security or each principal amount of such security;</w:t>
      </w:r>
    </w:p>
    <w:p>
      <w:pPr>
        <w:spacing w:after="0" w:line="196"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securities issuable upon exercise of the options or warrants;</w:t>
      </w:r>
    </w:p>
    <w:p>
      <w:pPr>
        <w:spacing w:after="0" w:line="81" w:lineRule="exact"/>
        <w:rPr>
          <w:rFonts w:ascii="Times New Roman" w:cs="Times New Roman" w:eastAsia="Times New Roman" w:hAnsi="Times New Roman"/>
          <w:sz w:val="12"/>
          <w:szCs w:val="12"/>
          <w:color w:val="auto"/>
        </w:rPr>
      </w:pPr>
    </w:p>
    <w:p>
      <w:pPr>
        <w:ind w:left="2080" w:right="1839" w:hanging="114"/>
        <w:spacing w:after="0" w:line="290" w:lineRule="auto"/>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ordinary shares purchasable upon the exercise of one option or warrant and the price at which these ordinary shares may be purchased upon such exercise;</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anti-dilution provisions of the options or warrants, if any;</w:t>
      </w:r>
    </w:p>
    <w:p>
      <w:pPr>
        <w:spacing w:after="0" w:line="81" w:lineRule="exact"/>
        <w:rPr>
          <w:rFonts w:ascii="Times New Roman" w:cs="Times New Roman" w:eastAsia="Times New Roman" w:hAnsi="Times New Roman"/>
          <w:sz w:val="12"/>
          <w:szCs w:val="12"/>
          <w:color w:val="auto"/>
        </w:rPr>
      </w:pPr>
    </w:p>
    <w:p>
      <w:pPr>
        <w:ind w:left="2080" w:right="1919" w:hanging="114"/>
        <w:spacing w:after="0" w:line="290" w:lineRule="auto"/>
        <w:tabs>
          <w:tab w:leader="none" w:pos="20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provisions for changes to or adjustments in the exercise price or number of securities issuable upon exercise of the options or warrants;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 w:name="page16"/>
    <w:bookmarkEnd w:id="15"/>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080" w:right="199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any merger, consolidation, sale or other disposition of our business on the option or warrant agreement and the options or warrants;</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any rights to redeem or call the options or warrants;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dates on which the right to exercise the options or warrants will commence and expire;</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manner in which the option or warrant agreement and options or warrants may be modified;</w:t>
      </w:r>
    </w:p>
    <w:p>
      <w:pPr>
        <w:spacing w:after="0" w:line="81" w:lineRule="exact"/>
        <w:rPr>
          <w:rFonts w:ascii="Times New Roman" w:cs="Times New Roman" w:eastAsia="Times New Roman" w:hAnsi="Times New Roman"/>
          <w:sz w:val="12"/>
          <w:szCs w:val="12"/>
          <w:color w:val="auto"/>
        </w:rPr>
      </w:pPr>
    </w:p>
    <w:p>
      <w:pPr>
        <w:ind w:left="2080" w:right="175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minimum or maximum amount of such options or warrants which may be exercised at any one time;</w:t>
      </w:r>
    </w:p>
    <w:p>
      <w:pPr>
        <w:spacing w:after="0" w:line="32" w:lineRule="exact"/>
        <w:rPr>
          <w:rFonts w:ascii="Times New Roman" w:cs="Times New Roman" w:eastAsia="Times New Roman" w:hAnsi="Times New Roman"/>
          <w:sz w:val="12"/>
          <w:szCs w:val="12"/>
          <w:color w:val="auto"/>
        </w:rPr>
      </w:pPr>
    </w:p>
    <w:p>
      <w:pPr>
        <w:ind w:left="2080" w:right="1839" w:hanging="114"/>
        <w:spacing w:after="0" w:line="283"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title, rank, aggregate principal amount and terms of the securities with which such options or warrants are issued and the number of such options or warrants issued with each such security;</w:t>
      </w:r>
    </w:p>
    <w:p>
      <w:pPr>
        <w:spacing w:after="0" w:line="187" w:lineRule="exact"/>
        <w:rPr>
          <w:rFonts w:ascii="Times New Roman" w:cs="Times New Roman" w:eastAsia="Times New Roman" w:hAnsi="Times New Roman"/>
          <w:sz w:val="12"/>
          <w:szCs w:val="12"/>
          <w:color w:val="auto"/>
        </w:rPr>
      </w:pPr>
    </w:p>
    <w:p>
      <w:pPr>
        <w:ind w:left="2080" w:right="205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date on and after which such options or warrants and related securities will be separately transferable;</w:t>
      </w:r>
    </w:p>
    <w:p>
      <w:pPr>
        <w:spacing w:after="0" w:line="32" w:lineRule="exact"/>
        <w:rPr>
          <w:rFonts w:ascii="Times New Roman" w:cs="Times New Roman" w:eastAsia="Times New Roman" w:hAnsi="Times New Roman"/>
          <w:sz w:val="12"/>
          <w:szCs w:val="12"/>
          <w:color w:val="auto"/>
        </w:rPr>
      </w:pPr>
    </w:p>
    <w:p>
      <w:pPr>
        <w:ind w:left="2080" w:right="185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identity of the warrant agent for the warrants and of any other depositaries, execution or paying agents, transfer agents, registrars or other agents;</w:t>
      </w:r>
    </w:p>
    <w:p>
      <w:pPr>
        <w:spacing w:after="0" w:line="32" w:lineRule="exact"/>
        <w:rPr>
          <w:rFonts w:ascii="Times New Roman" w:cs="Times New Roman" w:eastAsia="Times New Roman" w:hAnsi="Times New Roman"/>
          <w:sz w:val="12"/>
          <w:szCs w:val="12"/>
          <w:color w:val="auto"/>
        </w:rPr>
      </w:pPr>
    </w:p>
    <w:p>
      <w:pPr>
        <w:ind w:left="2080" w:right="179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listing, if any, of the options or warrants or any securities purchasable upon exercise of the options or warrants on any securities exchange;</w:t>
      </w:r>
    </w:p>
    <w:p>
      <w:pPr>
        <w:spacing w:after="0" w:line="32" w:lineRule="exact"/>
        <w:rPr>
          <w:rFonts w:ascii="Times New Roman" w:cs="Times New Roman" w:eastAsia="Times New Roman" w:hAnsi="Times New Roman"/>
          <w:sz w:val="12"/>
          <w:szCs w:val="12"/>
          <w:color w:val="auto"/>
        </w:rPr>
      </w:pPr>
    </w:p>
    <w:p>
      <w:pPr>
        <w:ind w:left="2080" w:right="1939" w:hanging="114"/>
        <w:spacing w:after="0" w:line="290" w:lineRule="auto"/>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certificates evidencing the options or warrants will be issued in registered or bearer form and, if registered, where they may be transferred and exchanged; and</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material terms of the options or warrants.</w:t>
      </w:r>
    </w:p>
    <w:p>
      <w:pPr>
        <w:spacing w:after="0" w:line="109" w:lineRule="exact"/>
        <w:rPr>
          <w:sz w:val="20"/>
          <w:szCs w:val="20"/>
          <w:color w:val="auto"/>
        </w:rPr>
      </w:pPr>
    </w:p>
    <w:p>
      <w:pPr>
        <w:ind w:left="1720" w:right="1979" w:firstLine="244"/>
        <w:spacing w:after="0" w:line="290" w:lineRule="auto"/>
        <w:rPr>
          <w:sz w:val="20"/>
          <w:szCs w:val="20"/>
          <w:color w:val="auto"/>
        </w:rPr>
      </w:pPr>
      <w:r>
        <w:rPr>
          <w:rFonts w:ascii="Times New Roman" w:cs="Times New Roman" w:eastAsia="Times New Roman" w:hAnsi="Times New Roman"/>
          <w:sz w:val="12"/>
          <w:szCs w:val="12"/>
          <w:color w:val="auto"/>
        </w:rPr>
        <w:t>United States federal income tax consequences and special considerations, if any, applicable to any such offering will be described in an accompanying prospectus supplement.</w:t>
      </w:r>
    </w:p>
    <w:p>
      <w:pPr>
        <w:spacing w:after="0" w:line="1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Exercise of Options and Warrants</w:t>
      </w:r>
    </w:p>
    <w:p>
      <w:pPr>
        <w:spacing w:after="0" w:line="111" w:lineRule="exact"/>
        <w:rPr>
          <w:sz w:val="20"/>
          <w:szCs w:val="20"/>
          <w:color w:val="auto"/>
        </w:rPr>
      </w:pPr>
    </w:p>
    <w:p>
      <w:pPr>
        <w:ind w:left="1720" w:right="1759" w:firstLine="244"/>
        <w:spacing w:after="0" w:line="256" w:lineRule="auto"/>
        <w:rPr>
          <w:sz w:val="20"/>
          <w:szCs w:val="20"/>
          <w:color w:val="auto"/>
        </w:rPr>
      </w:pPr>
      <w:r>
        <w:rPr>
          <w:rFonts w:ascii="Times New Roman" w:cs="Times New Roman" w:eastAsia="Times New Roman" w:hAnsi="Times New Roman"/>
          <w:sz w:val="12"/>
          <w:szCs w:val="12"/>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Irish law requires that no shares in Weatherford Ireland’s authorized but unissued share capital shall be issued in settlement of an option unless they are paid-up on issuance to at least their nominal (or par) value.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 indicate in the applicable prospectus supplement, holders of the options and warrants may surrender securities as all or part of the exercise price for options and warrants.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 w:name="page17"/>
    <w:bookmarkEnd w:id="16"/>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Amendments and Supplements to Option and Warrant Agreements</w:t>
      </w:r>
    </w:p>
    <w:p>
      <w:pPr>
        <w:spacing w:after="0" w:line="111" w:lineRule="exact"/>
        <w:rPr>
          <w:sz w:val="20"/>
          <w:szCs w:val="20"/>
          <w:color w:val="auto"/>
        </w:rPr>
      </w:pPr>
    </w:p>
    <w:p>
      <w:pPr>
        <w:ind w:left="1720" w:right="1859" w:firstLine="244"/>
        <w:spacing w:after="0" w:line="266" w:lineRule="auto"/>
        <w:rPr>
          <w:sz w:val="20"/>
          <w:szCs w:val="20"/>
          <w:color w:val="auto"/>
        </w:rPr>
      </w:pPr>
      <w:r>
        <w:rPr>
          <w:rFonts w:ascii="Times New Roman" w:cs="Times New Roman" w:eastAsia="Times New Roman" w:hAnsi="Times New Roman"/>
          <w:sz w:val="12"/>
          <w:szCs w:val="12"/>
          <w:color w:val="auto"/>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DEBT SECURITIES</w:t>
      </w:r>
    </w:p>
    <w:p>
      <w:pPr>
        <w:spacing w:after="0" w:line="111" w:lineRule="exact"/>
        <w:rPr>
          <w:sz w:val="20"/>
          <w:szCs w:val="20"/>
          <w:color w:val="auto"/>
        </w:rPr>
      </w:pPr>
    </w:p>
    <w:p>
      <w:pPr>
        <w:ind w:left="1720" w:right="2159" w:firstLine="244"/>
        <w:spacing w:after="0" w:line="274" w:lineRule="auto"/>
        <w:rPr>
          <w:sz w:val="20"/>
          <w:szCs w:val="20"/>
          <w:color w:val="auto"/>
        </w:rPr>
      </w:pPr>
      <w:r>
        <w:rPr>
          <w:rFonts w:ascii="Times New Roman" w:cs="Times New Roman" w:eastAsia="Times New Roman" w:hAnsi="Times New Roman"/>
          <w:sz w:val="12"/>
          <w:szCs w:val="12"/>
          <w:color w:val="auto"/>
        </w:rPr>
        <w:t>Weatherford Bermuda and Weatherford Delaware (either separately, or together) may offer debt securities in one or more series, which may be convertible into another security.</w:t>
      </w:r>
    </w:p>
    <w:p>
      <w:pPr>
        <w:spacing w:after="0" w:line="60" w:lineRule="exact"/>
        <w:rPr>
          <w:sz w:val="20"/>
          <w:szCs w:val="20"/>
          <w:color w:val="auto"/>
        </w:rPr>
      </w:pPr>
    </w:p>
    <w:p>
      <w:pPr>
        <w:ind w:left="1720" w:right="1759" w:firstLine="244"/>
        <w:spacing w:after="0" w:line="247" w:lineRule="auto"/>
        <w:rPr>
          <w:sz w:val="20"/>
          <w:szCs w:val="20"/>
          <w:color w:val="auto"/>
        </w:rPr>
      </w:pPr>
      <w:r>
        <w:rPr>
          <w:rFonts w:ascii="Times New Roman" w:cs="Times New Roman" w:eastAsia="Times New Roman" w:hAnsi="Times New Roman"/>
          <w:sz w:val="12"/>
          <w:szCs w:val="12"/>
          <w:color w:val="auto"/>
        </w:rPr>
        <w:t>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 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222" w:lineRule="exact"/>
        <w:rPr>
          <w:sz w:val="20"/>
          <w:szCs w:val="20"/>
          <w:color w:val="auto"/>
        </w:rPr>
      </w:pPr>
    </w:p>
    <w:p>
      <w:pPr>
        <w:ind w:left="1720" w:right="1759" w:firstLine="244"/>
        <w:spacing w:after="0" w:line="252" w:lineRule="auto"/>
        <w:rPr>
          <w:sz w:val="20"/>
          <w:szCs w:val="20"/>
          <w:color w:val="auto"/>
        </w:rPr>
      </w:pPr>
      <w:r>
        <w:rPr>
          <w:rFonts w:ascii="Times New Roman" w:cs="Times New Roman" w:eastAsia="Times New Roman" w:hAnsi="Times New Roman"/>
          <w:sz w:val="12"/>
          <w:szCs w:val="12"/>
          <w:color w:val="auto"/>
        </w:rPr>
        <w:t>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 and conditions described below. If so, those differences will be described in the applicable prospectus supplement and will supersede this prospectus.</w:t>
      </w:r>
    </w:p>
    <w:p>
      <w:pPr>
        <w:spacing w:after="0" w:line="73" w:lineRule="exact"/>
        <w:rPr>
          <w:sz w:val="20"/>
          <w:szCs w:val="20"/>
          <w:color w:val="auto"/>
        </w:rPr>
      </w:pPr>
    </w:p>
    <w:p>
      <w:pPr>
        <w:jc w:val="both"/>
        <w:ind w:left="1720" w:right="1759" w:firstLine="244"/>
        <w:spacing w:after="0" w:line="256" w:lineRule="auto"/>
        <w:rPr>
          <w:sz w:val="20"/>
          <w:szCs w:val="20"/>
          <w:color w:val="auto"/>
        </w:rPr>
      </w:pPr>
      <w:r>
        <w:rPr>
          <w:rFonts w:ascii="Times New Roman" w:cs="Times New Roman" w:eastAsia="Times New Roman" w:hAnsi="Times New Roman"/>
          <w:sz w:val="12"/>
          <w:szCs w:val="12"/>
          <w:color w:val="auto"/>
        </w:rPr>
        <w:t>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w:t>
      </w:r>
    </w:p>
    <w:p>
      <w:pPr>
        <w:spacing w:after="0" w:line="11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1" w:lineRule="exact"/>
        <w:rPr>
          <w:sz w:val="20"/>
          <w:szCs w:val="20"/>
          <w:color w:val="auto"/>
        </w:rPr>
      </w:pPr>
    </w:p>
    <w:p>
      <w:pPr>
        <w:ind w:left="1720" w:right="1919" w:firstLine="244"/>
        <w:spacing w:after="0" w:line="264" w:lineRule="auto"/>
        <w:rPr>
          <w:sz w:val="20"/>
          <w:szCs w:val="20"/>
          <w:color w:val="auto"/>
        </w:rPr>
      </w:pPr>
      <w:r>
        <w:rPr>
          <w:rFonts w:ascii="Times New Roman" w:cs="Times New Roman" w:eastAsia="Times New Roman" w:hAnsi="Times New Roman"/>
          <w:sz w:val="12"/>
          <w:szCs w:val="12"/>
          <w:color w:val="auto"/>
        </w:rPr>
        <w:t>Weatherford Bermuda or Weatherford Delaware, as the case may be, may issue debt securities either separately, or together with, or upon the conversion of or in exchange for, other securities. The debt securities will be issued in one or more series under the Indenture.</w:t>
      </w:r>
    </w:p>
    <w:p>
      <w:pPr>
        <w:spacing w:after="0" w:line="66" w:lineRule="exact"/>
        <w:rPr>
          <w:sz w:val="20"/>
          <w:szCs w:val="20"/>
          <w:color w:val="auto"/>
        </w:rPr>
      </w:pPr>
    </w:p>
    <w:p>
      <w:pPr>
        <w:ind w:left="1720" w:right="1879" w:firstLine="244"/>
        <w:spacing w:after="0" w:line="256" w:lineRule="auto"/>
        <w:rPr>
          <w:sz w:val="20"/>
          <w:szCs w:val="20"/>
          <w:color w:val="auto"/>
        </w:rPr>
      </w:pPr>
      <w:r>
        <w:rPr>
          <w:rFonts w:ascii="Times New Roman" w:cs="Times New Roman" w:eastAsia="Times New Roman" w:hAnsi="Times New Roman"/>
          <w:sz w:val="12"/>
          <w:szCs w:val="12"/>
          <w:color w:val="auto"/>
        </w:rPr>
        <w:t>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w:t>
      </w:r>
    </w:p>
    <w:p>
      <w:pPr>
        <w:spacing w:after="0" w:line="70" w:lineRule="exact"/>
        <w:rPr>
          <w:sz w:val="20"/>
          <w:szCs w:val="20"/>
          <w:color w:val="auto"/>
        </w:rPr>
      </w:pPr>
    </w:p>
    <w:p>
      <w:pPr>
        <w:ind w:left="1720" w:right="1999" w:firstLine="244"/>
        <w:spacing w:after="0" w:line="290" w:lineRule="auto"/>
        <w:rPr>
          <w:sz w:val="20"/>
          <w:szCs w:val="20"/>
          <w:color w:val="auto"/>
        </w:rPr>
      </w:pPr>
      <w:r>
        <w:rPr>
          <w:rFonts w:ascii="Times New Roman" w:cs="Times New Roman" w:eastAsia="Times New Roman" w:hAnsi="Times New Roman"/>
          <w:sz w:val="12"/>
          <w:szCs w:val="12"/>
          <w:color w:val="auto"/>
        </w:rPr>
        <w:t>The prospectus supplement relating to any series of debt securities that the Issuer may offer will contain the specific terms of the debt securities. These terms may include, among others, the following:</w:t>
      </w:r>
    </w:p>
    <w:p>
      <w:pPr>
        <w:spacing w:after="0" w:line="33" w:lineRule="exact"/>
        <w:rPr>
          <w:sz w:val="20"/>
          <w:szCs w:val="20"/>
          <w:color w:val="auto"/>
        </w:rPr>
      </w:pPr>
    </w:p>
    <w:p>
      <w:pPr>
        <w:ind w:left="2080" w:hanging="114"/>
        <w:spacing w:after="0"/>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of such series of debt securities;</w:t>
      </w:r>
    </w:p>
    <w:p>
      <w:pPr>
        <w:spacing w:after="0" w:line="81" w:lineRule="exact"/>
        <w:rPr>
          <w:rFonts w:ascii="Times New Roman" w:cs="Times New Roman" w:eastAsia="Times New Roman" w:hAnsi="Times New Roman"/>
          <w:sz w:val="12"/>
          <w:szCs w:val="12"/>
          <w:color w:val="auto"/>
        </w:rPr>
      </w:pPr>
    </w:p>
    <w:p>
      <w:pPr>
        <w:ind w:left="2080" w:right="2219" w:hanging="114"/>
        <w:spacing w:after="0" w:line="290" w:lineRule="auto"/>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and aggregate principal amount of the debt securities and any limit on the aggregate principal amount of such series;</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subordination provisions for any subordinated debt securities;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maturity date(s) or method for determining same;</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rate(s) or the method for determining same;</w:t>
      </w:r>
    </w:p>
    <w:p>
      <w:pPr>
        <w:spacing w:after="0" w:line="81" w:lineRule="exact"/>
        <w:rPr>
          <w:rFonts w:ascii="Times New Roman" w:cs="Times New Roman" w:eastAsia="Times New Roman" w:hAnsi="Times New Roman"/>
          <w:sz w:val="12"/>
          <w:szCs w:val="12"/>
          <w:color w:val="auto"/>
        </w:rPr>
      </w:pPr>
    </w:p>
    <w:p>
      <w:pPr>
        <w:ind w:left="2080" w:right="1959" w:hanging="114"/>
        <w:spacing w:after="0" w:line="272" w:lineRule="auto"/>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43" w:lineRule="exact"/>
        <w:rPr>
          <w:rFonts w:ascii="Times New Roman" w:cs="Times New Roman" w:eastAsia="Times New Roman" w:hAnsi="Times New Roman"/>
          <w:sz w:val="12"/>
          <w:szCs w:val="12"/>
          <w:color w:val="auto"/>
        </w:rPr>
      </w:pPr>
    </w:p>
    <w:p>
      <w:pPr>
        <w:ind w:left="2080" w:right="2019" w:hanging="114"/>
        <w:spacing w:after="0" w:line="290" w:lineRule="auto"/>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place(s) where payment of principal and interest may be made, where debt securities may be presented and where notices or demands upon the Issuer may be made;</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 (including any sinking fund) or early repayment provisions;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 w:name="page19"/>
    <w:bookmarkEnd w:id="18"/>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authorized denominations;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other than the principal amount, the principal amount of debt securities payable upon acceleration;</w:t>
      </w:r>
    </w:p>
    <w:p>
      <w:pPr>
        <w:spacing w:after="0" w:line="81" w:lineRule="exact"/>
        <w:rPr>
          <w:rFonts w:ascii="Times New Roman" w:cs="Times New Roman" w:eastAsia="Times New Roman" w:hAnsi="Times New Roman"/>
          <w:sz w:val="12"/>
          <w:szCs w:val="12"/>
          <w:color w:val="auto"/>
        </w:rPr>
      </w:pPr>
    </w:p>
    <w:p>
      <w:pPr>
        <w:ind w:left="2080" w:right="191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or forms of the debt securities of the series including such legends as may be required by applicable law;</w:t>
      </w:r>
    </w:p>
    <w:p>
      <w:pPr>
        <w:spacing w:after="0" w:line="23" w:lineRule="exact"/>
        <w:rPr>
          <w:rFonts w:ascii="Times New Roman" w:cs="Times New Roman" w:eastAsia="Times New Roman" w:hAnsi="Times New Roman"/>
          <w:sz w:val="12"/>
          <w:szCs w:val="12"/>
          <w:color w:val="auto"/>
        </w:rPr>
      </w:pPr>
    </w:p>
    <w:p>
      <w:pPr>
        <w:ind w:left="2080" w:right="179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debt securities will be issued in whole or in part in the form of one or more global securities and the date as of which the securities are dated if other than the date of original issuance;</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debt securities are secured and the terms of such security;</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discount or premium, if any, with which the debt securities will be issued;</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covenants applicable to the particular debt securities being issued;</w:t>
      </w:r>
    </w:p>
    <w:p>
      <w:pPr>
        <w:spacing w:after="0" w:line="81" w:lineRule="exact"/>
        <w:rPr>
          <w:rFonts w:ascii="Times New Roman" w:cs="Times New Roman" w:eastAsia="Times New Roman" w:hAnsi="Times New Roman"/>
          <w:sz w:val="12"/>
          <w:szCs w:val="12"/>
          <w:color w:val="auto"/>
        </w:rPr>
      </w:pPr>
    </w:p>
    <w:p>
      <w:pPr>
        <w:ind w:left="2080" w:right="213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additions or changes in the defaults and events of default applicable to the particular debt securities being issued;</w:t>
      </w:r>
    </w:p>
    <w:p>
      <w:pPr>
        <w:spacing w:after="0" w:line="32" w:lineRule="exact"/>
        <w:rPr>
          <w:rFonts w:ascii="Times New Roman" w:cs="Times New Roman" w:eastAsia="Times New Roman" w:hAnsi="Times New Roman"/>
          <w:sz w:val="12"/>
          <w:szCs w:val="12"/>
          <w:color w:val="auto"/>
        </w:rPr>
      </w:pPr>
    </w:p>
    <w:p>
      <w:pPr>
        <w:ind w:left="2080" w:right="177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guarantee by the Guarantor (including provisions relating to seniority, subordination and release of the guarantees);</w:t>
      </w:r>
    </w:p>
    <w:p>
      <w:pPr>
        <w:spacing w:after="0" w:line="32" w:lineRule="exact"/>
        <w:rPr>
          <w:rFonts w:ascii="Times New Roman" w:cs="Times New Roman" w:eastAsia="Times New Roman" w:hAnsi="Times New Roman"/>
          <w:sz w:val="12"/>
          <w:szCs w:val="12"/>
          <w:color w:val="auto"/>
        </w:rPr>
      </w:pPr>
    </w:p>
    <w:p>
      <w:pPr>
        <w:ind w:left="2080" w:right="191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currencies or currency units in which the purchase price for, the principal of and any premium and any interest on, the debt securities will be payable;</w:t>
      </w:r>
    </w:p>
    <w:p>
      <w:pPr>
        <w:spacing w:after="0" w:line="23" w:lineRule="exact"/>
        <w:rPr>
          <w:rFonts w:ascii="Times New Roman" w:cs="Times New Roman" w:eastAsia="Times New Roman" w:hAnsi="Times New Roman"/>
          <w:sz w:val="12"/>
          <w:szCs w:val="12"/>
          <w:color w:val="auto"/>
        </w:rPr>
      </w:pPr>
    </w:p>
    <w:p>
      <w:pPr>
        <w:ind w:left="2080" w:right="189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period within which, the manner in which and the terms and conditions upon which we or the holders of the debt securities can select the payment currency;</w:t>
      </w:r>
    </w:p>
    <w:p>
      <w:pPr>
        <w:spacing w:after="0" w:line="32" w:lineRule="exact"/>
        <w:rPr>
          <w:rFonts w:ascii="Times New Roman" w:cs="Times New Roman" w:eastAsia="Times New Roman" w:hAnsi="Times New Roman"/>
          <w:sz w:val="12"/>
          <w:szCs w:val="12"/>
          <w:color w:val="auto"/>
        </w:rPr>
      </w:pPr>
    </w:p>
    <w:p>
      <w:pPr>
        <w:ind w:left="2080" w:right="239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obligation or right to redeem, purchase or repay debt securities under a sinking fund, amortization or analogous provision;</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restriction or conditions on the transferability of the debt securities;</w:t>
      </w:r>
    </w:p>
    <w:p>
      <w:pPr>
        <w:spacing w:after="0" w:line="81" w:lineRule="exact"/>
        <w:rPr>
          <w:rFonts w:ascii="Times New Roman" w:cs="Times New Roman" w:eastAsia="Times New Roman" w:hAnsi="Times New Roman"/>
          <w:sz w:val="12"/>
          <w:szCs w:val="12"/>
          <w:color w:val="auto"/>
        </w:rPr>
      </w:pPr>
    </w:p>
    <w:p>
      <w:pPr>
        <w:ind w:left="2080" w:right="207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granting special rights to holders of the debt securities upon occurrence of specified events;</w:t>
      </w:r>
    </w:p>
    <w:p>
      <w:pPr>
        <w:spacing w:after="0" w:line="32" w:lineRule="exact"/>
        <w:rPr>
          <w:rFonts w:ascii="Times New Roman" w:cs="Times New Roman" w:eastAsia="Times New Roman" w:hAnsi="Times New Roman"/>
          <w:sz w:val="12"/>
          <w:szCs w:val="12"/>
          <w:color w:val="auto"/>
        </w:rPr>
      </w:pPr>
    </w:p>
    <w:p>
      <w:pPr>
        <w:ind w:left="2080" w:right="203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debt securities are convertible or exchangeable into other securities and any related terms and conditions;</w:t>
      </w:r>
    </w:p>
    <w:p>
      <w:pPr>
        <w:spacing w:after="0" w:line="32" w:lineRule="exact"/>
        <w:rPr>
          <w:rFonts w:ascii="Times New Roman" w:cs="Times New Roman" w:eastAsia="Times New Roman" w:hAnsi="Times New Roman"/>
          <w:sz w:val="12"/>
          <w:szCs w:val="12"/>
          <w:color w:val="auto"/>
        </w:rPr>
      </w:pPr>
    </w:p>
    <w:p>
      <w:pPr>
        <w:ind w:left="2080" w:right="1899" w:hanging="114"/>
        <w:spacing w:after="0" w:line="290"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changes relating to compensation or reimbursement of the trustee of the series of debt securities;</w:t>
      </w:r>
    </w:p>
    <w:p>
      <w:pPr>
        <w:spacing w:after="0" w:line="32" w:lineRule="exact"/>
        <w:rPr>
          <w:rFonts w:ascii="Times New Roman" w:cs="Times New Roman" w:eastAsia="Times New Roman" w:hAnsi="Times New Roman"/>
          <w:sz w:val="12"/>
          <w:szCs w:val="12"/>
          <w:color w:val="auto"/>
        </w:rPr>
      </w:pPr>
    </w:p>
    <w:p>
      <w:pPr>
        <w:ind w:left="2080" w:right="1799" w:hanging="114"/>
        <w:spacing w:after="0" w:line="272"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relating to the modification of the Indenture both with and without the consent of holders of debt securities issued under the Indenture and the execution of supplemental Indentures for such series; and</w:t>
      </w:r>
    </w:p>
    <w:p>
      <w:pPr>
        <w:spacing w:after="0" w:line="43" w:lineRule="exact"/>
        <w:rPr>
          <w:rFonts w:ascii="Times New Roman" w:cs="Times New Roman" w:eastAsia="Times New Roman" w:hAnsi="Times New Roman"/>
          <w:sz w:val="12"/>
          <w:szCs w:val="12"/>
          <w:color w:val="auto"/>
        </w:rPr>
      </w:pPr>
    </w:p>
    <w:p>
      <w:pPr>
        <w:ind w:left="2080" w:right="1759" w:hanging="114"/>
        <w:spacing w:after="0" w:line="272" w:lineRule="auto"/>
        <w:tabs>
          <w:tab w:leader="none" w:pos="20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62" w:lineRule="exact"/>
        <w:rPr>
          <w:sz w:val="20"/>
          <w:szCs w:val="20"/>
          <w:color w:val="auto"/>
        </w:rPr>
      </w:pPr>
    </w:p>
    <w:p>
      <w:pPr>
        <w:ind w:left="1720" w:right="1759" w:firstLine="244"/>
        <w:spacing w:after="0" w:line="252" w:lineRule="auto"/>
        <w:rPr>
          <w:sz w:val="20"/>
          <w:szCs w:val="20"/>
          <w:color w:val="auto"/>
        </w:rPr>
      </w:pPr>
      <w:r>
        <w:rPr>
          <w:rFonts w:ascii="Times New Roman" w:cs="Times New Roman" w:eastAsia="Times New Roman" w:hAnsi="Times New Roman"/>
          <w:sz w:val="12"/>
          <w:szCs w:val="12"/>
          <w:color w:val="auto"/>
        </w:rPr>
        <w:t>The Issuer may sell the debt securities, including original issue discount securities, at par or at a substantial discount below their stated principal 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73" w:lineRule="exact"/>
        <w:rPr>
          <w:sz w:val="20"/>
          <w:szCs w:val="20"/>
          <w:color w:val="auto"/>
        </w:rPr>
      </w:pPr>
    </w:p>
    <w:p>
      <w:pPr>
        <w:ind w:left="1720" w:right="1819" w:firstLine="244"/>
        <w:spacing w:after="0" w:line="247" w:lineRule="auto"/>
        <w:rPr>
          <w:sz w:val="20"/>
          <w:szCs w:val="20"/>
          <w:color w:val="auto"/>
        </w:rPr>
      </w:pPr>
      <w:r>
        <w:rPr>
          <w:rFonts w:ascii="Times New Roman" w:cs="Times New Roman" w:eastAsia="Times New Roman" w:hAnsi="Times New Roman"/>
          <w:sz w:val="12"/>
          <w:szCs w:val="12"/>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19" w:name="page20"/>
    <w:bookmarkEnd w:id="19"/>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2279"/>
        <w:spacing w:after="0" w:line="290" w:lineRule="auto"/>
        <w:rPr>
          <w:sz w:val="20"/>
          <w:szCs w:val="20"/>
          <w:color w:val="auto"/>
        </w:rPr>
      </w:pPr>
      <w:r>
        <w:rPr>
          <w:rFonts w:ascii="Times New Roman" w:cs="Times New Roman" w:eastAsia="Times New Roman" w:hAnsi="Times New Roman"/>
          <w:sz w:val="12"/>
          <w:szCs w:val="12"/>
          <w:color w:val="auto"/>
        </w:rPr>
        <w:t>indices or other factors to which the amount payable on such date is linked will be described in an accompanying prospectus supplement.</w:t>
      </w:r>
    </w:p>
    <w:p>
      <w:pPr>
        <w:spacing w:after="0" w:line="51" w:lineRule="exact"/>
        <w:rPr>
          <w:sz w:val="20"/>
          <w:szCs w:val="20"/>
          <w:color w:val="auto"/>
        </w:rPr>
      </w:pPr>
    </w:p>
    <w:p>
      <w:pPr>
        <w:ind w:left="1720" w:right="1979" w:firstLine="244"/>
        <w:spacing w:after="0" w:line="274" w:lineRule="auto"/>
        <w:rPr>
          <w:sz w:val="20"/>
          <w:szCs w:val="20"/>
          <w:color w:val="auto"/>
        </w:rPr>
      </w:pPr>
      <w:r>
        <w:rPr>
          <w:rFonts w:ascii="Times New Roman" w:cs="Times New Roman" w:eastAsia="Times New Roman" w:hAnsi="Times New Roman"/>
          <w:sz w:val="12"/>
          <w:szCs w:val="12"/>
          <w:color w:val="auto"/>
        </w:rPr>
        <w:t>United States federal income tax consequences and special considerations, if any, applicable to any such series will be described in an accompanying prospectus supplement.</w:t>
      </w:r>
    </w:p>
    <w:p>
      <w:pPr>
        <w:spacing w:after="0" w:line="60" w:lineRule="exact"/>
        <w:rPr>
          <w:sz w:val="20"/>
          <w:szCs w:val="20"/>
          <w:color w:val="auto"/>
        </w:rPr>
      </w:pPr>
    </w:p>
    <w:p>
      <w:pPr>
        <w:ind w:left="1720" w:right="1819" w:firstLine="244"/>
        <w:spacing w:after="0" w:line="252" w:lineRule="auto"/>
        <w:rPr>
          <w:sz w:val="20"/>
          <w:szCs w:val="20"/>
          <w:color w:val="auto"/>
        </w:rPr>
      </w:pPr>
      <w:r>
        <w:rPr>
          <w:rFonts w:ascii="Times New Roman" w:cs="Times New Roman" w:eastAsia="Times New Roman" w:hAnsi="Times New Roman"/>
          <w:sz w:val="12"/>
          <w:szCs w:val="12"/>
          <w:color w:val="auto"/>
        </w:rPr>
        <w:t>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Guarantees</w:t>
      </w:r>
    </w:p>
    <w:p>
      <w:pPr>
        <w:spacing w:after="0" w:line="111" w:lineRule="exact"/>
        <w:rPr>
          <w:sz w:val="20"/>
          <w:szCs w:val="20"/>
          <w:color w:val="auto"/>
        </w:rPr>
      </w:pPr>
    </w:p>
    <w:p>
      <w:pPr>
        <w:ind w:left="1720" w:right="1759" w:firstLine="244"/>
        <w:spacing w:after="0" w:line="251" w:lineRule="auto"/>
        <w:rPr>
          <w:sz w:val="20"/>
          <w:szCs w:val="20"/>
          <w:color w:val="auto"/>
        </w:rPr>
      </w:pPr>
      <w:r>
        <w:rPr>
          <w:rFonts w:ascii="Times New Roman" w:cs="Times New Roman" w:eastAsia="Times New Roman" w:hAnsi="Times New Roman"/>
          <w:sz w:val="12"/>
          <w:szCs w:val="12"/>
          <w:color w:val="auto"/>
        </w:rPr>
        <w:t>Each Guarantor will fully and unconditionally guarantee all obligations of the Issuer under the Indenture and the related debt securities. Unless 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w:t>
      </w:r>
    </w:p>
    <w:p>
      <w:pPr>
        <w:spacing w:after="0" w:line="1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Conversion and Exchange</w:t>
      </w:r>
    </w:p>
    <w:p>
      <w:pPr>
        <w:spacing w:after="0" w:line="1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The terms, if any, on which debt securities of any series are convertible into or exchangeable for</w:t>
      </w:r>
    </w:p>
    <w:p>
      <w:pPr>
        <w:spacing w:after="0" w:line="13" w:lineRule="exact"/>
        <w:rPr>
          <w:sz w:val="20"/>
          <w:szCs w:val="20"/>
          <w:color w:val="auto"/>
        </w:rPr>
      </w:pPr>
    </w:p>
    <w:p>
      <w:pPr>
        <w:ind w:left="1720" w:right="1879"/>
        <w:spacing w:after="0" w:line="252" w:lineRule="auto"/>
        <w:rPr>
          <w:sz w:val="20"/>
          <w:szCs w:val="20"/>
          <w:color w:val="auto"/>
        </w:rPr>
      </w:pPr>
      <w:r>
        <w:rPr>
          <w:rFonts w:ascii="Times New Roman" w:cs="Times New Roman" w:eastAsia="Times New Roman" w:hAnsi="Times New Roman"/>
          <w:sz w:val="12"/>
          <w:szCs w:val="12"/>
          <w:color w:val="auto"/>
        </w:rPr>
        <w:t>ordinary shares of Weatherford Ireland, other debt securities or any other securities will be set forth in the related prospectus supplement. The terms may include provisions for conversion or exchange, either mandatory, at the option of the holders, the Issuer or Weatherford Ireland.</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Registration of Transfer and Exchange</w:t>
      </w:r>
    </w:p>
    <w:p>
      <w:pPr>
        <w:spacing w:after="0" w:line="111" w:lineRule="exact"/>
        <w:rPr>
          <w:sz w:val="20"/>
          <w:szCs w:val="20"/>
          <w:color w:val="auto"/>
        </w:rPr>
      </w:pPr>
    </w:p>
    <w:p>
      <w:pPr>
        <w:ind w:left="1720" w:right="1759" w:firstLine="244"/>
        <w:spacing w:after="0" w:line="249" w:lineRule="auto"/>
        <w:rPr>
          <w:sz w:val="20"/>
          <w:szCs w:val="20"/>
          <w:color w:val="auto"/>
        </w:rPr>
      </w:pPr>
      <w:r>
        <w:rPr>
          <w:rFonts w:ascii="Times New Roman" w:cs="Times New Roman" w:eastAsia="Times New Roman" w:hAnsi="Times New Roman"/>
          <w:sz w:val="12"/>
          <w:szCs w:val="12"/>
          <w:color w:val="auto"/>
        </w:rPr>
        <w:t>Subject to the terms of the Indenture and the limitations applicable to global securities, debt securities may be transferred or exchanged at the 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w:t>
      </w:r>
    </w:p>
    <w:p>
      <w:pPr>
        <w:spacing w:after="0" w:line="199" w:lineRule="exact"/>
        <w:rPr>
          <w:sz w:val="20"/>
          <w:szCs w:val="20"/>
          <w:color w:val="auto"/>
        </w:rPr>
      </w:pPr>
    </w:p>
    <w:p>
      <w:pPr>
        <w:ind w:left="2080" w:right="1779" w:hanging="114"/>
        <w:spacing w:after="0" w:line="290" w:lineRule="auto"/>
        <w:tabs>
          <w:tab w:leader="none" w:pos="20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 period beginning at the opening of business 15 days before the day of mailing of a notice of redemption of securities of that series selected for redemption; or</w:t>
      </w:r>
    </w:p>
    <w:p>
      <w:pPr>
        <w:spacing w:after="0" w:line="32" w:lineRule="exact"/>
        <w:rPr>
          <w:rFonts w:ascii="Times New Roman" w:cs="Times New Roman" w:eastAsia="Times New Roman" w:hAnsi="Times New Roman"/>
          <w:sz w:val="12"/>
          <w:szCs w:val="12"/>
          <w:color w:val="auto"/>
        </w:rPr>
      </w:pPr>
    </w:p>
    <w:p>
      <w:pPr>
        <w:ind w:left="2080" w:right="1739" w:hanging="114"/>
        <w:spacing w:after="0" w:line="290" w:lineRule="auto"/>
        <w:tabs>
          <w:tab w:leader="none" w:pos="20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selected for redemption in whole or in part, except the unredeemed portion of any debt security being redeemed in part.</w:t>
      </w:r>
    </w:p>
    <w:p>
      <w:pPr>
        <w:spacing w:after="0" w:line="1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Payment</w:t>
      </w:r>
    </w:p>
    <w:p>
      <w:pPr>
        <w:spacing w:after="0" w:line="102" w:lineRule="exact"/>
        <w:rPr>
          <w:sz w:val="20"/>
          <w:szCs w:val="20"/>
          <w:color w:val="auto"/>
        </w:rPr>
      </w:pPr>
    </w:p>
    <w:p>
      <w:pPr>
        <w:ind w:left="1720" w:right="1759" w:firstLine="244"/>
        <w:spacing w:after="0" w:line="260" w:lineRule="auto"/>
        <w:rPr>
          <w:sz w:val="20"/>
          <w:szCs w:val="20"/>
          <w:color w:val="auto"/>
        </w:rPr>
      </w:pPr>
      <w:r>
        <w:rPr>
          <w:rFonts w:ascii="Times New Roman" w:cs="Times New Roman" w:eastAsia="Times New Roman" w:hAnsi="Times New Roman"/>
          <w:sz w:val="12"/>
          <w:szCs w:val="12"/>
          <w:color w:val="auto"/>
        </w:rPr>
        <w:t>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 security that is payable and is 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w:t>
      </w:r>
    </w:p>
    <w:p>
      <w:pPr>
        <w:spacing w:after="0" w:line="1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Global Securities</w:t>
      </w:r>
    </w:p>
    <w:p>
      <w:pPr>
        <w:spacing w:after="0" w:line="111" w:lineRule="exact"/>
        <w:rPr>
          <w:sz w:val="20"/>
          <w:szCs w:val="20"/>
          <w:color w:val="auto"/>
        </w:rPr>
      </w:pPr>
    </w:p>
    <w:p>
      <w:pPr>
        <w:ind w:left="1720" w:right="1819" w:firstLine="244"/>
        <w:spacing w:after="0" w:line="265" w:lineRule="auto"/>
        <w:rPr>
          <w:sz w:val="20"/>
          <w:szCs w:val="20"/>
          <w:color w:val="auto"/>
        </w:rPr>
      </w:pPr>
      <w:r>
        <w:rPr>
          <w:rFonts w:ascii="Times New Roman" w:cs="Times New Roman" w:eastAsia="Times New Roman" w:hAnsi="Times New Roman"/>
          <w:sz w:val="12"/>
          <w:szCs w:val="12"/>
          <w:color w:val="auto"/>
        </w:rPr>
        <w:t>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 prospectus supplement. The specific terms of the depositary arrangement with respect to any debt securities of a series will be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 w:name="page21"/>
    <w:bookmarkEnd w:id="20"/>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jc w:val="both"/>
        <w:ind w:left="1720" w:right="1779"/>
        <w:spacing w:after="0" w:line="266" w:lineRule="auto"/>
        <w:rPr>
          <w:sz w:val="20"/>
          <w:szCs w:val="20"/>
          <w:color w:val="auto"/>
        </w:rPr>
      </w:pPr>
      <w:r>
        <w:rPr>
          <w:rFonts w:ascii="Times New Roman" w:cs="Times New Roman" w:eastAsia="Times New Roman" w:hAnsi="Times New Roman"/>
          <w:sz w:val="12"/>
          <w:szCs w:val="12"/>
          <w:color w:val="auto"/>
        </w:rPr>
        <w:t>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w:t>
      </w:r>
    </w:p>
    <w:p>
      <w:pPr>
        <w:spacing w:after="0" w:line="75" w:lineRule="exact"/>
        <w:rPr>
          <w:sz w:val="20"/>
          <w:szCs w:val="20"/>
          <w:color w:val="auto"/>
        </w:rPr>
      </w:pPr>
    </w:p>
    <w:p>
      <w:pPr>
        <w:ind w:left="1720" w:right="1859" w:firstLine="244"/>
        <w:spacing w:after="0" w:line="265" w:lineRule="auto"/>
        <w:rPr>
          <w:sz w:val="20"/>
          <w:szCs w:val="20"/>
          <w:color w:val="auto"/>
        </w:rPr>
      </w:pPr>
      <w:r>
        <w:rPr>
          <w:rFonts w:ascii="Times New Roman" w:cs="Times New Roman" w:eastAsia="Times New Roman" w:hAnsi="Times New Roman"/>
          <w:sz w:val="12"/>
          <w:szCs w:val="12"/>
          <w:color w:val="auto"/>
        </w:rPr>
        <w:t>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6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Certain Covenants of the Debt Securities</w:t>
      </w:r>
    </w:p>
    <w:p>
      <w:pPr>
        <w:spacing w:after="0" w:line="1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The debt securities will include the following covenants:</w:t>
      </w:r>
    </w:p>
    <w:p>
      <w:pPr>
        <w:spacing w:after="0" w:line="98" w:lineRule="exact"/>
        <w:rPr>
          <w:sz w:val="20"/>
          <w:szCs w:val="20"/>
          <w:color w:val="auto"/>
        </w:rPr>
      </w:pPr>
    </w:p>
    <w:p>
      <w:pPr>
        <w:ind w:left="1720" w:right="1759" w:firstLine="24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Limitation on Liens. </w:t>
      </w:r>
      <w:r>
        <w:rPr>
          <w:rFonts w:ascii="Times New Roman" w:cs="Times New Roman" w:eastAsia="Times New Roman" w:hAnsi="Times New Roman"/>
          <w:sz w:val="12"/>
          <w:szCs w:val="12"/>
          <w:color w:val="auto"/>
        </w:rPr>
        <w:t>Unless otherwise indicated in the prospectus supplement relating to a series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debt securities, Weatherford Ireland will not, and 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 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 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 any indebtedness secured thereby, without increase of the principal of such indebtedness or expansion of the collateral securing such indebtedness):</w:t>
      </w:r>
    </w:p>
    <w:p>
      <w:pPr>
        <w:spacing w:after="0" w:line="230" w:lineRule="exact"/>
        <w:rPr>
          <w:sz w:val="20"/>
          <w:szCs w:val="20"/>
          <w:color w:val="auto"/>
        </w:rPr>
      </w:pPr>
    </w:p>
    <w:p>
      <w:pPr>
        <w:ind w:left="2220" w:right="1759" w:hanging="254"/>
        <w:spacing w:after="0" w:line="290"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property, shares or funded indebtedness of any Person existing at the time such Person becomes a restricted subsidiary;</w:t>
      </w:r>
    </w:p>
    <w:p>
      <w:pPr>
        <w:spacing w:after="0" w:line="60" w:lineRule="exact"/>
        <w:rPr>
          <w:rFonts w:ascii="Times New Roman" w:cs="Times New Roman" w:eastAsia="Times New Roman" w:hAnsi="Times New Roman"/>
          <w:sz w:val="12"/>
          <w:szCs w:val="12"/>
          <w:color w:val="auto"/>
        </w:rPr>
      </w:pPr>
    </w:p>
    <w:p>
      <w:pPr>
        <w:ind w:left="2220" w:right="1779" w:hanging="254"/>
        <w:spacing w:after="0" w:line="259"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w:t>
      </w:r>
    </w:p>
    <w:p>
      <w:pPr>
        <w:spacing w:after="0" w:line="71" w:lineRule="exact"/>
        <w:rPr>
          <w:rFonts w:ascii="Times New Roman" w:cs="Times New Roman" w:eastAsia="Times New Roman" w:hAnsi="Times New Roman"/>
          <w:sz w:val="12"/>
          <w:szCs w:val="12"/>
          <w:color w:val="auto"/>
        </w:rPr>
      </w:pPr>
    </w:p>
    <w:p>
      <w:pPr>
        <w:ind w:left="2220" w:right="1779" w:hanging="254"/>
        <w:spacing w:after="0" w:line="266"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property, shares or funded indebtedness of a Person existing at the time such Person is merged into or consolidated with Weatherford Ireland or a restricted subsidiary, or at the time of a sale, lease or other disposition of the properties of a Person as an entirety or substantially as an entirety to Weatherford Ireland or a restricted subsidiary;</w:t>
      </w:r>
    </w:p>
    <w:p>
      <w:pPr>
        <w:spacing w:after="0" w:line="74" w:lineRule="exact"/>
        <w:rPr>
          <w:rFonts w:ascii="Times New Roman" w:cs="Times New Roman" w:eastAsia="Times New Roman" w:hAnsi="Times New Roman"/>
          <w:sz w:val="12"/>
          <w:szCs w:val="12"/>
          <w:color w:val="auto"/>
        </w:rPr>
      </w:pPr>
    </w:p>
    <w:p>
      <w:pPr>
        <w:ind w:left="2220" w:right="2119" w:hanging="254"/>
        <w:spacing w:after="0" w:line="290"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property of a restricted subsidiary to secure indebtedness of such restricted subsidiary to Weatherford Ireland or another restricted subsidiary;</w:t>
      </w:r>
    </w:p>
    <w:p>
      <w:pPr>
        <w:spacing w:after="0" w:line="60" w:lineRule="exact"/>
        <w:rPr>
          <w:rFonts w:ascii="Times New Roman" w:cs="Times New Roman" w:eastAsia="Times New Roman" w:hAnsi="Times New Roman"/>
          <w:sz w:val="12"/>
          <w:szCs w:val="12"/>
          <w:color w:val="auto"/>
        </w:rPr>
      </w:pPr>
    </w:p>
    <w:p>
      <w:pPr>
        <w:ind w:left="2220" w:right="1799" w:hanging="254"/>
        <w:spacing w:after="0" w:line="260" w:lineRule="auto"/>
        <w:tabs>
          <w:tab w:leader="none" w:pos="2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1" w:name="page22"/>
    <w:bookmarkEnd w:id="21"/>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960"/>
        <w:spacing w:after="0"/>
        <w:tabs>
          <w:tab w:leader="none" w:pos="2200" w:val="left"/>
        </w:tabs>
        <w:rPr>
          <w:sz w:val="20"/>
          <w:szCs w:val="20"/>
          <w:color w:val="auto"/>
        </w:rPr>
      </w:pPr>
      <w:r>
        <w:rPr>
          <w:rFonts w:ascii="Times New Roman" w:cs="Times New Roman" w:eastAsia="Times New Roman" w:hAnsi="Times New Roman"/>
          <w:sz w:val="12"/>
          <w:szCs w:val="12"/>
          <w:color w:val="auto"/>
        </w:rPr>
        <w:t>(6)</w:t>
        <w:tab/>
        <w:t>existing at the date of the Indenture;</w:t>
      </w:r>
    </w:p>
    <w:p>
      <w:pPr>
        <w:spacing w:after="0" w:line="109" w:lineRule="exact"/>
        <w:rPr>
          <w:sz w:val="20"/>
          <w:szCs w:val="20"/>
          <w:color w:val="auto"/>
        </w:rPr>
      </w:pPr>
    </w:p>
    <w:p>
      <w:pPr>
        <w:ind w:left="1720" w:right="1859" w:firstLine="244"/>
        <w:spacing w:after="0" w:line="272" w:lineRule="auto"/>
        <w:rPr>
          <w:sz w:val="20"/>
          <w:szCs w:val="20"/>
          <w:color w:val="auto"/>
        </w:rPr>
      </w:pPr>
      <w:r>
        <w:rPr>
          <w:rFonts w:ascii="Times New Roman" w:cs="Times New Roman" w:eastAsia="Times New Roman" w:hAnsi="Times New Roman"/>
          <w:sz w:val="12"/>
          <w:szCs w:val="12"/>
          <w:color w:val="auto"/>
        </w:rPr>
        <w:t>provided, however, that any mortgage permitted by any of clauses (1), (2), (3) and (5) above shall not extend to or cover any property of Weatherford Ireland or such restricted subsidiary, as the case may be, other than the property specified in such clauses and improvements to that property.</w:t>
      </w:r>
    </w:p>
    <w:p>
      <w:pPr>
        <w:spacing w:after="0" w:line="71" w:lineRule="exact"/>
        <w:rPr>
          <w:sz w:val="20"/>
          <w:szCs w:val="20"/>
          <w:color w:val="auto"/>
        </w:rPr>
      </w:pPr>
    </w:p>
    <w:p>
      <w:pPr>
        <w:ind w:left="1720" w:right="1759" w:firstLine="244"/>
        <w:spacing w:after="0" w:line="259" w:lineRule="auto"/>
        <w:rPr>
          <w:sz w:val="20"/>
          <w:szCs w:val="20"/>
          <w:color w:val="auto"/>
        </w:rPr>
      </w:pPr>
      <w:r>
        <w:rPr>
          <w:rFonts w:ascii="Times New Roman" w:cs="Times New Roman" w:eastAsia="Times New Roman" w:hAnsi="Times New Roman"/>
          <w:sz w:val="12"/>
          <w:szCs w:val="12"/>
          <w:color w:val="auto"/>
        </w:rPr>
        <w:t>Notwithstanding the above, Weatherford Ireland or any restricted subsidiary may create, assume or guarantee secured indebtedness for money borrowed which would otherwise be prohibited in an aggregate amount which, together with all other such indebtedness for money borrowed of 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 shareholders’ equity in Weatherford Ireland and its consolidated subsidiaries, as shown on the audited consolidated balance sheet contained in the latest annual report to shareholders of Weatherford Ireland.</w:t>
      </w:r>
    </w:p>
    <w:p>
      <w:pPr>
        <w:spacing w:after="0" w:line="69" w:lineRule="exact"/>
        <w:rPr>
          <w:sz w:val="20"/>
          <w:szCs w:val="20"/>
          <w:color w:val="auto"/>
        </w:rPr>
      </w:pPr>
    </w:p>
    <w:p>
      <w:pPr>
        <w:ind w:left="1720" w:right="1819" w:firstLine="244"/>
        <w:spacing w:after="0" w:line="257" w:lineRule="auto"/>
        <w:rPr>
          <w:sz w:val="20"/>
          <w:szCs w:val="20"/>
          <w:color w:val="auto"/>
        </w:rPr>
      </w:pPr>
      <w:r>
        <w:rPr>
          <w:rFonts w:ascii="Times New Roman" w:cs="Times New Roman" w:eastAsia="Times New Roman" w:hAnsi="Times New Roman"/>
          <w:sz w:val="12"/>
          <w:szCs w:val="12"/>
          <w:color w:val="auto"/>
        </w:rPr>
        <w:t>“attributable debt” means, as of any particular time, the lesser of (i) the fair value of the property subject to the applicable sale and leaseback 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 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 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27" w:lineRule="exact"/>
        <w:rPr>
          <w:sz w:val="20"/>
          <w:szCs w:val="20"/>
          <w:color w:val="auto"/>
        </w:rPr>
      </w:pPr>
    </w:p>
    <w:p>
      <w:pPr>
        <w:ind w:left="1720" w:right="2079" w:firstLine="244"/>
        <w:spacing w:after="0" w:line="272" w:lineRule="auto"/>
        <w:rPr>
          <w:sz w:val="20"/>
          <w:szCs w:val="20"/>
          <w:color w:val="auto"/>
        </w:rPr>
      </w:pPr>
      <w:r>
        <w:rPr>
          <w:rFonts w:ascii="Times New Roman" w:cs="Times New Roman" w:eastAsia="Times New Roman" w:hAnsi="Times New Roman"/>
          <w:sz w:val="12"/>
          <w:szCs w:val="12"/>
          <w:color w:val="auto"/>
        </w:rPr>
        <w:t>“Person” means any individual, corporation, partnership, limited liability company, joint venture, association, joint-stock company, trust, unincorporated organization or government or any agency or political subdivision thereof or any other entity; and</w:t>
      </w:r>
    </w:p>
    <w:p>
      <w:pPr>
        <w:spacing w:after="0" w:line="71" w:lineRule="exact"/>
        <w:rPr>
          <w:sz w:val="20"/>
          <w:szCs w:val="20"/>
          <w:color w:val="auto"/>
        </w:rPr>
      </w:pPr>
    </w:p>
    <w:p>
      <w:pPr>
        <w:ind w:left="1720" w:right="1759" w:firstLine="244"/>
        <w:spacing w:after="0" w:line="266" w:lineRule="auto"/>
        <w:rPr>
          <w:sz w:val="20"/>
          <w:szCs w:val="20"/>
          <w:color w:val="auto"/>
        </w:rPr>
      </w:pPr>
      <w:r>
        <w:rPr>
          <w:rFonts w:ascii="Times New Roman" w:cs="Times New Roman" w:eastAsia="Times New Roman" w:hAnsi="Times New Roman"/>
          <w:sz w:val="12"/>
          <w:szCs w:val="12"/>
          <w:color w:val="auto"/>
        </w:rPr>
        <w:t>“shareholders’ equity in Weatherford Ireland and its consolidated subsidiaries” means the share capital, share premium, contributed surplus and retained earnings of Weatherford Ireland and its consolidated subsidiaries, excluding the cost of shares of Weatherford Ireland held by its affiliates, all as determined in accordance with United States generally accepted accounting principles.</w:t>
      </w:r>
    </w:p>
    <w:p>
      <w:pPr>
        <w:spacing w:after="0" w:line="63"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i w:val="1"/>
          <w:iCs w:val="1"/>
          <w:color w:val="auto"/>
        </w:rPr>
        <w:t>Limitation on Sale and Leaseback Transactions</w:t>
      </w:r>
      <w:r>
        <w:rPr>
          <w:rFonts w:ascii="Times New Roman" w:cs="Times New Roman" w:eastAsia="Times New Roman" w:hAnsi="Times New Roman"/>
          <w:sz w:val="12"/>
          <w:szCs w:val="12"/>
          <w:color w:val="auto"/>
        </w:rPr>
        <w:t>. Unless otherwise indicated in the prospectus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supplement relating to a series of debt securities, 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 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 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 applied to the retirement of any funded indebtedness as provided under clause (i) shall be reduced by (A) the principal amount of any debt securities delivered within 360 days after such sale or transfer to the trustee for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 w:name="page23"/>
    <w:bookmarkEnd w:id="22"/>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39"/>
        <w:spacing w:after="0" w:line="263" w:lineRule="auto"/>
        <w:rPr>
          <w:sz w:val="20"/>
          <w:szCs w:val="20"/>
          <w:color w:val="auto"/>
        </w:rPr>
      </w:pPr>
      <w:r>
        <w:rPr>
          <w:rFonts w:ascii="Times New Roman" w:cs="Times New Roman" w:eastAsia="Times New Roman" w:hAnsi="Times New Roman"/>
          <w:sz w:val="12"/>
          <w:szCs w:val="12"/>
          <w:color w:val="auto"/>
        </w:rPr>
        <w:t>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 purchase, improvement or construction, Weatherford Ireland shall apply an amount equal to the remainder as provided in (i) above.</w:t>
      </w:r>
    </w:p>
    <w:p>
      <w:pPr>
        <w:spacing w:after="0" w:line="75" w:lineRule="exact"/>
        <w:rPr>
          <w:sz w:val="20"/>
          <w:szCs w:val="20"/>
          <w:color w:val="auto"/>
        </w:rPr>
      </w:pPr>
    </w:p>
    <w:p>
      <w:pPr>
        <w:ind w:left="1720" w:right="1759" w:firstLine="244"/>
        <w:spacing w:after="0" w:line="256" w:lineRule="auto"/>
        <w:rPr>
          <w:sz w:val="20"/>
          <w:szCs w:val="20"/>
          <w:color w:val="auto"/>
        </w:rPr>
      </w:pPr>
      <w:r>
        <w:rPr>
          <w:rFonts w:ascii="Times New Roman" w:cs="Times New Roman" w:eastAsia="Times New Roman" w:hAnsi="Times New Roman"/>
          <w:sz w:val="12"/>
          <w:szCs w:val="12"/>
          <w:i w:val="1"/>
          <w:iCs w:val="1"/>
          <w:color w:val="auto"/>
        </w:rPr>
        <w:t xml:space="preserve">Restrictions Upon Merger and Sales of Assets. </w:t>
      </w:r>
      <w:r>
        <w:rPr>
          <w:rFonts w:ascii="Times New Roman" w:cs="Times New Roman" w:eastAsia="Times New Roman" w:hAnsi="Times New Roman"/>
          <w:sz w:val="12"/>
          <w:szCs w:val="12"/>
          <w:color w:val="auto"/>
        </w:rPr>
        <w:t>Unless otherwise indicated in the prospectus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supplement relating to a series of debt securities, the Issuer shall not consolidate, amalgamate or merge with or into any other Person (whether or not affiliated with such Issuer) and the Issuer or its successor 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 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 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 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 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w:t>
      </w:r>
    </w:p>
    <w:p>
      <w:pPr>
        <w:spacing w:after="0" w:line="231" w:lineRule="exact"/>
        <w:rPr>
          <w:sz w:val="20"/>
          <w:szCs w:val="20"/>
          <w:color w:val="auto"/>
        </w:rPr>
      </w:pPr>
    </w:p>
    <w:p>
      <w:pPr>
        <w:ind w:left="1720" w:right="1759" w:firstLine="244"/>
        <w:spacing w:after="0" w:line="256" w:lineRule="auto"/>
        <w:rPr>
          <w:sz w:val="20"/>
          <w:szCs w:val="20"/>
          <w:color w:val="auto"/>
        </w:rPr>
      </w:pPr>
      <w:r>
        <w:rPr>
          <w:rFonts w:ascii="Times New Roman" w:cs="Times New Roman" w:eastAsia="Times New Roman" w:hAnsi="Times New Roman"/>
          <w:sz w:val="12"/>
          <w:szCs w:val="12"/>
          <w:color w:val="auto"/>
        </w:rPr>
        <w:t>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 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 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 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 such successor Person, as the case may be, of any of the terms, covenants, agreements or conditions in respect of the debt securities contained in the Indenture or the guarantee of such Guarantor shall have occurred and be continuing.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3" w:name="page24"/>
    <w:bookmarkEnd w:id="23"/>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ind w:left="1720" w:right="1799" w:firstLine="244"/>
        <w:spacing w:after="0" w:line="266" w:lineRule="auto"/>
        <w:rPr>
          <w:sz w:val="20"/>
          <w:szCs w:val="20"/>
          <w:color w:val="auto"/>
        </w:rPr>
      </w:pPr>
      <w:r>
        <w:rPr>
          <w:rFonts w:ascii="Times New Roman" w:cs="Times New Roman" w:eastAsia="Times New Roman" w:hAnsi="Times New Roman"/>
          <w:sz w:val="12"/>
          <w:szCs w:val="12"/>
          <w:i w:val="1"/>
          <w:iCs w:val="1"/>
          <w:color w:val="auto"/>
        </w:rPr>
        <w:t>Certain Definitions</w:t>
      </w:r>
      <w:r>
        <w:rPr>
          <w:rFonts w:ascii="Times New Roman" w:cs="Times New Roman" w:eastAsia="Times New Roman" w:hAnsi="Times New Roman"/>
          <w:sz w:val="12"/>
          <w:szCs w:val="12"/>
          <w:color w:val="auto"/>
        </w:rPr>
        <w:t>. The term “funded indebtedness” means indebtedness created, assumed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guaranteed by a person for money borrowed which matures by its terms, or is renewable by the borrower to a date, more than one year after the date of its original creation, assumption or guarantee.</w:t>
      </w:r>
    </w:p>
    <w:p>
      <w:pPr>
        <w:spacing w:after="0" w:line="65" w:lineRule="exact"/>
        <w:rPr>
          <w:sz w:val="20"/>
          <w:szCs w:val="20"/>
          <w:color w:val="auto"/>
        </w:rPr>
      </w:pPr>
    </w:p>
    <w:p>
      <w:pPr>
        <w:ind w:left="1720" w:right="1799" w:firstLine="244"/>
        <w:spacing w:after="0" w:line="251" w:lineRule="auto"/>
        <w:rPr>
          <w:sz w:val="20"/>
          <w:szCs w:val="20"/>
          <w:color w:val="auto"/>
        </w:rPr>
      </w:pPr>
      <w:r>
        <w:rPr>
          <w:rFonts w:ascii="Times New Roman" w:cs="Times New Roman" w:eastAsia="Times New Roman" w:hAnsi="Times New Roman"/>
          <w:sz w:val="12"/>
          <w:szCs w:val="12"/>
          <w:color w:val="auto"/>
        </w:rPr>
        <w:t>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 a whole.</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The term “restricted subsidiary” means any subsidiary which owns a principal property excluding,</w:t>
      </w:r>
    </w:p>
    <w:p>
      <w:pPr>
        <w:spacing w:after="0" w:line="21" w:lineRule="exact"/>
        <w:rPr>
          <w:sz w:val="20"/>
          <w:szCs w:val="20"/>
          <w:color w:val="auto"/>
        </w:rPr>
      </w:pPr>
    </w:p>
    <w:p>
      <w:pPr>
        <w:ind w:left="1720" w:right="1779"/>
        <w:spacing w:after="0" w:line="253" w:lineRule="auto"/>
        <w:rPr>
          <w:sz w:val="20"/>
          <w:szCs w:val="20"/>
          <w:color w:val="auto"/>
        </w:rPr>
      </w:pPr>
      <w:r>
        <w:rPr>
          <w:rFonts w:ascii="Times New Roman" w:cs="Times New Roman" w:eastAsia="Times New Roman" w:hAnsi="Times New Roman"/>
          <w:sz w:val="12"/>
          <w:szCs w:val="12"/>
          <w:color w:val="auto"/>
        </w:rPr>
        <w:t>however, any entity the greater part of the operating assets of which are located, or the principal business of which is carried on, outside the United States.</w:t>
      </w:r>
    </w:p>
    <w:p>
      <w:pPr>
        <w:spacing w:after="0" w:line="72" w:lineRule="exact"/>
        <w:rPr>
          <w:sz w:val="20"/>
          <w:szCs w:val="20"/>
          <w:color w:val="auto"/>
        </w:rPr>
      </w:pPr>
    </w:p>
    <w:p>
      <w:pPr>
        <w:ind w:left="1720" w:right="1819" w:firstLine="244"/>
        <w:spacing w:after="0" w:line="263" w:lineRule="auto"/>
        <w:rPr>
          <w:sz w:val="20"/>
          <w:szCs w:val="20"/>
          <w:color w:val="auto"/>
        </w:rPr>
      </w:pPr>
      <w:r>
        <w:rPr>
          <w:rFonts w:ascii="Times New Roman" w:cs="Times New Roman" w:eastAsia="Times New Roman" w:hAnsi="Times New Roman"/>
          <w:sz w:val="12"/>
          <w:szCs w:val="12"/>
          <w:color w:val="auto"/>
        </w:rPr>
        <w:t>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 or by one or more subsidiaries of Weatherford Ireland.</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Events of Default</w:t>
      </w:r>
    </w:p>
    <w:p>
      <w:pPr>
        <w:spacing w:after="0" w:line="111" w:lineRule="exact"/>
        <w:rPr>
          <w:sz w:val="20"/>
          <w:szCs w:val="20"/>
          <w:color w:val="auto"/>
        </w:rPr>
      </w:pPr>
    </w:p>
    <w:p>
      <w:pPr>
        <w:ind w:left="1720" w:right="1779" w:firstLine="244"/>
        <w:spacing w:after="0" w:line="290" w:lineRule="auto"/>
        <w:rPr>
          <w:sz w:val="20"/>
          <w:szCs w:val="20"/>
          <w:color w:val="auto"/>
        </w:rPr>
      </w:pPr>
      <w:r>
        <w:rPr>
          <w:rFonts w:ascii="Times New Roman" w:cs="Times New Roman" w:eastAsia="Times New Roman" w:hAnsi="Times New Roman"/>
          <w:sz w:val="12"/>
          <w:szCs w:val="12"/>
          <w:color w:val="auto"/>
        </w:rPr>
        <w:t>As to each series of debt securities, unless otherwise indicated in the prospectus supplement relating to a series of debt securities, an event of default is defined as being a:</w:t>
      </w:r>
    </w:p>
    <w:p>
      <w:pPr>
        <w:spacing w:after="0" w:line="33" w:lineRule="exact"/>
        <w:rPr>
          <w:sz w:val="20"/>
          <w:szCs w:val="20"/>
          <w:color w:val="auto"/>
        </w:rPr>
      </w:pPr>
    </w:p>
    <w:p>
      <w:pPr>
        <w:ind w:left="2080" w:right="1759" w:hanging="114"/>
        <w:spacing w:after="0" w:line="272"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payment of any interest on any debt security of such series when it becomes due and payable which continues for 30 days (subject to the deferral of any interest payment in the case of an extension period);</w:t>
      </w:r>
    </w:p>
    <w:p>
      <w:pPr>
        <w:spacing w:after="0" w:line="43" w:lineRule="exact"/>
        <w:rPr>
          <w:rFonts w:ascii="Times New Roman" w:cs="Times New Roman" w:eastAsia="Times New Roman" w:hAnsi="Times New Roman"/>
          <w:sz w:val="12"/>
          <w:szCs w:val="12"/>
          <w:color w:val="auto"/>
        </w:rPr>
      </w:pPr>
    </w:p>
    <w:p>
      <w:pPr>
        <w:ind w:left="2080" w:right="1779" w:hanging="114"/>
        <w:spacing w:after="0" w:line="290"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payment of any principal of (or premium, if any, on) any debt security of such series when due either at its stated maturity date, upon redemption, upon acceleration or otherwise;</w:t>
      </w:r>
    </w:p>
    <w:p>
      <w:pPr>
        <w:spacing w:after="0" w:line="32" w:lineRule="exact"/>
        <w:rPr>
          <w:rFonts w:ascii="Times New Roman" w:cs="Times New Roman" w:eastAsia="Times New Roman" w:hAnsi="Times New Roman"/>
          <w:sz w:val="12"/>
          <w:szCs w:val="12"/>
          <w:color w:val="auto"/>
        </w:rPr>
      </w:pPr>
    </w:p>
    <w:p>
      <w:pPr>
        <w:ind w:left="2080" w:right="1879" w:hanging="114"/>
        <w:spacing w:after="0" w:line="290"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payment of any sinking fund installment, when and as due by the terms of a note of such series, and continuance of such default for a period of 30 days;</w:t>
      </w:r>
    </w:p>
    <w:p>
      <w:pPr>
        <w:spacing w:after="0" w:line="32" w:lineRule="exact"/>
        <w:rPr>
          <w:rFonts w:ascii="Times New Roman" w:cs="Times New Roman" w:eastAsia="Times New Roman" w:hAnsi="Times New Roman"/>
          <w:sz w:val="12"/>
          <w:szCs w:val="12"/>
          <w:color w:val="auto"/>
        </w:rPr>
      </w:pPr>
    </w:p>
    <w:p>
      <w:pPr>
        <w:ind w:left="2080" w:right="1859" w:hanging="114"/>
        <w:spacing w:after="0" w:line="272"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 performance of any other covenant of the Issuer or any Guarantor of such series in the Indenture (other than a covenant included solely for the benefit of debt securities of another series) which continues for 90 days after receipt of written notice;</w:t>
      </w:r>
    </w:p>
    <w:p>
      <w:pPr>
        <w:spacing w:after="0" w:line="43" w:lineRule="exact"/>
        <w:rPr>
          <w:rFonts w:ascii="Times New Roman" w:cs="Times New Roman" w:eastAsia="Times New Roman" w:hAnsi="Times New Roman"/>
          <w:sz w:val="12"/>
          <w:szCs w:val="12"/>
          <w:color w:val="auto"/>
        </w:rPr>
      </w:pPr>
    </w:p>
    <w:p>
      <w:pPr>
        <w:ind w:left="2080" w:right="1779" w:hanging="114"/>
        <w:spacing w:after="0" w:line="272"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events of bankruptcy, insolvency or reorganization relating to the Issuer of such series and, if the debt securities of that series are guaranteed by one or more Guarantors, certain events of bankruptcy, insolvency or reorganization relating to any such Guarantors;</w:t>
      </w:r>
    </w:p>
    <w:p>
      <w:pPr>
        <w:spacing w:after="0" w:line="43" w:lineRule="exact"/>
        <w:rPr>
          <w:rFonts w:ascii="Times New Roman" w:cs="Times New Roman" w:eastAsia="Times New Roman" w:hAnsi="Times New Roman"/>
          <w:sz w:val="12"/>
          <w:szCs w:val="12"/>
          <w:color w:val="auto"/>
        </w:rPr>
      </w:pPr>
    </w:p>
    <w:p>
      <w:pPr>
        <w:ind w:left="2080" w:right="1739" w:hanging="114"/>
        <w:spacing w:after="0" w:line="266"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w:t>
      </w:r>
    </w:p>
    <w:p>
      <w:pPr>
        <w:spacing w:after="0" w:line="47" w:lineRule="exact"/>
        <w:rPr>
          <w:rFonts w:ascii="Times New Roman" w:cs="Times New Roman" w:eastAsia="Times New Roman" w:hAnsi="Times New Roman"/>
          <w:sz w:val="12"/>
          <w:szCs w:val="12"/>
          <w:color w:val="auto"/>
        </w:rPr>
      </w:pPr>
    </w:p>
    <w:p>
      <w:pPr>
        <w:ind w:left="2080" w:right="1939" w:hanging="114"/>
        <w:spacing w:after="0" w:line="290" w:lineRule="auto"/>
        <w:tabs>
          <w:tab w:leader="none" w:pos="20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events of default specified in or pursuant to a board resolution or officer’s certificate or in a supplemental Indenture.</w:t>
      </w:r>
    </w:p>
    <w:p>
      <w:pPr>
        <w:spacing w:after="0" w:line="51" w:lineRule="exact"/>
        <w:rPr>
          <w:sz w:val="20"/>
          <w:szCs w:val="20"/>
          <w:color w:val="auto"/>
        </w:rPr>
      </w:pPr>
    </w:p>
    <w:p>
      <w:pPr>
        <w:ind w:left="1720" w:right="1759" w:firstLine="244"/>
        <w:spacing w:after="0" w:line="269" w:lineRule="auto"/>
        <w:rPr>
          <w:sz w:val="20"/>
          <w:szCs w:val="20"/>
          <w:color w:val="auto"/>
        </w:rPr>
      </w:pPr>
      <w:r>
        <w:rPr>
          <w:rFonts w:ascii="Times New Roman" w:cs="Times New Roman" w:eastAsia="Times New Roman" w:hAnsi="Times New Roman"/>
          <w:sz w:val="12"/>
          <w:szCs w:val="12"/>
          <w:color w:val="auto"/>
        </w:rPr>
        <w:t>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w:t>
      </w:r>
    </w:p>
    <w:p>
      <w:pPr>
        <w:spacing w:after="0" w:line="222" w:lineRule="exact"/>
        <w:rPr>
          <w:sz w:val="20"/>
          <w:szCs w:val="20"/>
          <w:color w:val="auto"/>
        </w:rPr>
      </w:pPr>
    </w:p>
    <w:p>
      <w:pPr>
        <w:ind w:left="1720" w:right="1739" w:firstLine="244"/>
        <w:spacing w:after="0" w:line="263" w:lineRule="auto"/>
        <w:rPr>
          <w:sz w:val="20"/>
          <w:szCs w:val="20"/>
          <w:color w:val="auto"/>
        </w:rPr>
      </w:pPr>
      <w:r>
        <w:rPr>
          <w:rFonts w:ascii="Times New Roman" w:cs="Times New Roman" w:eastAsia="Times New Roman" w:hAnsi="Times New Roman"/>
          <w:sz w:val="12"/>
          <w:szCs w:val="12"/>
          <w:color w:val="auto"/>
        </w:rPr>
        <w:t>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 may declare the principal amount on all the debt securities of such</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 w:name="page25"/>
    <w:bookmarkEnd w:id="24"/>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39"/>
        <w:spacing w:after="0" w:line="248" w:lineRule="auto"/>
        <w:rPr>
          <w:sz w:val="20"/>
          <w:szCs w:val="20"/>
          <w:color w:val="auto"/>
        </w:rPr>
      </w:pPr>
      <w:r>
        <w:rPr>
          <w:rFonts w:ascii="Times New Roman" w:cs="Times New Roman" w:eastAsia="Times New Roman" w:hAnsi="Times New Roman"/>
          <w:sz w:val="12"/>
          <w:szCs w:val="12"/>
          <w:color w:val="auto"/>
        </w:rPr>
        <w:t>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 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 waived by the holders of at least a majority in aggregate principal amount of the debt securities of that series then outstanding.</w:t>
      </w:r>
    </w:p>
    <w:p>
      <w:pPr>
        <w:spacing w:after="0" w:line="217" w:lineRule="exact"/>
        <w:rPr>
          <w:sz w:val="20"/>
          <w:szCs w:val="20"/>
          <w:color w:val="auto"/>
        </w:rPr>
      </w:pPr>
    </w:p>
    <w:p>
      <w:pPr>
        <w:ind w:left="1720" w:right="1759" w:firstLine="244"/>
        <w:spacing w:after="0" w:line="246" w:lineRule="auto"/>
        <w:rPr>
          <w:sz w:val="20"/>
          <w:szCs w:val="20"/>
          <w:color w:val="auto"/>
        </w:rPr>
      </w:pPr>
      <w:r>
        <w:rPr>
          <w:rFonts w:ascii="Times New Roman" w:cs="Times New Roman" w:eastAsia="Times New Roman" w:hAnsi="Times New Roman"/>
          <w:sz w:val="12"/>
          <w:szCs w:val="12"/>
          <w:color w:val="auto"/>
        </w:rPr>
        <w:t>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 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Weatherford Ireland is 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 required to deliver to the trustee an officer’s certificate setting forth the details of such default or event of default and the actions which the Issuer and Guarantors, as applicable, propose to take with respect to such default or event of default.</w:t>
      </w:r>
    </w:p>
    <w:p>
      <w:pPr>
        <w:spacing w:after="0" w:line="2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Discharge</w:t>
      </w:r>
    </w:p>
    <w:p>
      <w:pPr>
        <w:spacing w:after="0" w:line="102" w:lineRule="exact"/>
        <w:rPr>
          <w:sz w:val="20"/>
          <w:szCs w:val="20"/>
          <w:color w:val="auto"/>
        </w:rPr>
      </w:pPr>
    </w:p>
    <w:p>
      <w:pPr>
        <w:ind w:left="1720" w:right="1759" w:firstLine="244"/>
        <w:spacing w:after="0" w:line="256" w:lineRule="auto"/>
        <w:rPr>
          <w:sz w:val="20"/>
          <w:szCs w:val="20"/>
          <w:color w:val="auto"/>
        </w:rPr>
      </w:pPr>
      <w:r>
        <w:rPr>
          <w:rFonts w:ascii="Times New Roman" w:cs="Times New Roman" w:eastAsia="Times New Roman" w:hAnsi="Times New Roman"/>
          <w:sz w:val="12"/>
          <w:szCs w:val="12"/>
          <w:color w:val="auto"/>
        </w:rPr>
        <w:t>The Indenture with respect to the debt securities of any series may be discharged (with the exception of specified provisions as provided in the Indenture) when the Issuer requests such discharge in writing accompanied by an officer’s certificate and an opinion of counsel, in each case stating that all conditions precedent to discharge under the Indenture have been satisfied and either:</w:t>
      </w:r>
    </w:p>
    <w:p>
      <w:pPr>
        <w:spacing w:after="0" w:line="70" w:lineRule="exact"/>
        <w:rPr>
          <w:sz w:val="20"/>
          <w:szCs w:val="20"/>
          <w:color w:val="auto"/>
        </w:rPr>
      </w:pPr>
    </w:p>
    <w:p>
      <w:pPr>
        <w:ind w:left="2220" w:right="2059" w:hanging="254"/>
        <w:spacing w:after="0" w:line="290" w:lineRule="auto"/>
        <w:tabs>
          <w:tab w:leader="none" w:pos="2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securities, with the exceptions provided for in the Indenture, of that series have been delivered to the trustee for cancellation; or</w:t>
      </w:r>
    </w:p>
    <w:p>
      <w:pPr>
        <w:spacing w:after="0" w:line="50" w:lineRule="exact"/>
        <w:rPr>
          <w:rFonts w:ascii="Times New Roman" w:cs="Times New Roman" w:eastAsia="Times New Roman" w:hAnsi="Times New Roman"/>
          <w:sz w:val="12"/>
          <w:szCs w:val="12"/>
          <w:color w:val="auto"/>
        </w:rPr>
      </w:pPr>
    </w:p>
    <w:p>
      <w:pPr>
        <w:ind w:left="2220" w:right="1759" w:hanging="254"/>
        <w:spacing w:after="0" w:line="265" w:lineRule="auto"/>
        <w:tabs>
          <w:tab w:leader="none" w:pos="2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securities of that series not theretofore delivered to the trustee for cancellation (1) have become due and payable; (2) will become due and payable at their stated maturity within one year;</w:t>
      </w:r>
    </w:p>
    <w:p>
      <w:pPr>
        <w:ind w:left="2220" w:right="2119"/>
        <w:spacing w:after="0" w:line="26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are to be called for redemption within one year; or (4) been deemed paid and discharged pursuant to the terms of the Indenture;</w:t>
      </w:r>
    </w:p>
    <w:p>
      <w:pPr>
        <w:spacing w:after="0" w:line="63" w:lineRule="exact"/>
        <w:rPr>
          <w:sz w:val="20"/>
          <w:szCs w:val="20"/>
          <w:color w:val="auto"/>
        </w:rPr>
      </w:pPr>
    </w:p>
    <w:p>
      <w:pPr>
        <w:ind w:left="1720" w:right="1779" w:firstLine="244"/>
        <w:spacing w:after="0" w:line="248" w:lineRule="auto"/>
        <w:rPr>
          <w:sz w:val="20"/>
          <w:szCs w:val="20"/>
          <w:color w:val="auto"/>
        </w:rPr>
      </w:pPr>
      <w:r>
        <w:rPr>
          <w:rFonts w:ascii="Times New Roman" w:cs="Times New Roman" w:eastAsia="Times New Roman" w:hAnsi="Times New Roman"/>
          <w:sz w:val="12"/>
          <w:szCs w:val="12"/>
          <w:color w:val="auto"/>
        </w:rPr>
        <w:t>and the Issuer in the case of clauses (B)(1), (B)(2) and (B)(3), has deposited or caused to be deposited with the trustee in trust an amount of (a) money, or (b) 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United States government obligations as provided in (I) above, in each case sufficient (if United States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w:t>
      </w:r>
    </w:p>
    <w:p>
      <w:pPr>
        <w:spacing w:after="0" w:line="2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Defeasance</w:t>
      </w:r>
    </w:p>
    <w:p>
      <w:pPr>
        <w:spacing w:after="0" w:line="111" w:lineRule="exact"/>
        <w:rPr>
          <w:sz w:val="20"/>
          <w:szCs w:val="20"/>
          <w:color w:val="auto"/>
        </w:rPr>
      </w:pPr>
    </w:p>
    <w:p>
      <w:pPr>
        <w:ind w:left="1720" w:right="1739" w:firstLine="244"/>
        <w:spacing w:after="0" w:line="274" w:lineRule="auto"/>
        <w:rPr>
          <w:sz w:val="20"/>
          <w:szCs w:val="20"/>
          <w:color w:val="auto"/>
        </w:rPr>
      </w:pPr>
      <w:r>
        <w:rPr>
          <w:rFonts w:ascii="Times New Roman" w:cs="Times New Roman" w:eastAsia="Times New Roman" w:hAnsi="Times New Roman"/>
          <w:sz w:val="12"/>
          <w:szCs w:val="12"/>
          <w:color w:val="auto"/>
        </w:rPr>
        <w:t>The Indenture provides that the Issuer may discharge the entire indebtedness of all outstanding debt securities of a series, and the provisions of the Indenture as they relate to such debt securities, will no longer</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5" w:name="page26"/>
    <w:bookmarkEnd w:id="25"/>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39"/>
        <w:spacing w:after="0" w:line="256" w:lineRule="auto"/>
        <w:rPr>
          <w:sz w:val="20"/>
          <w:szCs w:val="20"/>
          <w:color w:val="auto"/>
        </w:rPr>
      </w:pPr>
      <w:r>
        <w:rPr>
          <w:rFonts w:ascii="Times New Roman" w:cs="Times New Roman" w:eastAsia="Times New Roman" w:hAnsi="Times New Roman"/>
          <w:sz w:val="12"/>
          <w:szCs w:val="12"/>
          <w:color w:val="auto"/>
        </w:rPr>
        <w:t>be in effect in respect of the Issuer and the Guarantors (with the exception of specified provisions as provided in the Indenture) if the Issuer deposits or causes to be deposited with the trustee, in trust, money, or United States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 (b) since the date of an offering, there has been a change in the applicable federal income tax law, in either case to the effect that, and based thereon such opinion of counsel shall confirm that, holders of the debt securities of such series will not recognize income, gain or loss for United States federal income tax purposes as a result of such deposit, defeasance and discharge and will be subject to United States federal income tax on the same amounts, in the same manner and at the same times as would have been the case if such deposit, defeasance and discharge had not occurred and that no event of default or default shall have occurred and be continuing.</w:t>
      </w:r>
    </w:p>
    <w:p>
      <w:pPr>
        <w:spacing w:after="0" w:line="234"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color w:val="auto"/>
        </w:rPr>
        <w:t>The Indenture provides that, at the election of the Issuer, the Issuer and the Guarantors need not comply with certain restrictive covenants of the Indenture as to any series of debt securities (in the case of debt securities as described above under “— Certain Covenants of the Debt Securities — Limitation on Liens,” and “— Limitation on Sale and Leaseback Transactions”), upon the deposit by the Issuer with the trustee, in trust, of money, or United States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 securities to recognize income, gain or loss for federal income tax purposes.</w:t>
      </w:r>
    </w:p>
    <w:p>
      <w:pPr>
        <w:spacing w:after="0" w:line="2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Modification of the Indenture</w:t>
      </w:r>
    </w:p>
    <w:p>
      <w:pPr>
        <w:spacing w:after="0" w:line="111" w:lineRule="exact"/>
        <w:rPr>
          <w:sz w:val="20"/>
          <w:szCs w:val="20"/>
          <w:color w:val="auto"/>
        </w:rPr>
      </w:pPr>
    </w:p>
    <w:p>
      <w:pPr>
        <w:ind w:left="1720" w:right="1739" w:firstLine="244"/>
        <w:spacing w:after="0" w:line="265" w:lineRule="auto"/>
        <w:rPr>
          <w:sz w:val="20"/>
          <w:szCs w:val="20"/>
          <w:color w:val="auto"/>
        </w:rPr>
      </w:pPr>
      <w:r>
        <w:rPr>
          <w:rFonts w:ascii="Times New Roman" w:cs="Times New Roman" w:eastAsia="Times New Roman" w:hAnsi="Times New Roman"/>
          <w:sz w:val="12"/>
          <w:szCs w:val="12"/>
          <w:color w:val="auto"/>
        </w:rPr>
        <w:t>The Indenture contains provisions permitting the Issuer, the Guarantors and the trustee, with the consent of the holders of not less than a majority in 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w:t>
      </w:r>
    </w:p>
    <w:p>
      <w:pPr>
        <w:spacing w:after="0" w:line="196" w:lineRule="exact"/>
        <w:rPr>
          <w:sz w:val="20"/>
          <w:szCs w:val="20"/>
          <w:color w:val="auto"/>
        </w:rPr>
      </w:pPr>
    </w:p>
    <w:p>
      <w:pPr>
        <w:ind w:left="2080" w:right="1799" w:hanging="114"/>
        <w:spacing w:after="0" w:line="261"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w:t>
      </w:r>
    </w:p>
    <w:p>
      <w:pPr>
        <w:spacing w:after="0" w:line="51" w:lineRule="exact"/>
        <w:rPr>
          <w:rFonts w:ascii="Times New Roman" w:cs="Times New Roman" w:eastAsia="Times New Roman" w:hAnsi="Times New Roman"/>
          <w:sz w:val="12"/>
          <w:szCs w:val="12"/>
          <w:color w:val="auto"/>
        </w:rPr>
      </w:pPr>
    </w:p>
    <w:p>
      <w:pPr>
        <w:ind w:left="2080" w:right="1799" w:hanging="114"/>
        <w:spacing w:after="0" w:line="290"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percentage of debt securities, the consent of the holders of which is required for any such modification or for certain waivers or other modifications under such Indenture; or</w:t>
      </w:r>
    </w:p>
    <w:p>
      <w:pPr>
        <w:spacing w:after="0" w:line="32" w:lineRule="exact"/>
        <w:rPr>
          <w:rFonts w:ascii="Times New Roman" w:cs="Times New Roman" w:eastAsia="Times New Roman" w:hAnsi="Times New Roman"/>
          <w:sz w:val="12"/>
          <w:szCs w:val="12"/>
          <w:color w:val="auto"/>
        </w:rPr>
      </w:pPr>
    </w:p>
    <w:p>
      <w:pPr>
        <w:ind w:left="2080" w:right="1999" w:hanging="114"/>
        <w:spacing w:after="0" w:line="272" w:lineRule="auto"/>
        <w:tabs>
          <w:tab w:leader="none" w:pos="2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modify certain provisions of the Indenture related to entry into a supplemental Indenture with consent of holders, waiver of past defaults and waiver of certain covenants, except under certain circumstances specified in the Indenture.</w:t>
      </w:r>
    </w:p>
    <w:p>
      <w:pPr>
        <w:spacing w:after="0" w:line="62" w:lineRule="exact"/>
        <w:rPr>
          <w:sz w:val="20"/>
          <w:szCs w:val="20"/>
          <w:color w:val="auto"/>
        </w:rPr>
      </w:pPr>
    </w:p>
    <w:p>
      <w:pPr>
        <w:ind w:left="1720" w:right="1979" w:firstLine="244"/>
        <w:spacing w:after="0" w:line="290" w:lineRule="auto"/>
        <w:rPr>
          <w:sz w:val="20"/>
          <w:szCs w:val="20"/>
          <w:color w:val="auto"/>
        </w:rPr>
      </w:pPr>
      <w:r>
        <w:rPr>
          <w:rFonts w:ascii="Times New Roman" w:cs="Times New Roman" w:eastAsia="Times New Roman" w:hAnsi="Times New Roman"/>
          <w:sz w:val="12"/>
          <w:szCs w:val="12"/>
          <w:color w:val="auto"/>
        </w:rPr>
        <w:t>The Indenture contains provisions permitting the Issuer, the Guarantors and the trustee, without the consent of any holders, to modify the Indenture for any of the following purposes: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6" w:name="page27"/>
    <w:bookmarkEnd w:id="26"/>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080" w:right="1759" w:hanging="114"/>
        <w:spacing w:after="0" w:line="266"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w:t>
      </w:r>
    </w:p>
    <w:p>
      <w:pPr>
        <w:spacing w:after="0" w:line="47" w:lineRule="exact"/>
        <w:rPr>
          <w:rFonts w:ascii="Times New Roman" w:cs="Times New Roman" w:eastAsia="Times New Roman" w:hAnsi="Times New Roman"/>
          <w:sz w:val="12"/>
          <w:szCs w:val="12"/>
          <w:color w:val="auto"/>
        </w:rPr>
      </w:pPr>
    </w:p>
    <w:p>
      <w:pPr>
        <w:jc w:val="both"/>
        <w:ind w:left="2080" w:right="1819" w:hanging="114"/>
        <w:spacing w:after="0" w:line="272"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to the Issuer’s or any Guarantor’s covenants for the benefit of the holders of all or any series of debt securities or to surrender any right or power conferred upon the Issuer or such Guarantor, as the case may be, in the Indenture;</w:t>
      </w:r>
    </w:p>
    <w:p>
      <w:pPr>
        <w:spacing w:after="0" w:line="43"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any additional events of defaults;</w:t>
      </w:r>
    </w:p>
    <w:p>
      <w:pPr>
        <w:spacing w:after="0" w:line="72" w:lineRule="exact"/>
        <w:rPr>
          <w:rFonts w:ascii="Times New Roman" w:cs="Times New Roman" w:eastAsia="Times New Roman" w:hAnsi="Times New Roman"/>
          <w:sz w:val="12"/>
          <w:szCs w:val="12"/>
          <w:color w:val="auto"/>
        </w:rPr>
      </w:pPr>
    </w:p>
    <w:p>
      <w:pPr>
        <w:ind w:left="2080" w:right="1879" w:hanging="114"/>
        <w:spacing w:after="0" w:line="272"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or change any provisions of the Indenture to such extent as may be necessary to permit or facilitate the issuance of debt securities in bearer form registrable or not registrable as to principal, and with or without interest or coupons;</w:t>
      </w:r>
    </w:p>
    <w:p>
      <w:pPr>
        <w:spacing w:after="0" w:line="43" w:lineRule="exact"/>
        <w:rPr>
          <w:rFonts w:ascii="Times New Roman" w:cs="Times New Roman" w:eastAsia="Times New Roman" w:hAnsi="Times New Roman"/>
          <w:sz w:val="12"/>
          <w:szCs w:val="12"/>
          <w:color w:val="auto"/>
        </w:rPr>
      </w:pPr>
    </w:p>
    <w:p>
      <w:pPr>
        <w:jc w:val="both"/>
        <w:ind w:left="2080" w:right="1839" w:hanging="114"/>
        <w:spacing w:after="0" w:line="272"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change or eliminate any provision of the Indenture, provided that any such change or elimination shall become effective only when there is no debt security outstanding of any series created prior to such modification which is entitled to the benefit of such provision;</w:t>
      </w:r>
    </w:p>
    <w:p>
      <w:pPr>
        <w:spacing w:after="0" w:line="34"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secure the debt securities;</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establish the form or terms of any debt securities of any series as permitted by the Indenture;</w:t>
      </w:r>
    </w:p>
    <w:p>
      <w:pPr>
        <w:spacing w:after="0" w:line="72" w:lineRule="exact"/>
        <w:rPr>
          <w:rFonts w:ascii="Times New Roman" w:cs="Times New Roman" w:eastAsia="Times New Roman" w:hAnsi="Times New Roman"/>
          <w:sz w:val="12"/>
          <w:szCs w:val="12"/>
          <w:color w:val="auto"/>
        </w:rPr>
      </w:pPr>
    </w:p>
    <w:p>
      <w:pPr>
        <w:ind w:left="2080" w:right="2159" w:hanging="114"/>
        <w:spacing w:after="0" w:line="290"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establish the form or terms of a related guarantee of any debt securities as permitted by the Indenture;</w:t>
      </w:r>
    </w:p>
    <w:p>
      <w:pPr>
        <w:spacing w:after="0" w:line="32" w:lineRule="exact"/>
        <w:rPr>
          <w:rFonts w:ascii="Times New Roman" w:cs="Times New Roman" w:eastAsia="Times New Roman" w:hAnsi="Times New Roman"/>
          <w:sz w:val="12"/>
          <w:szCs w:val="12"/>
          <w:color w:val="auto"/>
        </w:rPr>
      </w:pPr>
    </w:p>
    <w:p>
      <w:pPr>
        <w:ind w:left="2080" w:right="1759" w:hanging="114"/>
        <w:spacing w:after="0" w:line="266"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w:t>
      </w:r>
    </w:p>
    <w:p>
      <w:pPr>
        <w:spacing w:after="0" w:line="47" w:lineRule="exact"/>
        <w:rPr>
          <w:rFonts w:ascii="Times New Roman" w:cs="Times New Roman" w:eastAsia="Times New Roman" w:hAnsi="Times New Roman"/>
          <w:sz w:val="12"/>
          <w:szCs w:val="12"/>
          <w:color w:val="auto"/>
        </w:rPr>
      </w:pPr>
    </w:p>
    <w:p>
      <w:pPr>
        <w:ind w:left="2080" w:right="1799" w:hanging="114"/>
        <w:spacing w:after="0" w:line="266"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w:t>
      </w:r>
    </w:p>
    <w:p>
      <w:pPr>
        <w:spacing w:after="0" w:line="37" w:lineRule="exact"/>
        <w:rPr>
          <w:rFonts w:ascii="Times New Roman" w:cs="Times New Roman" w:eastAsia="Times New Roman" w:hAnsi="Times New Roman"/>
          <w:sz w:val="12"/>
          <w:szCs w:val="12"/>
          <w:color w:val="auto"/>
        </w:rPr>
      </w:pPr>
    </w:p>
    <w:p>
      <w:pPr>
        <w:ind w:left="2080" w:right="1959" w:hanging="114"/>
        <w:spacing w:after="0" w:line="290"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any rights of the holder of debt securities of any series to require the repurchase of debt securities of such series from the Issuer;</w:t>
      </w:r>
    </w:p>
    <w:p>
      <w:pPr>
        <w:spacing w:after="0" w:line="32" w:lineRule="exact"/>
        <w:rPr>
          <w:rFonts w:ascii="Times New Roman" w:cs="Times New Roman" w:eastAsia="Times New Roman" w:hAnsi="Times New Roman"/>
          <w:sz w:val="12"/>
          <w:szCs w:val="12"/>
          <w:color w:val="auto"/>
        </w:rPr>
      </w:pPr>
    </w:p>
    <w:p>
      <w:pPr>
        <w:ind w:left="2080" w:right="1799" w:hanging="114"/>
        <w:spacing w:after="0" w:line="265"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w:t>
      </w:r>
    </w:p>
    <w:p>
      <w:pPr>
        <w:spacing w:after="0" w:line="186" w:lineRule="exact"/>
        <w:rPr>
          <w:rFonts w:ascii="Times New Roman" w:cs="Times New Roman" w:eastAsia="Times New Roman" w:hAnsi="Times New Roman"/>
          <w:sz w:val="12"/>
          <w:szCs w:val="12"/>
          <w:color w:val="auto"/>
        </w:rPr>
      </w:pPr>
    </w:p>
    <w:p>
      <w:pPr>
        <w:ind w:left="2080" w:right="2259" w:hanging="114"/>
        <w:spacing w:after="0" w:line="290"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the issuance of additional debt securities of any series in accordance with the Indenture;</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guarantees with respect to the debt securities;</w:t>
      </w:r>
    </w:p>
    <w:p>
      <w:pPr>
        <w:spacing w:after="0" w:line="81" w:lineRule="exact"/>
        <w:rPr>
          <w:rFonts w:ascii="Times New Roman" w:cs="Times New Roman" w:eastAsia="Times New Roman" w:hAnsi="Times New Roman"/>
          <w:sz w:val="12"/>
          <w:szCs w:val="12"/>
          <w:color w:val="auto"/>
        </w:rPr>
      </w:pPr>
    </w:p>
    <w:p>
      <w:pPr>
        <w:ind w:left="2080" w:right="1779" w:hanging="114"/>
        <w:spacing w:after="0" w:line="265"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w:t>
      </w:r>
    </w:p>
    <w:p>
      <w:pPr>
        <w:spacing w:after="0" w:line="195" w:lineRule="exact"/>
        <w:rPr>
          <w:rFonts w:ascii="Times New Roman" w:cs="Times New Roman" w:eastAsia="Times New Roman" w:hAnsi="Times New Roman"/>
          <w:sz w:val="12"/>
          <w:szCs w:val="12"/>
          <w:color w:val="auto"/>
        </w:rPr>
      </w:pPr>
    </w:p>
    <w:p>
      <w:pPr>
        <w:ind w:left="2080" w:right="1739" w:hanging="114"/>
        <w:spacing w:after="0" w:line="266"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w:t>
      </w:r>
    </w:p>
    <w:p>
      <w:pPr>
        <w:spacing w:after="0" w:line="37" w:lineRule="exact"/>
        <w:rPr>
          <w:rFonts w:ascii="Times New Roman" w:cs="Times New Roman" w:eastAsia="Times New Roman" w:hAnsi="Times New Roman"/>
          <w:sz w:val="12"/>
          <w:szCs w:val="12"/>
          <w:color w:val="auto"/>
        </w:rPr>
      </w:pPr>
    </w:p>
    <w:p>
      <w:pPr>
        <w:ind w:left="2080" w:right="1799" w:hanging="114"/>
        <w:spacing w:after="0" w:line="290"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other reason specified in the board resolution, officer’s certificate or supplemental Indenture establishing the applicable series of debt securities;</w:t>
      </w:r>
    </w:p>
    <w:p>
      <w:pPr>
        <w:spacing w:after="0" w:line="32" w:lineRule="exact"/>
        <w:rPr>
          <w:rFonts w:ascii="Times New Roman" w:cs="Times New Roman" w:eastAsia="Times New Roman" w:hAnsi="Times New Roman"/>
          <w:sz w:val="12"/>
          <w:szCs w:val="12"/>
          <w:color w:val="auto"/>
        </w:rPr>
      </w:pPr>
    </w:p>
    <w:p>
      <w:pPr>
        <w:ind w:left="2080" w:right="2059" w:hanging="114"/>
        <w:spacing w:after="0" w:line="290" w:lineRule="auto"/>
        <w:tabs>
          <w:tab w:leader="none" w:pos="20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continue its qualification under the TIA as may be necessary or desirable in accordance with amendments to that TIA; 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7" w:name="page28"/>
    <w:bookmarkEnd w:id="27"/>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  for any other reason specified in the applicable prospectus supplement.</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Concerning the Trustee</w:t>
      </w:r>
    </w:p>
    <w:p>
      <w:pPr>
        <w:spacing w:after="0" w:line="111" w:lineRule="exact"/>
        <w:rPr>
          <w:sz w:val="20"/>
          <w:szCs w:val="20"/>
          <w:color w:val="auto"/>
        </w:rPr>
      </w:pPr>
    </w:p>
    <w:p>
      <w:pPr>
        <w:ind w:left="1720" w:right="1759" w:firstLine="244"/>
        <w:spacing w:after="0" w:line="290" w:lineRule="auto"/>
        <w:rPr>
          <w:sz w:val="20"/>
          <w:szCs w:val="20"/>
          <w:color w:val="auto"/>
        </w:rPr>
      </w:pPr>
      <w:r>
        <w:rPr>
          <w:rFonts w:ascii="Times New Roman" w:cs="Times New Roman" w:eastAsia="Times New Roman" w:hAnsi="Times New Roman"/>
          <w:sz w:val="12"/>
          <w:szCs w:val="12"/>
          <w:color w:val="auto"/>
        </w:rPr>
        <w:t>We may from time to time maintain lines of credit and have other customary banking relationships with each trustee and its affiliated banks.</w:t>
      </w:r>
    </w:p>
    <w:p>
      <w:pPr>
        <w:spacing w:after="0" w:line="1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Governing Law</w:t>
      </w:r>
    </w:p>
    <w:p>
      <w:pPr>
        <w:spacing w:after="0" w:line="111" w:lineRule="exact"/>
        <w:rPr>
          <w:sz w:val="20"/>
          <w:szCs w:val="20"/>
          <w:color w:val="auto"/>
        </w:rPr>
      </w:pPr>
    </w:p>
    <w:p>
      <w:pPr>
        <w:ind w:left="1720" w:right="1859" w:firstLine="244"/>
        <w:spacing w:after="0" w:line="290" w:lineRule="auto"/>
        <w:rPr>
          <w:sz w:val="20"/>
          <w:szCs w:val="20"/>
          <w:color w:val="auto"/>
        </w:rPr>
      </w:pPr>
      <w:r>
        <w:rPr>
          <w:rFonts w:ascii="Times New Roman" w:cs="Times New Roman" w:eastAsia="Times New Roman" w:hAnsi="Times New Roman"/>
          <w:sz w:val="12"/>
          <w:szCs w:val="12"/>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8" w:name="page29"/>
    <w:bookmarkEnd w:id="28"/>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DESCRIPTION OF SHARE PURCHASE CONTRACTS AND SHARE PURCHASE UNITS</w:t>
      </w:r>
    </w:p>
    <w:p>
      <w:pPr>
        <w:spacing w:after="0" w:line="111" w:lineRule="exact"/>
        <w:rPr>
          <w:sz w:val="20"/>
          <w:szCs w:val="20"/>
          <w:color w:val="auto"/>
        </w:rPr>
      </w:pPr>
    </w:p>
    <w:p>
      <w:pPr>
        <w:ind w:left="1720" w:right="1759" w:firstLine="244"/>
        <w:spacing w:after="0" w:line="258" w:lineRule="auto"/>
        <w:rPr>
          <w:sz w:val="20"/>
          <w:szCs w:val="20"/>
          <w:color w:val="auto"/>
        </w:rPr>
      </w:pPr>
      <w:r>
        <w:rPr>
          <w:rFonts w:ascii="Times New Roman" w:cs="Times New Roman" w:eastAsia="Times New Roman" w:hAnsi="Times New Roman"/>
          <w:sz w:val="12"/>
          <w:szCs w:val="12"/>
          <w:color w:val="auto"/>
        </w:rPr>
        <w:t>The following description of share purchase contracts and share purchase units sets forth certain general terms and provisions of share purchase 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 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w:t>
      </w:r>
    </w:p>
    <w:p>
      <w:pPr>
        <w:spacing w:after="0" w:line="230" w:lineRule="exact"/>
        <w:rPr>
          <w:sz w:val="20"/>
          <w:szCs w:val="20"/>
          <w:color w:val="auto"/>
        </w:rPr>
      </w:pPr>
    </w:p>
    <w:p>
      <w:pPr>
        <w:ind w:left="1720" w:right="1899" w:firstLine="244"/>
        <w:spacing w:after="0" w:line="266" w:lineRule="auto"/>
        <w:rPr>
          <w:sz w:val="20"/>
          <w:szCs w:val="20"/>
          <w:color w:val="auto"/>
        </w:rPr>
      </w:pPr>
      <w:r>
        <w:rPr>
          <w:rFonts w:ascii="Times New Roman" w:cs="Times New Roman" w:eastAsia="Times New Roman" w:hAnsi="Times New Roman"/>
          <w:sz w:val="12"/>
          <w:szCs w:val="12"/>
          <w:color w:val="auto"/>
        </w:rPr>
        <w:t>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w:t>
      </w:r>
    </w:p>
    <w:p>
      <w:pPr>
        <w:spacing w:after="0" w:line="65" w:lineRule="exact"/>
        <w:rPr>
          <w:sz w:val="20"/>
          <w:szCs w:val="20"/>
          <w:color w:val="auto"/>
        </w:rPr>
      </w:pPr>
    </w:p>
    <w:p>
      <w:pPr>
        <w:ind w:left="1720" w:right="2099" w:firstLine="244"/>
        <w:spacing w:after="0" w:line="290" w:lineRule="auto"/>
        <w:rPr>
          <w:sz w:val="20"/>
          <w:szCs w:val="20"/>
          <w:color w:val="auto"/>
        </w:rPr>
      </w:pPr>
      <w:r>
        <w:rPr>
          <w:rFonts w:ascii="Times New Roman" w:cs="Times New Roman" w:eastAsia="Times New Roman" w:hAnsi="Times New Roman"/>
          <w:sz w:val="12"/>
          <w:szCs w:val="12"/>
          <w:color w:val="auto"/>
        </w:rPr>
        <w:t>The share purchase contracts may be issued separately or as a part of units, often known as share purchase units, consisting of a share purchase contract and either:</w:t>
      </w:r>
    </w:p>
    <w:p>
      <w:pPr>
        <w:spacing w:after="0" w:line="33" w:lineRule="exact"/>
        <w:rPr>
          <w:sz w:val="20"/>
          <w:szCs w:val="20"/>
          <w:color w:val="auto"/>
        </w:rPr>
      </w:pPr>
    </w:p>
    <w:p>
      <w:pPr>
        <w:ind w:left="2080" w:hanging="114"/>
        <w:spacing w:after="0"/>
        <w:tabs>
          <w:tab w:leader="none" w:pos="20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securities; or</w:t>
      </w:r>
    </w:p>
    <w:p>
      <w:pPr>
        <w:spacing w:after="0" w:line="81" w:lineRule="exact"/>
        <w:rPr>
          <w:rFonts w:ascii="Times New Roman" w:cs="Times New Roman" w:eastAsia="Times New Roman" w:hAnsi="Times New Roman"/>
          <w:sz w:val="12"/>
          <w:szCs w:val="12"/>
          <w:color w:val="auto"/>
        </w:rPr>
      </w:pPr>
    </w:p>
    <w:p>
      <w:pPr>
        <w:ind w:left="2080" w:right="1739" w:hanging="114"/>
        <w:spacing w:after="0" w:line="260" w:lineRule="auto"/>
        <w:tabs>
          <w:tab w:leader="none" w:pos="20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obligations of third parties, including United States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w:t>
      </w:r>
    </w:p>
    <w:p>
      <w:pPr>
        <w:spacing w:after="0" w:line="226" w:lineRule="exact"/>
        <w:rPr>
          <w:sz w:val="20"/>
          <w:szCs w:val="20"/>
          <w:color w:val="auto"/>
        </w:rPr>
      </w:pPr>
    </w:p>
    <w:p>
      <w:pPr>
        <w:ind w:left="1720" w:right="1839" w:firstLine="244"/>
        <w:spacing w:after="0" w:line="263" w:lineRule="auto"/>
        <w:rPr>
          <w:sz w:val="20"/>
          <w:szCs w:val="20"/>
          <w:color w:val="auto"/>
        </w:rPr>
      </w:pPr>
      <w:r>
        <w:rPr>
          <w:rFonts w:ascii="Times New Roman" w:cs="Times New Roman" w:eastAsia="Times New Roman" w:hAnsi="Times New Roman"/>
          <w:sz w:val="12"/>
          <w:szCs w:val="12"/>
          <w:color w:val="auto"/>
        </w:rPr>
        <w:t>United States federal income tax consequences and special considerations, if any, applicable to any such offering will be described in an 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9" w:name="page30"/>
    <w:bookmarkEnd w:id="29"/>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111" w:lineRule="exact"/>
        <w:rPr>
          <w:sz w:val="20"/>
          <w:szCs w:val="20"/>
          <w:color w:val="auto"/>
        </w:rPr>
      </w:pPr>
    </w:p>
    <w:p>
      <w:pPr>
        <w:ind w:left="1720" w:right="1779" w:firstLine="244"/>
        <w:spacing w:after="0" w:line="266" w:lineRule="auto"/>
        <w:rPr>
          <w:sz w:val="20"/>
          <w:szCs w:val="20"/>
          <w:color w:val="auto"/>
        </w:rPr>
      </w:pPr>
      <w:r>
        <w:rPr>
          <w:rFonts w:ascii="Times New Roman" w:cs="Times New Roman" w:eastAsia="Times New Roman" w:hAnsi="Times New Roman"/>
          <w:sz w:val="12"/>
          <w:szCs w:val="12"/>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w:t>
      </w:r>
    </w:p>
    <w:p>
      <w:pPr>
        <w:spacing w:after="0" w:line="47" w:lineRule="exact"/>
        <w:rPr>
          <w:sz w:val="20"/>
          <w:szCs w:val="20"/>
          <w:color w:val="auto"/>
        </w:rPr>
      </w:pPr>
    </w:p>
    <w:p>
      <w:pPr>
        <w:ind w:left="2080" w:hanging="114"/>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fixed price or prices, which may be changed;</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prices prevailing at the time of sale;</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prices related to such prevailing market prices; or</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negotiated prices.</w:t>
      </w:r>
    </w:p>
    <w:p>
      <w:pPr>
        <w:spacing w:after="0" w:line="109" w:lineRule="exact"/>
        <w:rPr>
          <w:sz w:val="20"/>
          <w:szCs w:val="20"/>
          <w:color w:val="auto"/>
        </w:rPr>
      </w:pPr>
    </w:p>
    <w:p>
      <w:pPr>
        <w:ind w:left="1720" w:right="1739" w:firstLine="244"/>
        <w:spacing w:after="0" w:line="272" w:lineRule="auto"/>
        <w:rPr>
          <w:sz w:val="20"/>
          <w:szCs w:val="20"/>
          <w:color w:val="auto"/>
        </w:rPr>
      </w:pPr>
      <w:r>
        <w:rPr>
          <w:rFonts w:ascii="Times New Roman" w:cs="Times New Roman" w:eastAsia="Times New Roman" w:hAnsi="Times New Roman"/>
          <w:sz w:val="12"/>
          <w:szCs w:val="12"/>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1" w:lineRule="exact"/>
        <w:rPr>
          <w:sz w:val="20"/>
          <w:szCs w:val="20"/>
          <w:color w:val="auto"/>
        </w:rPr>
      </w:pPr>
    </w:p>
    <w:p>
      <w:pPr>
        <w:ind w:left="1720" w:right="1739" w:firstLine="244"/>
        <w:spacing w:after="0" w:line="262" w:lineRule="auto"/>
        <w:rPr>
          <w:sz w:val="20"/>
          <w:szCs w:val="20"/>
          <w:color w:val="auto"/>
        </w:rPr>
      </w:pPr>
      <w:r>
        <w:rPr>
          <w:rFonts w:ascii="Times New Roman" w:cs="Times New Roman" w:eastAsia="Times New Roman" w:hAnsi="Times New Roman"/>
          <w:sz w:val="12"/>
          <w:szCs w:val="12"/>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217" w:lineRule="exact"/>
        <w:rPr>
          <w:sz w:val="20"/>
          <w:szCs w:val="20"/>
          <w:color w:val="auto"/>
        </w:rPr>
      </w:pPr>
    </w:p>
    <w:p>
      <w:pPr>
        <w:ind w:left="1720" w:right="1859" w:firstLine="244"/>
        <w:spacing w:after="0" w:line="258" w:lineRule="auto"/>
        <w:rPr>
          <w:sz w:val="20"/>
          <w:szCs w:val="20"/>
          <w:color w:val="auto"/>
        </w:rPr>
      </w:pPr>
      <w:r>
        <w:rPr>
          <w:rFonts w:ascii="Times New Roman" w:cs="Times New Roman" w:eastAsia="Times New Roman" w:hAnsi="Times New Roman"/>
          <w:sz w:val="12"/>
          <w:szCs w:val="12"/>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81" w:lineRule="exact"/>
        <w:rPr>
          <w:sz w:val="20"/>
          <w:szCs w:val="20"/>
          <w:color w:val="auto"/>
        </w:rPr>
      </w:pPr>
    </w:p>
    <w:p>
      <w:pPr>
        <w:ind w:left="1720" w:right="1739" w:firstLine="244"/>
        <w:spacing w:after="0" w:line="259" w:lineRule="auto"/>
        <w:rPr>
          <w:sz w:val="20"/>
          <w:szCs w:val="20"/>
          <w:color w:val="auto"/>
        </w:rPr>
      </w:pPr>
      <w:r>
        <w:rPr>
          <w:rFonts w:ascii="Times New Roman" w:cs="Times New Roman" w:eastAsia="Times New Roman" w:hAnsi="Times New Roman"/>
          <w:sz w:val="12"/>
          <w:szCs w:val="12"/>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227"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Any ordinary shares will be listed on the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0" w:name="page31"/>
    <w:bookmarkEnd w:id="30"/>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2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We may engage in at the market offerings into an existing trading market in accordance with</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Rule 415(a)(4) under the Securities Act. In addition, we may enter into derivative transactions with third</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parties, or sell securities not covered by this prospectus to third parties in privately negotiated transactions.</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If the applicable prospectus supplement so indicates, in connection with those derivatives, the third parties</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may sell securities covered by this prospectus and the applicable prospectus supplement, including in short</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sale transactions. If so, the third party may use securities pledged by us or borrowed from us or others to</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settle those sales or to close out any related open borrowings of ordinary shares, and may use securities</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received from us in settlement of those derivatives to close out any related open borrowings of ordinary</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shares. The third party in such sale transactions will be an underwriter and, if not identified in this</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prospectus, will be named in the applicable prospectus supplement (or a post-effective amendment). In</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addition, we may otherwise loan or pledge securities to a financial institution or other third party that in turn</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may sell the securities short using this prospectus and an applicable prospectus supplement. Such financial</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institution or other third party may transfer its economic short position to investors in our securities or in</w:t>
      </w:r>
    </w:p>
    <w:p>
      <w:pPr>
        <w:spacing w:after="0" w:line="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connection with a concurrent offering of other securities.</w:t>
      </w:r>
    </w:p>
    <w:p>
      <w:pPr>
        <w:spacing w:after="0" w:line="97" w:lineRule="exact"/>
        <w:rPr>
          <w:sz w:val="20"/>
          <w:szCs w:val="20"/>
          <w:color w:val="auto"/>
        </w:rPr>
      </w:pPr>
    </w:p>
    <w:p>
      <w:pPr>
        <w:ind w:left="1720" w:right="1899" w:firstLine="244"/>
        <w:spacing w:after="0" w:line="290" w:lineRule="auto"/>
        <w:rPr>
          <w:sz w:val="20"/>
          <w:szCs w:val="20"/>
          <w:color w:val="auto"/>
        </w:rPr>
      </w:pPr>
      <w:r>
        <w:rPr>
          <w:rFonts w:ascii="Times New Roman" w:cs="Times New Roman" w:eastAsia="Times New Roman" w:hAnsi="Times New Roman"/>
          <w:sz w:val="12"/>
          <w:szCs w:val="12"/>
          <w:color w:val="auto"/>
        </w:rPr>
        <w:t>The specific terms of any lock-up provisions in respect of any given offering will be described in the applicable prospectus supplement.</w:t>
      </w:r>
    </w:p>
    <w:p>
      <w:pPr>
        <w:spacing w:after="0" w:line="51" w:lineRule="exact"/>
        <w:rPr>
          <w:sz w:val="20"/>
          <w:szCs w:val="20"/>
          <w:color w:val="auto"/>
        </w:rPr>
      </w:pPr>
    </w:p>
    <w:p>
      <w:pPr>
        <w:ind w:left="1720" w:right="1799" w:firstLine="244"/>
        <w:spacing w:after="0" w:line="290" w:lineRule="auto"/>
        <w:rPr>
          <w:sz w:val="20"/>
          <w:szCs w:val="20"/>
          <w:color w:val="auto"/>
        </w:rPr>
      </w:pPr>
      <w:r>
        <w:rPr>
          <w:rFonts w:ascii="Times New Roman" w:cs="Times New Roman" w:eastAsia="Times New Roman" w:hAnsi="Times New Roman"/>
          <w:sz w:val="12"/>
          <w:szCs w:val="12"/>
          <w:color w:val="auto"/>
        </w:rPr>
        <w:t>The underwriters, dealers and agents may engage in transactions with us, or perform services for us, in the ordinary course of business for which they receive compensation.</w:t>
      </w:r>
    </w:p>
    <w:p>
      <w:pPr>
        <w:spacing w:after="0" w:line="60" w:lineRule="exact"/>
        <w:rPr>
          <w:sz w:val="20"/>
          <w:szCs w:val="20"/>
          <w:color w:val="auto"/>
        </w:rPr>
      </w:pPr>
    </w:p>
    <w:p>
      <w:pPr>
        <w:ind w:left="1720" w:right="1859" w:firstLine="244"/>
        <w:spacing w:after="0" w:line="290" w:lineRule="auto"/>
        <w:rPr>
          <w:sz w:val="20"/>
          <w:szCs w:val="20"/>
          <w:color w:val="auto"/>
        </w:rPr>
      </w:pPr>
      <w:r>
        <w:rPr>
          <w:rFonts w:ascii="Times New Roman" w:cs="Times New Roman" w:eastAsia="Times New Roman" w:hAnsi="Times New Roman"/>
          <w:sz w:val="12"/>
          <w:szCs w:val="12"/>
          <w:color w:val="auto"/>
        </w:rPr>
        <w:t>Our securities may not be offered, sold, placed or underwritten and nothing may be done in Ireland in respect of any such securities, otherwise than in conformity, where relevant, with the provisions of:</w:t>
      </w:r>
    </w:p>
    <w:p>
      <w:pPr>
        <w:spacing w:after="0" w:line="33" w:lineRule="exact"/>
        <w:rPr>
          <w:sz w:val="20"/>
          <w:szCs w:val="20"/>
          <w:color w:val="auto"/>
        </w:rPr>
      </w:pPr>
    </w:p>
    <w:p>
      <w:pPr>
        <w:ind w:left="2080" w:right="1799" w:hanging="114"/>
        <w:spacing w:after="0" w:line="269" w:lineRule="auto"/>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w:t>
      </w:r>
    </w:p>
    <w:p>
      <w:pPr>
        <w:spacing w:after="0" w:line="194"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Irish Companies Act;</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European Union (Markets in Financial Instruments) Regulations 2017 of Ireland, as amended;</w:t>
      </w:r>
    </w:p>
    <w:p>
      <w:pPr>
        <w:spacing w:after="0" w:line="81" w:lineRule="exact"/>
        <w:rPr>
          <w:rFonts w:ascii="Times New Roman" w:cs="Times New Roman" w:eastAsia="Times New Roman" w:hAnsi="Times New Roman"/>
          <w:sz w:val="12"/>
          <w:szCs w:val="12"/>
          <w:color w:val="auto"/>
        </w:rPr>
      </w:pPr>
    </w:p>
    <w:p>
      <w:pPr>
        <w:ind w:left="2080" w:right="1899" w:hanging="114"/>
        <w:spacing w:after="0" w:line="272" w:lineRule="auto"/>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 (EU) No. 596/2014 of the European Parliament and of the Council of 16 April 2014 on market abuse, the European Union (Market Abuse) Regulations 2016 of Ireland and any Central Bank of Ireland rules issued and/or in force pursuant to section 1370 of the Irish Companies Act;</w:t>
      </w:r>
    </w:p>
    <w:p>
      <w:pPr>
        <w:spacing w:after="0" w:line="43"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PRIIPs Regulation; and</w:t>
      </w:r>
    </w:p>
    <w:p>
      <w:pPr>
        <w:spacing w:after="0" w:line="81" w:lineRule="exact"/>
        <w:rPr>
          <w:rFonts w:ascii="Times New Roman" w:cs="Times New Roman" w:eastAsia="Times New Roman" w:hAnsi="Times New Roman"/>
          <w:sz w:val="12"/>
          <w:szCs w:val="12"/>
          <w:color w:val="auto"/>
        </w:rPr>
      </w:pPr>
    </w:p>
    <w:p>
      <w:pPr>
        <w:ind w:left="2080" w:right="1979" w:hanging="114"/>
        <w:spacing w:after="0" w:line="290" w:lineRule="auto"/>
        <w:tabs>
          <w:tab w:leader="none" w:pos="20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Central Bank Acts 1942 to 2018 of Ireland, as amended and any codes of conduct rules made under section 117(1) of the Central Bank Act 1989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1" w:name="page32"/>
    <w:bookmarkEnd w:id="31"/>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11" w:lineRule="exact"/>
        <w:rPr>
          <w:sz w:val="20"/>
          <w:szCs w:val="20"/>
          <w:color w:val="auto"/>
        </w:rPr>
      </w:pPr>
    </w:p>
    <w:p>
      <w:pPr>
        <w:ind w:left="1720" w:right="1779" w:firstLine="244"/>
        <w:spacing w:after="0" w:line="261" w:lineRule="auto"/>
        <w:rPr>
          <w:sz w:val="20"/>
          <w:szCs w:val="20"/>
          <w:color w:val="auto"/>
        </w:rPr>
      </w:pPr>
      <w:r>
        <w:rPr>
          <w:rFonts w:ascii="Times New Roman" w:cs="Times New Roman" w:eastAsia="Times New Roman" w:hAnsi="Times New Roman"/>
          <w:sz w:val="12"/>
          <w:szCs w:val="12"/>
          <w:color w:val="auto"/>
        </w:rPr>
        <w:t>Certain United States legal matters in connection with the securities will be passed upon for us by King &amp; Spalding LLP. Certain Irish legal matters in connection with the securities will be passed upon for us by our special Irish counsel, Matheson. Certain Bermuda legal matters in connection with the securities will be passed upon for us by our special Bermuda counsel, Conyers Dill &amp; Pearman Limited. If the securities are being distributed in an underwritten offering, the validity of the securities will be passed upon for the underwriters by counsel identified in the accompanying prospectus supplement.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111" w:lineRule="exact"/>
        <w:rPr>
          <w:sz w:val="20"/>
          <w:szCs w:val="20"/>
          <w:color w:val="auto"/>
        </w:rPr>
      </w:pPr>
    </w:p>
    <w:p>
      <w:pPr>
        <w:ind w:left="1720" w:right="1779" w:firstLine="244"/>
        <w:spacing w:after="0" w:line="260" w:lineRule="auto"/>
        <w:rPr>
          <w:sz w:val="20"/>
          <w:szCs w:val="20"/>
          <w:color w:val="auto"/>
        </w:rPr>
      </w:pPr>
      <w:r>
        <w:rPr>
          <w:rFonts w:ascii="Times New Roman" w:cs="Times New Roman" w:eastAsia="Times New Roman" w:hAnsi="Times New Roman"/>
          <w:sz w:val="12"/>
          <w:szCs w:val="12"/>
          <w:color w:val="auto"/>
        </w:rPr>
        <w:t>The consolidated financial statements and financial statement schedule II of Weatherford International plc as of December 31, 2021 and December 31, 2020 and for each of the years in the two-year period ended December 31, 2021, and for the period from December 14, 2019 to December 31, 2019 (successor periods) and for the period from January 1, 2019 to December 13, 2019 (predecessor period), and management’s assessment of the effectiveness of internal control over financial reporting as of December 31, 2021 have been incorporated by reference herein in reliance upon the reports of KPMG LLP, independent registered public accounting firm, incorporated by reference herein, and upon the authority of said firm as experts in accounting and auditing.</w:t>
      </w:r>
    </w:p>
    <w:p>
      <w:pPr>
        <w:spacing w:after="0" w:line="26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Interests of Named Experts and Counsel</w:t>
      </w:r>
    </w:p>
    <w:p>
      <w:pPr>
        <w:spacing w:after="0" w:line="102" w:lineRule="exact"/>
        <w:rPr>
          <w:sz w:val="20"/>
          <w:szCs w:val="20"/>
          <w:color w:val="auto"/>
        </w:rPr>
      </w:pPr>
    </w:p>
    <w:p>
      <w:pPr>
        <w:ind w:left="1720" w:right="1919" w:firstLine="244"/>
        <w:spacing w:after="0" w:line="266" w:lineRule="auto"/>
        <w:rPr>
          <w:sz w:val="20"/>
          <w:szCs w:val="20"/>
          <w:color w:val="auto"/>
        </w:rPr>
      </w:pPr>
      <w:r>
        <w:rPr>
          <w:rFonts w:ascii="Times New Roman" w:cs="Times New Roman" w:eastAsia="Times New Roman" w:hAnsi="Times New Roman"/>
          <w:sz w:val="12"/>
          <w:szCs w:val="12"/>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Conyers Dill &amp; Pearman Limited’s affiliated company, Conyers Corporate Services (Bermuda) Limited, is Weatherford Bermuda’s Secretary.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SERVICE OF PROCESS AND ENFORCEMENT OF LIABILITIES</w:t>
      </w:r>
    </w:p>
    <w:p>
      <w:pPr>
        <w:spacing w:after="0" w:line="111" w:lineRule="exact"/>
        <w:rPr>
          <w:sz w:val="20"/>
          <w:szCs w:val="20"/>
          <w:color w:val="auto"/>
        </w:rPr>
      </w:pPr>
    </w:p>
    <w:p>
      <w:pPr>
        <w:ind w:left="1720" w:right="1759" w:firstLine="244"/>
        <w:spacing w:after="0" w:line="261" w:lineRule="auto"/>
        <w:rPr>
          <w:sz w:val="20"/>
          <w:szCs w:val="20"/>
          <w:color w:val="auto"/>
        </w:rPr>
      </w:pPr>
      <w:r>
        <w:rPr>
          <w:rFonts w:ascii="Times New Roman" w:cs="Times New Roman" w:eastAsia="Times New Roman" w:hAnsi="Times New Roman"/>
          <w:sz w:val="12"/>
          <w:szCs w:val="12"/>
          <w:color w:val="auto"/>
        </w:rPr>
        <w:t>Weatherford Ireland has been advised by its Irish counsel, Matheson, that there is some uncertainty as to whether the courts of Ireland would recognize or enforce judgments obtained against Weatherford Ireland or its directors or officers in a United States court based on the civil liabilities provisions of United States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United States federal or state court is enforceable in Ireland.</w:t>
      </w:r>
    </w:p>
    <w:p>
      <w:pPr>
        <w:spacing w:after="0" w:line="225" w:lineRule="exact"/>
        <w:rPr>
          <w:sz w:val="20"/>
          <w:szCs w:val="20"/>
          <w:color w:val="auto"/>
        </w:rPr>
      </w:pPr>
    </w:p>
    <w:p>
      <w:pPr>
        <w:ind w:left="1720" w:right="2039" w:firstLine="244"/>
        <w:spacing w:after="0" w:line="290" w:lineRule="auto"/>
        <w:rPr>
          <w:sz w:val="20"/>
          <w:szCs w:val="20"/>
          <w:color w:val="auto"/>
        </w:rPr>
      </w:pPr>
      <w:r>
        <w:rPr>
          <w:rFonts w:ascii="Times New Roman" w:cs="Times New Roman" w:eastAsia="Times New Roman" w:hAnsi="Times New Roman"/>
          <w:sz w:val="12"/>
          <w:szCs w:val="12"/>
          <w:color w:val="auto"/>
        </w:rPr>
        <w:t>A judgment of a United States federal or state courts obtained against Weatherford Ireland will be enforced by the courts of Ireland only if the following general requirements are met:</w:t>
      </w:r>
    </w:p>
    <w:p>
      <w:pPr>
        <w:spacing w:after="0" w:line="33" w:lineRule="exact"/>
        <w:rPr>
          <w:sz w:val="20"/>
          <w:szCs w:val="20"/>
          <w:color w:val="auto"/>
        </w:rPr>
      </w:pPr>
    </w:p>
    <w:p>
      <w:pPr>
        <w:ind w:left="2080" w:right="1979" w:hanging="114"/>
        <w:spacing w:after="0" w:line="272" w:lineRule="auto"/>
        <w:tabs>
          <w:tab w:leader="none" w:pos="20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federal or state courts must have had jurisdiction in relation to the particular defendant according to Irish conflict of law rules (the voluntary submission to jurisdiction by the defendant would satisfy this rule); and</w:t>
      </w:r>
    </w:p>
    <w:p>
      <w:pPr>
        <w:spacing w:after="0" w:line="43" w:lineRule="exact"/>
        <w:rPr>
          <w:rFonts w:ascii="Times New Roman" w:cs="Times New Roman" w:eastAsia="Times New Roman" w:hAnsi="Times New Roman"/>
          <w:sz w:val="12"/>
          <w:szCs w:val="12"/>
          <w:color w:val="auto"/>
        </w:rPr>
      </w:pPr>
    </w:p>
    <w:p>
      <w:pPr>
        <w:ind w:left="2080" w:right="1859" w:hanging="114"/>
        <w:spacing w:after="0" w:line="290" w:lineRule="auto"/>
        <w:tabs>
          <w:tab w:leader="none" w:pos="20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must be final and conclusive and the decree must be final and unalterable in the court which pronounces it.</w:t>
      </w:r>
    </w:p>
    <w:p>
      <w:pPr>
        <w:spacing w:after="0" w:line="60" w:lineRule="exact"/>
        <w:rPr>
          <w:sz w:val="20"/>
          <w:szCs w:val="20"/>
          <w:color w:val="auto"/>
        </w:rPr>
      </w:pPr>
    </w:p>
    <w:p>
      <w:pPr>
        <w:ind w:left="1720" w:right="1859" w:firstLine="244"/>
        <w:spacing w:after="0" w:line="261" w:lineRule="auto"/>
        <w:rPr>
          <w:sz w:val="20"/>
          <w:szCs w:val="20"/>
          <w:color w:val="auto"/>
        </w:rPr>
      </w:pPr>
      <w:r>
        <w:rPr>
          <w:rFonts w:ascii="Times New Roman" w:cs="Times New Roman" w:eastAsia="Times New Roman" w:hAnsi="Times New Roman"/>
          <w:sz w:val="12"/>
          <w:szCs w:val="12"/>
          <w:color w:val="auto"/>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United States federal or state courts which meets the above requirements for one of the following reasons:</w:t>
      </w:r>
    </w:p>
    <w:p>
      <w:pPr>
        <w:spacing w:after="0" w:line="51" w:lineRule="exact"/>
        <w:rPr>
          <w:sz w:val="20"/>
          <w:szCs w:val="20"/>
          <w:color w:val="auto"/>
        </w:rPr>
      </w:pPr>
    </w:p>
    <w:p>
      <w:pPr>
        <w:ind w:left="2080" w:hanging="114"/>
        <w:spacing w:after="0"/>
        <w:tabs>
          <w:tab w:leader="none" w:pos="20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is not for a definite sum of money;</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was obtained by fraud;</w:t>
      </w:r>
    </w:p>
    <w:p>
      <w:pPr>
        <w:spacing w:after="0" w:line="90"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enforcement of the judgment in Ireland would be contrary to natural or constitutional justice;</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2" w:name="page33"/>
    <w:bookmarkEnd w:id="32"/>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080" w:right="1839" w:hanging="114"/>
        <w:spacing w:after="0" w:line="290"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is contrary to Irish public policy or involves certain United States laws which will not be enforced in Ireland;</w:t>
      </w:r>
    </w:p>
    <w:p>
      <w:pPr>
        <w:spacing w:after="0" w:line="32" w:lineRule="exact"/>
        <w:rPr>
          <w:rFonts w:ascii="Times New Roman" w:cs="Times New Roman" w:eastAsia="Times New Roman" w:hAnsi="Times New Roman"/>
          <w:sz w:val="12"/>
          <w:szCs w:val="12"/>
          <w:color w:val="auto"/>
        </w:rPr>
      </w:pPr>
    </w:p>
    <w:p>
      <w:pPr>
        <w:ind w:left="2080" w:right="1779" w:hanging="114"/>
        <w:spacing w:after="0" w:line="272"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jurisdiction cannot be obtained by the Irish courts over the judgment debtors in the enforcement proceedings by personal service in Ireland or outside Ireland under Order 11 of the Rules of the Irish Superior Courts;</w:t>
      </w:r>
    </w:p>
    <w:p>
      <w:pPr>
        <w:spacing w:after="0" w:line="43"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is irreconcilable with an earlier judgment of the United States federal or state courts; or</w:t>
      </w:r>
    </w:p>
    <w:p>
      <w:pPr>
        <w:spacing w:after="0" w:line="81" w:lineRule="exact"/>
        <w:rPr>
          <w:rFonts w:ascii="Times New Roman" w:cs="Times New Roman" w:eastAsia="Times New Roman" w:hAnsi="Times New Roman"/>
          <w:sz w:val="12"/>
          <w:szCs w:val="12"/>
          <w:color w:val="auto"/>
        </w:rPr>
      </w:pPr>
    </w:p>
    <w:p>
      <w:pPr>
        <w:ind w:left="2080" w:right="1819" w:hanging="114"/>
        <w:spacing w:after="0" w:line="290" w:lineRule="auto"/>
        <w:tabs>
          <w:tab w:leader="none" w:pos="2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proceedings are not instituted in Ireland within six years of the date of the judgment of the United States federal and state courts.</w:t>
      </w:r>
    </w:p>
    <w:p>
      <w:pPr>
        <w:spacing w:after="0" w:line="60" w:lineRule="exact"/>
        <w:rPr>
          <w:sz w:val="20"/>
          <w:szCs w:val="20"/>
          <w:color w:val="auto"/>
        </w:rPr>
      </w:pPr>
    </w:p>
    <w:p>
      <w:pPr>
        <w:ind w:left="1720" w:right="1759" w:firstLine="244"/>
        <w:spacing w:after="0" w:line="259" w:lineRule="auto"/>
        <w:rPr>
          <w:sz w:val="20"/>
          <w:szCs w:val="20"/>
          <w:color w:val="auto"/>
        </w:rPr>
      </w:pPr>
      <w:r>
        <w:rPr>
          <w:rFonts w:ascii="Times New Roman" w:cs="Times New Roman" w:eastAsia="Times New Roman" w:hAnsi="Times New Roman"/>
          <w:sz w:val="12"/>
          <w:szCs w:val="12"/>
          <w:color w:val="auto"/>
        </w:rPr>
        <w:t>Weatherford Bermuda has been advised by its Bermuda counsel, Conyers Dill &amp; Pearman Limited, that a judgment for the payment of money rendered by a court in the United States based on civil liability, including the civil liability provisions of the United States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 obtained in a court in the United States under which a sum of money is payable, other than a sum of money payable in respect of multiple damages, taxes or other charges of a similar nature or in respect of a fine or other penalty, provided that:</w:t>
      </w:r>
    </w:p>
    <w:p>
      <w:pPr>
        <w:spacing w:after="0" w:line="200" w:lineRule="exact"/>
        <w:rPr>
          <w:sz w:val="20"/>
          <w:szCs w:val="20"/>
          <w:color w:val="auto"/>
        </w:rPr>
      </w:pPr>
    </w:p>
    <w:p>
      <w:pPr>
        <w:ind w:left="2080" w:hanging="114"/>
        <w:spacing w:after="0"/>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court had proper jurisdiction over the parties subject to such judgment;</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court did not contravene the rules of natural justice of Bermuda;</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judgment of the United States court was not obtained by fraud;</w:t>
      </w:r>
    </w:p>
    <w:p>
      <w:pPr>
        <w:spacing w:after="0" w:line="81"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enforcement of the judgment would not be contrary to the public policy of Bermuda;</w:t>
      </w:r>
    </w:p>
    <w:p>
      <w:pPr>
        <w:spacing w:after="0" w:line="81" w:lineRule="exact"/>
        <w:rPr>
          <w:rFonts w:ascii="Times New Roman" w:cs="Times New Roman" w:eastAsia="Times New Roman" w:hAnsi="Times New Roman"/>
          <w:sz w:val="12"/>
          <w:szCs w:val="12"/>
          <w:color w:val="auto"/>
        </w:rPr>
      </w:pPr>
    </w:p>
    <w:p>
      <w:pPr>
        <w:ind w:left="2080" w:right="1759" w:hanging="114"/>
        <w:spacing w:after="0" w:line="290" w:lineRule="auto"/>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new admissible evidence relevant to the action is submitted prior to the rendering of the judgment by the courts of Bermuda; and</w:t>
      </w:r>
    </w:p>
    <w:p>
      <w:pPr>
        <w:spacing w:after="0" w:line="32" w:lineRule="exact"/>
        <w:rPr>
          <w:rFonts w:ascii="Times New Roman" w:cs="Times New Roman" w:eastAsia="Times New Roman" w:hAnsi="Times New Roman"/>
          <w:sz w:val="12"/>
          <w:szCs w:val="12"/>
          <w:color w:val="auto"/>
        </w:rPr>
      </w:pPr>
    </w:p>
    <w:p>
      <w:pPr>
        <w:ind w:left="2080" w:hanging="114"/>
        <w:spacing w:after="0"/>
        <w:tabs>
          <w:tab w:leader="none" w:pos="2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due compliance with the correct procedures under the laws of Bermuda.</w:t>
      </w:r>
    </w:p>
    <w:p>
      <w:pPr>
        <w:spacing w:after="0" w:line="109" w:lineRule="exact"/>
        <w:rPr>
          <w:sz w:val="20"/>
          <w:szCs w:val="20"/>
          <w:color w:val="auto"/>
        </w:rPr>
      </w:pPr>
    </w:p>
    <w:p>
      <w:pPr>
        <w:ind w:left="1720" w:right="1759" w:firstLine="244"/>
        <w:spacing w:after="0" w:line="258" w:lineRule="auto"/>
        <w:rPr>
          <w:sz w:val="20"/>
          <w:szCs w:val="20"/>
          <w:color w:val="auto"/>
        </w:rPr>
      </w:pPr>
      <w:r>
        <w:rPr>
          <w:rFonts w:ascii="Times New Roman" w:cs="Times New Roman" w:eastAsia="Times New Roman" w:hAnsi="Times New Roman"/>
          <w:sz w:val="12"/>
          <w:szCs w:val="12"/>
          <w:color w:val="auto"/>
        </w:rPr>
        <w:t>Further, Weatherford Bermuda has been advised by Conyers Dill &amp; Pearman Limited that a United States investor cannot bring an original action before a Bermuda court against Weatherford Bermuda, affiliates of Weatherford Bermuda, any underwriters or experts named in this prospectus based on United States legislation, including the United States federal securities laws, because United States legislation has no extraterritorial jurisdiction under Bermuda law and does not have force of law in Bermuda. However, we have also been advised by Conyers Dill &amp; Pearman Limited that a Bermuda court may impose civil liability, including the possibility of monetary damages, on Weatherford Bermuda or its directors or officers if the facts alleged in a complaint constitute or give rise to a cause of action under Bermuda law. Some remedies available under the laws of United States jurisdictions, including some remedies available under the United States federal securities laws, may not be allowed in Bermuda courts as contrary to Bermuda public policy.</w:t>
      </w:r>
    </w:p>
    <w:p>
      <w:pPr>
        <w:spacing w:after="0" w:line="72"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It may be difficult for a securityholder to effect service of process within the United States or to enforce judgments obtained against any of Weatherford Ireland or Weatherford Bermuda in United States courts. Each of Weatherford Ireland and Weatherford Bermuda has agreed that it may be served with process with respect to actions based on offers and sales of securities made in the United States and other violations of United States securities 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United States court would be enforceable in the United States but could be executed upon only to the extent such company has assets in the United States.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3" w:name="page34"/>
    <w:bookmarkEnd w:id="33"/>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2"/>
          <w:szCs w:val="12"/>
          <w:b w:val="1"/>
          <w:bCs w:val="1"/>
          <w:color w:val="auto"/>
        </w:rPr>
        <w:t>INFORMATION NOT REQUIRED IN PROSPECTUS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14.  Other Expenses of Issuance and Distribution.</w:t>
      </w:r>
    </w:p>
    <w:p>
      <w:pPr>
        <w:spacing w:after="0" w:line="111" w:lineRule="exact"/>
        <w:rPr>
          <w:sz w:val="20"/>
          <w:szCs w:val="20"/>
          <w:color w:val="auto"/>
        </w:rPr>
      </w:pPr>
    </w:p>
    <w:p>
      <w:pPr>
        <w:ind w:left="1720" w:right="1879" w:firstLine="244"/>
        <w:spacing w:after="0" w:line="272" w:lineRule="auto"/>
        <w:rPr>
          <w:sz w:val="20"/>
          <w:szCs w:val="20"/>
          <w:color w:val="auto"/>
        </w:rPr>
      </w:pPr>
      <w:r>
        <w:rPr>
          <w:rFonts w:ascii="Times New Roman" w:cs="Times New Roman" w:eastAsia="Times New Roman" w:hAnsi="Times New Roman"/>
          <w:sz w:val="12"/>
          <w:szCs w:val="12"/>
          <w:color w:val="auto"/>
        </w:rPr>
        <w:t>The following table sets forth the best estimate of the registrants as to the anticipated expenses and costs (other than underwriting discounts and commissions) expected to be incurred in connection with the issuance and distribution of securities registered hereby:</w:t>
      </w:r>
    </w:p>
    <w:p>
      <w:pPr>
        <w:spacing w:after="0" w:line="80" w:lineRule="exact"/>
        <w:rPr>
          <w:sz w:val="20"/>
          <w:szCs w:val="20"/>
          <w:color w:val="auto"/>
        </w:rPr>
      </w:pPr>
    </w:p>
    <w:tbl>
      <w:tblPr>
        <w:tblLayout w:type="fixed"/>
        <w:tblInd w:w="1720" w:type="dxa"/>
        <w:tblCellMar>
          <w:top w:w="0" w:type="dxa"/>
          <w:left w:w="0" w:type="dxa"/>
          <w:bottom w:w="0" w:type="dxa"/>
          <w:right w:w="0" w:type="dxa"/>
        </w:tblCellMar>
      </w:tblPr>
      <w:tr>
        <w:trPr>
          <w:trHeight w:val="22"/>
        </w:trPr>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0" w:type="dxa"/>
            <w:vAlign w:val="bottom"/>
          </w:tcPr>
          <w:p>
            <w:pPr>
              <w:spacing w:after="0" w:line="20" w:lineRule="exact"/>
              <w:rPr>
                <w:sz w:val="1"/>
                <w:szCs w:val="1"/>
                <w:color w:val="auto"/>
              </w:rPr>
            </w:pPr>
          </w:p>
        </w:tc>
      </w:tr>
      <w:tr>
        <w:trPr>
          <w:trHeight w:val="128"/>
        </w:trPr>
        <w:tc>
          <w:tcPr>
            <w:tcW w:w="240" w:type="dxa"/>
            <w:vAlign w:val="bottom"/>
          </w:tcPr>
          <w:p>
            <w:pPr>
              <w:spacing w:after="0"/>
              <w:rPr>
                <w:sz w:val="11"/>
                <w:szCs w:val="11"/>
                <w:color w:val="auto"/>
              </w:rPr>
            </w:pPr>
          </w:p>
        </w:tc>
        <w:tc>
          <w:tcPr>
            <w:tcW w:w="45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​SEC registration fee</w:t>
            </w:r>
          </w:p>
        </w:tc>
        <w:tc>
          <w:tcPr>
            <w:tcW w:w="520" w:type="dxa"/>
            <w:vAlign w:val="bottom"/>
            <w:gridSpan w:val="3"/>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​Legal fees and expenses</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2"/>
              </w:rPr>
              <w:t>​</w:t>
            </w:r>
            <w:r>
              <w:rPr>
                <w:rFonts w:ascii="Times New Roman" w:cs="Times New Roman" w:eastAsia="Times New Roman" w:hAnsi="Times New Roman"/>
                <w:sz w:val="12"/>
                <w:szCs w:val="12"/>
                <w:color w:val="auto"/>
                <w:w w:val="82"/>
              </w:rPr>
              <w:t>**</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​Accounting fees and expenses</w:t>
            </w: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2"/>
              </w:rPr>
              <w:t>​</w:t>
            </w:r>
            <w:r>
              <w:rPr>
                <w:rFonts w:ascii="Times New Roman" w:cs="Times New Roman" w:eastAsia="Times New Roman" w:hAnsi="Times New Roman"/>
                <w:sz w:val="12"/>
                <w:szCs w:val="12"/>
                <w:color w:val="auto"/>
                <w:w w:val="82"/>
              </w:rPr>
              <w:t>**</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​Rating agency fees</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2"/>
              </w:rPr>
              <w:t>​</w:t>
            </w:r>
            <w:r>
              <w:rPr>
                <w:rFonts w:ascii="Times New Roman" w:cs="Times New Roman" w:eastAsia="Times New Roman" w:hAnsi="Times New Roman"/>
                <w:sz w:val="12"/>
                <w:szCs w:val="12"/>
                <w:color w:val="auto"/>
                <w:w w:val="82"/>
              </w:rPr>
              <w:t>**</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​Trustee fees and expenses</w:t>
            </w: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2"/>
              </w:rPr>
              <w:t>​</w:t>
            </w:r>
            <w:r>
              <w:rPr>
                <w:rFonts w:ascii="Times New Roman" w:cs="Times New Roman" w:eastAsia="Times New Roman" w:hAnsi="Times New Roman"/>
                <w:sz w:val="12"/>
                <w:szCs w:val="12"/>
                <w:color w:val="auto"/>
                <w:w w:val="82"/>
              </w:rPr>
              <w:t>**</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​Printing expenses</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2"/>
              </w:rPr>
              <w:t>​</w:t>
            </w:r>
            <w:r>
              <w:rPr>
                <w:rFonts w:ascii="Times New Roman" w:cs="Times New Roman" w:eastAsia="Times New Roman" w:hAnsi="Times New Roman"/>
                <w:sz w:val="12"/>
                <w:szCs w:val="12"/>
                <w:color w:val="auto"/>
                <w:w w:val="82"/>
              </w:rPr>
              <w: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37"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46"/>
        </w:trPr>
        <w:tc>
          <w:tcPr>
            <w:tcW w:w="240" w:type="dxa"/>
            <w:vAlign w:val="bottom"/>
          </w:tcPr>
          <w:p>
            <w:pPr>
              <w:spacing w:after="0"/>
              <w:rPr>
                <w:sz w:val="3"/>
                <w:szCs w:val="3"/>
                <w:color w:val="auto"/>
              </w:rPr>
            </w:pPr>
          </w:p>
        </w:tc>
        <w:tc>
          <w:tcPr>
            <w:tcW w:w="4560" w:type="dxa"/>
            <w:vAlign w:val="bottom"/>
            <w:gridSpan w:val="2"/>
            <w:shd w:val="clear" w:color="auto" w:fill="CCEEFF"/>
          </w:tcPr>
          <w:p>
            <w:pPr>
              <w:spacing w:after="0" w:line="46"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gridSpan w:val="2"/>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0" w:type="dxa"/>
            <w:vAlign w:val="bottom"/>
          </w:tcPr>
          <w:p>
            <w:pPr>
              <w:spacing w:after="0"/>
              <w:rPr>
                <w:sz w:val="11"/>
                <w:szCs w:val="11"/>
                <w:color w:val="auto"/>
              </w:rPr>
            </w:pPr>
          </w:p>
        </w:tc>
        <w:tc>
          <w:tcPr>
            <w:tcW w:w="456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spacing w:after="0"/>
              <w:rPr>
                <w:sz w:val="11"/>
                <w:szCs w:val="11"/>
                <w:color w:val="auto"/>
              </w:rPr>
            </w:pPr>
          </w:p>
        </w:tc>
        <w:tc>
          <w:tcPr>
            <w:tcW w:w="50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auto"/>
                <w:w w:val="99"/>
              </w:rPr>
              <w:t>$          **</w:t>
            </w:r>
          </w:p>
        </w:tc>
        <w:tc>
          <w:tcPr>
            <w:tcW w:w="0" w:type="dxa"/>
            <w:vAlign w:val="bottom"/>
          </w:tcPr>
          <w:p>
            <w:pPr>
              <w:spacing w:after="0"/>
              <w:rPr>
                <w:sz w:val="1"/>
                <w:szCs w:val="1"/>
                <w:color w:val="auto"/>
              </w:rPr>
            </w:pPr>
          </w:p>
        </w:tc>
      </w:tr>
      <w:tr>
        <w:trPr>
          <w:trHeight w:val="37"/>
        </w:trPr>
        <w:tc>
          <w:tcPr>
            <w:tcW w:w="240" w:type="dxa"/>
            <w:vAlign w:val="bottom"/>
          </w:tcPr>
          <w:p>
            <w:pPr>
              <w:spacing w:after="0"/>
              <w:rPr>
                <w:sz w:val="3"/>
                <w:szCs w:val="3"/>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rPr>
              <w:t>​ ​​</w:t>
            </w:r>
          </w:p>
        </w:tc>
        <w:tc>
          <w:tcPr>
            <w:tcW w:w="340" w:type="dxa"/>
            <w:vAlign w:val="bottom"/>
          </w:tcPr>
          <w:p>
            <w:pPr>
              <w:spacing w:after="0"/>
              <w:rPr>
                <w:sz w:val="3"/>
                <w:szCs w:val="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960" w:right="1779" w:hanging="238"/>
        <w:spacing w:after="0" w:line="272" w:lineRule="auto"/>
        <w:tabs>
          <w:tab w:leader="none" w:pos="19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SEC registration fees have been deferred in accordance with Rules 456(b) and 457(r) of the Securities Act and will be paid at the time of any particular offering under this registration statement and are therefore not estimable at this time.</w:t>
      </w:r>
    </w:p>
    <w:p>
      <w:pPr>
        <w:spacing w:after="0" w:line="16" w:lineRule="exact"/>
        <w:rPr>
          <w:sz w:val="20"/>
          <w:szCs w:val="20"/>
          <w:color w:val="auto"/>
        </w:rPr>
      </w:pPr>
    </w:p>
    <w:p>
      <w:pPr>
        <w:ind w:left="1960" w:right="1959" w:hanging="238"/>
        <w:spacing w:after="0" w:line="290" w:lineRule="auto"/>
        <w:tabs>
          <w:tab w:leader="none" w:pos="196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fees are calculated based upon the number of issuances and amount of securities offered, and accordingly,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4" w:name="page35"/>
    <w:bookmarkEnd w:id="34"/>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15.  Indemnification of Directors and Officers.</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Ireland</w:t>
      </w:r>
    </w:p>
    <w:p>
      <w:pPr>
        <w:spacing w:after="0" w:line="111" w:lineRule="exact"/>
        <w:rPr>
          <w:sz w:val="20"/>
          <w:szCs w:val="20"/>
          <w:color w:val="auto"/>
        </w:rPr>
      </w:pPr>
    </w:p>
    <w:p>
      <w:pPr>
        <w:ind w:left="1720" w:right="1819" w:firstLine="244"/>
        <w:spacing w:after="0" w:line="258" w:lineRule="auto"/>
        <w:rPr>
          <w:sz w:val="20"/>
          <w:szCs w:val="20"/>
          <w:color w:val="auto"/>
        </w:rPr>
      </w:pPr>
      <w:r>
        <w:rPr>
          <w:rFonts w:ascii="Times New Roman" w:cs="Times New Roman" w:eastAsia="Times New Roman" w:hAnsi="Times New Roman"/>
          <w:sz w:val="12"/>
          <w:szCs w:val="12"/>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Weatherford 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81" w:lineRule="exact"/>
        <w:rPr>
          <w:sz w:val="20"/>
          <w:szCs w:val="20"/>
          <w:color w:val="auto"/>
        </w:rPr>
      </w:pPr>
    </w:p>
    <w:p>
      <w:pPr>
        <w:ind w:left="1720" w:right="1779" w:firstLine="244"/>
        <w:spacing w:after="0" w:line="259" w:lineRule="auto"/>
        <w:rPr>
          <w:sz w:val="20"/>
          <w:szCs w:val="20"/>
          <w:color w:val="auto"/>
        </w:rPr>
      </w:pPr>
      <w:r>
        <w:rPr>
          <w:rFonts w:ascii="Times New Roman" w:cs="Times New Roman" w:eastAsia="Times New Roman" w:hAnsi="Times New Roman"/>
          <w:sz w:val="12"/>
          <w:szCs w:val="12"/>
          <w:color w:val="auto"/>
        </w:rPr>
        <w:t>Weatherford Ireland’s Articles include a provision which, subject to the provisions of the Irish Companies Act as aforesaid, entitles every present and former director and other officer of Weatherford Ireland and each other person who is or was serving at the request of Weatherford Ireland as a director, officer, employee or agent of another company, or of a partnership, joint venture, trust or other enterprise or non-profit entity, including service with respect to employee benefit plans maintained or sponsored by Weatherford Ireland (including the heirs, executors, administrators and estates of such persons) to be indemnified and held harmless by Weatherford Ireland to the fullest extent permitted by law against all costs, charges, losses, expenses and liabilities incurred by him or her in the execution and discharge of his or her duties in relation thereto.</w:t>
      </w:r>
    </w:p>
    <w:p>
      <w:pPr>
        <w:spacing w:after="0" w:line="218" w:lineRule="exact"/>
        <w:rPr>
          <w:sz w:val="20"/>
          <w:szCs w:val="20"/>
          <w:color w:val="auto"/>
        </w:rPr>
      </w:pPr>
    </w:p>
    <w:p>
      <w:pPr>
        <w:ind w:left="1720" w:right="1779" w:firstLine="244"/>
        <w:spacing w:after="0" w:line="260" w:lineRule="auto"/>
        <w:rPr>
          <w:sz w:val="20"/>
          <w:szCs w:val="20"/>
          <w:color w:val="auto"/>
        </w:rPr>
      </w:pPr>
      <w:r>
        <w:rPr>
          <w:rFonts w:ascii="Times New Roman" w:cs="Times New Roman" w:eastAsia="Times New Roman" w:hAnsi="Times New Roman"/>
          <w:sz w:val="12"/>
          <w:szCs w:val="12"/>
          <w:color w:val="auto"/>
        </w:rPr>
        <w:t>In addition, Weatherford Ireland and Weatherford Bermuda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79" w:lineRule="exact"/>
        <w:rPr>
          <w:sz w:val="20"/>
          <w:szCs w:val="20"/>
          <w:color w:val="auto"/>
        </w:rPr>
      </w:pPr>
    </w:p>
    <w:p>
      <w:pPr>
        <w:ind w:left="1720" w:right="2079" w:firstLine="244"/>
        <w:spacing w:after="0" w:line="290" w:lineRule="auto"/>
        <w:rPr>
          <w:sz w:val="20"/>
          <w:szCs w:val="20"/>
          <w:color w:val="auto"/>
        </w:rPr>
      </w:pPr>
      <w:r>
        <w:rPr>
          <w:rFonts w:ascii="Times New Roman" w:cs="Times New Roman" w:eastAsia="Times New Roman" w:hAnsi="Times New Roman"/>
          <w:sz w:val="12"/>
          <w:szCs w:val="12"/>
          <w:color w:val="auto"/>
        </w:rPr>
        <w:t>As permitted by Irish law, Weatherford Ireland has also taken out directors’ and officers’ liability insurance.</w:t>
      </w:r>
    </w:p>
    <w:p>
      <w:pPr>
        <w:spacing w:after="0" w:line="10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Bermuda</w:t>
      </w:r>
    </w:p>
    <w:p>
      <w:pPr>
        <w:spacing w:after="0" w:line="111" w:lineRule="exact"/>
        <w:rPr>
          <w:sz w:val="20"/>
          <w:szCs w:val="20"/>
          <w:color w:val="auto"/>
        </w:rPr>
      </w:pPr>
    </w:p>
    <w:p>
      <w:pPr>
        <w:ind w:left="1720" w:right="1799" w:firstLine="244"/>
        <w:spacing w:after="0" w:line="258" w:lineRule="auto"/>
        <w:rPr>
          <w:sz w:val="20"/>
          <w:szCs w:val="20"/>
          <w:color w:val="auto"/>
        </w:rPr>
      </w:pPr>
      <w:r>
        <w:rPr>
          <w:rFonts w:ascii="Times New Roman" w:cs="Times New Roman" w:eastAsia="Times New Roman" w:hAnsi="Times New Roman"/>
          <w:sz w:val="12"/>
          <w:szCs w:val="12"/>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217" w:lineRule="exact"/>
        <w:rPr>
          <w:sz w:val="20"/>
          <w:szCs w:val="20"/>
          <w:color w:val="auto"/>
        </w:rPr>
      </w:pPr>
    </w:p>
    <w:p>
      <w:pPr>
        <w:ind w:left="1720" w:right="1799" w:firstLine="244"/>
        <w:spacing w:after="0" w:line="261" w:lineRule="auto"/>
        <w:rPr>
          <w:sz w:val="20"/>
          <w:szCs w:val="20"/>
          <w:color w:val="auto"/>
        </w:rPr>
      </w:pPr>
      <w:r>
        <w:rPr>
          <w:rFonts w:ascii="Times New Roman" w:cs="Times New Roman" w:eastAsia="Times New Roman" w:hAnsi="Times New Roman"/>
          <w:sz w:val="12"/>
          <w:szCs w:val="12"/>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5" w:name="page36"/>
    <w:bookmarkEnd w:id="35"/>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1720" w:right="1759" w:firstLine="244"/>
        <w:spacing w:after="0" w:line="259" w:lineRule="auto"/>
        <w:rPr>
          <w:sz w:val="20"/>
          <w:szCs w:val="20"/>
          <w:color w:val="auto"/>
        </w:rPr>
      </w:pPr>
      <w:r>
        <w:rPr>
          <w:rFonts w:ascii="Times New Roman" w:cs="Times New Roman" w:eastAsia="Times New Roman" w:hAnsi="Times New Roman"/>
          <w:sz w:val="12"/>
          <w:szCs w:val="12"/>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227" w:lineRule="exact"/>
        <w:rPr>
          <w:sz w:val="20"/>
          <w:szCs w:val="20"/>
          <w:color w:val="auto"/>
        </w:rPr>
      </w:pPr>
    </w:p>
    <w:p>
      <w:pPr>
        <w:ind w:left="1720" w:right="1739" w:firstLine="244"/>
        <w:spacing w:after="0" w:line="263" w:lineRule="auto"/>
        <w:rPr>
          <w:sz w:val="20"/>
          <w:szCs w:val="20"/>
          <w:color w:val="auto"/>
        </w:rPr>
      </w:pPr>
      <w:r>
        <w:rPr>
          <w:rFonts w:ascii="Times New Roman" w:cs="Times New Roman" w:eastAsia="Times New Roman" w:hAnsi="Times New Roman"/>
          <w:sz w:val="12"/>
          <w:szCs w:val="12"/>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Delaware</w:t>
      </w:r>
    </w:p>
    <w:p>
      <w:pPr>
        <w:spacing w:after="0" w:line="111" w:lineRule="exact"/>
        <w:rPr>
          <w:sz w:val="20"/>
          <w:szCs w:val="20"/>
          <w:color w:val="auto"/>
        </w:rPr>
      </w:pPr>
    </w:p>
    <w:p>
      <w:pPr>
        <w:ind w:left="1720" w:right="1739" w:firstLine="244"/>
        <w:spacing w:after="0" w:line="260" w:lineRule="auto"/>
        <w:rPr>
          <w:sz w:val="20"/>
          <w:szCs w:val="20"/>
          <w:color w:val="auto"/>
        </w:rPr>
      </w:pPr>
      <w:r>
        <w:rPr>
          <w:rFonts w:ascii="Times New Roman" w:cs="Times New Roman" w:eastAsia="Times New Roman" w:hAnsi="Times New Roman"/>
          <w:sz w:val="12"/>
          <w:szCs w:val="12"/>
          <w:color w:val="auto"/>
        </w:rPr>
        <w:t>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70" w:lineRule="exact"/>
        <w:rPr>
          <w:sz w:val="20"/>
          <w:szCs w:val="20"/>
          <w:color w:val="auto"/>
        </w:rPr>
      </w:pPr>
    </w:p>
    <w:p>
      <w:pPr>
        <w:ind w:left="1720" w:right="1759" w:firstLine="244"/>
        <w:spacing w:after="0" w:line="257" w:lineRule="auto"/>
        <w:rPr>
          <w:sz w:val="20"/>
          <w:szCs w:val="20"/>
          <w:color w:val="auto"/>
        </w:rPr>
      </w:pPr>
      <w:r>
        <w:rPr>
          <w:rFonts w:ascii="Times New Roman" w:cs="Times New Roman" w:eastAsia="Times New Roman" w:hAnsi="Times New Roman"/>
          <w:sz w:val="12"/>
          <w:szCs w:val="12"/>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Weatherford Delaware (unless a court of competent jurisdiction determines otherwise). The indemnification agreements also provide that Weatherford Delaware must pay all reasonable expenses incurred in advance of a final disposition.</w:t>
      </w:r>
    </w:p>
    <w:p>
      <w:pPr>
        <w:spacing w:after="0" w:line="231" w:lineRule="exact"/>
        <w:rPr>
          <w:sz w:val="20"/>
          <w:szCs w:val="20"/>
          <w:color w:val="auto"/>
        </w:rPr>
      </w:pPr>
    </w:p>
    <w:p>
      <w:pPr>
        <w:ind w:left="1720" w:right="1759" w:firstLine="244"/>
        <w:spacing w:after="0" w:line="263" w:lineRule="auto"/>
        <w:rPr>
          <w:sz w:val="20"/>
          <w:szCs w:val="20"/>
          <w:color w:val="auto"/>
        </w:rPr>
      </w:pPr>
      <w:r>
        <w:rPr>
          <w:rFonts w:ascii="Times New Roman" w:cs="Times New Roman" w:eastAsia="Times New Roman" w:hAnsi="Times New Roman"/>
          <w:sz w:val="12"/>
          <w:szCs w:val="12"/>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6" w:name="page37"/>
    <w:bookmarkEnd w:id="36"/>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16.</w:t>
            </w: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Exhibits.</w:t>
            </w:r>
          </w:p>
        </w:tc>
        <w:tc>
          <w:tcPr>
            <w:tcW w:w="40" w:type="dxa"/>
            <w:vAlign w:val="bottom"/>
          </w:tcPr>
          <w:p>
            <w:pPr>
              <w:spacing w:after="0"/>
              <w:rPr>
                <w:sz w:val="13"/>
                <w:szCs w:val="13"/>
                <w:color w:val="auto"/>
              </w:rPr>
            </w:pPr>
          </w:p>
        </w:tc>
      </w:tr>
      <w:tr>
        <w:trPr>
          <w:trHeight w:val="240"/>
        </w:trPr>
        <w:tc>
          <w:tcPr>
            <w:tcW w:w="2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5"/>
        </w:trPr>
        <w:tc>
          <w:tcPr>
            <w:tcW w:w="50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Number </w:t>
            </w:r>
            <w:r>
              <w:rPr>
                <w:rFonts w:ascii="Times New Roman" w:cs="Times New Roman" w:eastAsia="Times New Roman" w:hAnsi="Times New Roman"/>
                <w:sz w:val="16"/>
                <w:szCs w:val="16"/>
                <w:b w:val="1"/>
                <w:bCs w:val="1"/>
                <w:color w:val="auto"/>
                <w:vertAlign w:val="subscript"/>
              </w:rPr>
              <w:t>​ ​</w:t>
            </w:r>
          </w:p>
        </w:tc>
        <w:tc>
          <w:tcPr>
            <w:tcW w:w="5060" w:type="dxa"/>
            <w:vAlign w:val="bottom"/>
          </w:tcPr>
          <w:p>
            <w:pPr>
              <w:ind w:left="23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4"/>
        </w:trPr>
        <w:tc>
          <w:tcPr>
            <w:tcW w:w="20" w:type="dxa"/>
            <w:vAlign w:val="bottom"/>
          </w:tcPr>
          <w:p>
            <w:pPr>
              <w:spacing w:after="0"/>
              <w:rPr>
                <w:sz w:val="14"/>
                <w:szCs w:val="14"/>
                <w:color w:val="auto"/>
              </w:rPr>
            </w:pPr>
          </w:p>
        </w:tc>
        <w:tc>
          <w:tcPr>
            <w:tcW w:w="34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1.1</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of Underwriting Agreement*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bl>
    <w:p>
      <w:pPr>
        <w:ind w:left="1880" w:right="1699" w:hanging="484"/>
        <w:spacing w:after="0" w:line="267" w:lineRule="auto"/>
        <w:tabs>
          <w:tab w:leader="none" w:pos="186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w:t>
        <w:tab/>
        <w:t>4.1 ​ ​</w:t>
      </w:r>
      <w:hyperlink r:id="rId65">
        <w:r>
          <w:rPr>
            <w:rFonts w:ascii="Times New Roman" w:cs="Times New Roman" w:eastAsia="Times New Roman" w:hAnsi="Times New Roman"/>
            <w:sz w:val="12"/>
            <w:szCs w:val="12"/>
            <w:u w:val="single" w:color="auto"/>
            <w:color w:val="0000EE"/>
          </w:rPr>
          <w:t>Amended and Restated Memorandum and Articles of Association of Weatherford International plc,</w:t>
        </w:r>
      </w:hyperlink>
      <w:r>
        <w:rPr>
          <w:rFonts w:ascii="Times New Roman" w:cs="Times New Roman" w:eastAsia="Times New Roman" w:hAnsi="Times New Roman"/>
          <w:sz w:val="12"/>
          <w:szCs w:val="12"/>
          <w:color w:val="auto"/>
        </w:rPr>
        <w:t xml:space="preserve">​ </w:t>
      </w:r>
      <w:hyperlink r:id="rId65">
        <w:r>
          <w:rPr>
            <w:rFonts w:ascii="Times New Roman" w:cs="Times New Roman" w:eastAsia="Times New Roman" w:hAnsi="Times New Roman"/>
            <w:sz w:val="12"/>
            <w:szCs w:val="12"/>
            <w:u w:val="single" w:color="auto"/>
            <w:color w:val="0000EE"/>
          </w:rPr>
          <w:t>(incorporated by reference to Exhibit 3.1 to Weatherford International plc’s Current Report on</w:t>
        </w:r>
      </w:hyperlink>
      <w:r>
        <w:rPr>
          <w:rFonts w:ascii="Times New Roman" w:cs="Times New Roman" w:eastAsia="Times New Roman" w:hAnsi="Times New Roman"/>
          <w:sz w:val="12"/>
          <w:szCs w:val="12"/>
          <w:u w:val="single" w:color="auto"/>
          <w:color w:val="0000EE"/>
        </w:rPr>
        <w:t xml:space="preserve"> </w:t>
      </w:r>
      <w:hyperlink r:id="rId65">
        <w:r>
          <w:rPr>
            <w:rFonts w:ascii="Times New Roman" w:cs="Times New Roman" w:eastAsia="Times New Roman" w:hAnsi="Times New Roman"/>
            <w:sz w:val="12"/>
            <w:szCs w:val="12"/>
            <w:u w:val="single" w:color="auto"/>
            <w:color w:val="0000EE"/>
          </w:rPr>
          <w:t>Form 8-K (File No. 1-36504) filed December 18, 2019)</w:t>
        </w:r>
      </w:hyperlink>
    </w:p>
    <w:p>
      <w:pPr>
        <w:spacing w:after="0" w:line="1" w:lineRule="exact"/>
        <w:rPr>
          <w:rFonts w:ascii="Times New Roman" w:cs="Times New Roman" w:eastAsia="Times New Roman" w:hAnsi="Times New Roman"/>
          <w:sz w:val="12"/>
          <w:szCs w:val="12"/>
          <w:color w:val="auto"/>
        </w:rPr>
      </w:pPr>
    </w:p>
    <w:tbl>
      <w:tblPr>
        <w:tblLayout w:type="fixed"/>
        <w:tblInd w:w="1720" w:type="dxa"/>
        <w:tblCellMar>
          <w:top w:w="0" w:type="dxa"/>
          <w:left w:w="0" w:type="dxa"/>
          <w:bottom w:w="0" w:type="dxa"/>
          <w:right w:w="0" w:type="dxa"/>
        </w:tblCellMar>
      </w:tblPr>
      <w:tr>
        <w:trPr>
          <w:trHeight w:val="150"/>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66">
              <w:r>
                <w:rPr>
                  <w:rFonts w:ascii="Times New Roman" w:cs="Times New Roman" w:eastAsia="Times New Roman" w:hAnsi="Times New Roman"/>
                  <w:sz w:val="12"/>
                  <w:szCs w:val="12"/>
                  <w:color w:val="0000EE"/>
                </w:rPr>
                <w:t>Memorandum of Association of Weatherford International Ltd., a Bermuda exempted company</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20" w:type="dxa"/>
            <w:vAlign w:val="bottom"/>
            <w:tcBorders>
              <w:bottom w:val="single" w:sz="8" w:color="0000EE"/>
            </w:tcBorders>
            <w:gridSpan w:val="15"/>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(incorporated by reference to Annex II to the proxy statement/prospectus included in Amendment</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gridSpan w:val="16"/>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No. 1 to the Registration Statement on Form S-4 of Weatherford International Ltd. (File No. 333-</w:t>
              </w:r>
            </w:hyperlink>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Borders>
              <w:top w:val="single" w:sz="8" w:color="0000EE"/>
              <w:bottom w:val="single" w:sz="8" w:color="0000EE"/>
            </w:tcBorders>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85644) filed May 22, 2002)</w:t>
              </w:r>
            </w:hyperlink>
          </w:p>
        </w:tc>
        <w:tc>
          <w:tcPr>
            <w:tcW w:w="3560" w:type="dxa"/>
            <w:vAlign w:val="bottom"/>
            <w:tcBorders>
              <w:top w:val="single" w:sz="8" w:color="0000EE"/>
            </w:tcBorders>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66">
              <w:r>
                <w:rPr>
                  <w:rFonts w:ascii="Times New Roman" w:cs="Times New Roman" w:eastAsia="Times New Roman" w:hAnsi="Times New Roman"/>
                  <w:sz w:val="12"/>
                  <w:szCs w:val="12"/>
                  <w:color w:val="0000EE"/>
                </w:rPr>
                <w:t>Certificate of Deposit of Memorandum of Increase of Share Capital of Weatherford International</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60" w:type="dxa"/>
            <w:vAlign w:val="bottom"/>
            <w:tcBorders>
              <w:top w:val="single" w:sz="8" w:color="0000EE"/>
            </w:tcBorders>
            <w:gridSpan w:val="12"/>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Ltd., a Bermuda exempted company (incorporated by reference to Annex II to the proxy</w:t>
              </w:r>
            </w:hyperlink>
          </w:p>
        </w:tc>
        <w:tc>
          <w:tcPr>
            <w:tcW w:w="80" w:type="dxa"/>
            <w:vAlign w:val="bottom"/>
            <w:gridSpan w:val="4"/>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0" w:type="dxa"/>
            <w:vAlign w:val="bottom"/>
            <w:tcBorders>
              <w:bottom w:val="single" w:sz="8" w:color="0000EE"/>
            </w:tcBorders>
            <w:gridSpan w:val="14"/>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statement/prospectus included in Amendment No. 1 to the Registration Statement on Form S-4 of</w:t>
              </w:r>
            </w:hyperlink>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80" w:type="dxa"/>
            <w:vAlign w:val="bottom"/>
            <w:tcBorders>
              <w:bottom w:val="single" w:sz="8" w:color="0000EE"/>
            </w:tcBorders>
            <w:gridSpan w:val="3"/>
          </w:tcPr>
          <w:p>
            <w:pPr>
              <w:spacing w:after="0" w:line="126" w:lineRule="exact"/>
              <w:rPr>
                <w:rFonts w:ascii="Times New Roman" w:cs="Times New Roman" w:eastAsia="Times New Roman" w:hAnsi="Times New Roman"/>
                <w:sz w:val="12"/>
                <w:szCs w:val="12"/>
                <w:color w:val="0000EE"/>
              </w:rPr>
            </w:pPr>
            <w:hyperlink r:id="rId66">
              <w:r>
                <w:rPr>
                  <w:rFonts w:ascii="Times New Roman" w:cs="Times New Roman" w:eastAsia="Times New Roman" w:hAnsi="Times New Roman"/>
                  <w:sz w:val="12"/>
                  <w:szCs w:val="12"/>
                  <w:color w:val="0000EE"/>
                </w:rPr>
                <w:t>Weatherford International Ltd. (File No. 333-85644), filed May 22, 2002)</w:t>
              </w:r>
            </w:hyperlink>
          </w:p>
        </w:tc>
        <w:tc>
          <w:tcPr>
            <w:tcW w:w="1260" w:type="dxa"/>
            <w:vAlign w:val="bottom"/>
            <w:gridSpan w:val="13"/>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67">
              <w:r>
                <w:rPr>
                  <w:rFonts w:ascii="Times New Roman" w:cs="Times New Roman" w:eastAsia="Times New Roman" w:hAnsi="Times New Roman"/>
                  <w:sz w:val="12"/>
                  <w:szCs w:val="12"/>
                  <w:color w:val="0000EE"/>
                </w:rPr>
                <w:t>Bye-Laws of Weatherford International Ltd., a Bermuda exempted company, as amended on</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tcBorders>
              <w:bottom w:val="single" w:sz="8" w:color="0000EE"/>
            </w:tcBorders>
            <w:gridSpan w:val="16"/>
          </w:tcPr>
          <w:p>
            <w:pPr>
              <w:spacing w:after="0" w:line="126" w:lineRule="exact"/>
              <w:rPr>
                <w:rFonts w:ascii="Times New Roman" w:cs="Times New Roman" w:eastAsia="Times New Roman" w:hAnsi="Times New Roman"/>
                <w:sz w:val="12"/>
                <w:szCs w:val="12"/>
                <w:color w:val="0000EE"/>
              </w:rPr>
            </w:pPr>
            <w:hyperlink r:id="rId67">
              <w:r>
                <w:rPr>
                  <w:rFonts w:ascii="Times New Roman" w:cs="Times New Roman" w:eastAsia="Times New Roman" w:hAnsi="Times New Roman"/>
                  <w:sz w:val="12"/>
                  <w:szCs w:val="12"/>
                  <w:color w:val="0000EE"/>
                </w:rPr>
                <w:t>May 10, 2016 (incorporated by reference to Exhibit 3.4 to the Registration Statement on Form S-3</w:t>
              </w:r>
            </w:hyperlink>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60" w:type="dxa"/>
            <w:vAlign w:val="bottom"/>
            <w:tcBorders>
              <w:bottom w:val="single" w:sz="8" w:color="0000EE"/>
            </w:tcBorders>
            <w:gridSpan w:val="5"/>
          </w:tcPr>
          <w:p>
            <w:pPr>
              <w:spacing w:after="0" w:line="126" w:lineRule="exact"/>
              <w:rPr>
                <w:rFonts w:ascii="Times New Roman" w:cs="Times New Roman" w:eastAsia="Times New Roman" w:hAnsi="Times New Roman"/>
                <w:sz w:val="12"/>
                <w:szCs w:val="12"/>
                <w:color w:val="0000EE"/>
              </w:rPr>
            </w:pPr>
            <w:hyperlink r:id="rId67">
              <w:r>
                <w:rPr>
                  <w:rFonts w:ascii="Times New Roman" w:cs="Times New Roman" w:eastAsia="Times New Roman" w:hAnsi="Times New Roman"/>
                  <w:sz w:val="12"/>
                  <w:szCs w:val="12"/>
                  <w:color w:val="0000EE"/>
                </w:rPr>
                <w:t>of Weatherford International plc (File No. 333-216034), filed February 13, 2017)</w:t>
              </w:r>
            </w:hyperlink>
          </w:p>
        </w:tc>
        <w:tc>
          <w:tcPr>
            <w:tcW w:w="880" w:type="dxa"/>
            <w:vAlign w:val="bottom"/>
            <w:gridSpan w:val="11"/>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68">
              <w:r>
                <w:rPr>
                  <w:rFonts w:ascii="Times New Roman" w:cs="Times New Roman" w:eastAsia="Times New Roman" w:hAnsi="Times New Roman"/>
                  <w:sz w:val="12"/>
                  <w:szCs w:val="12"/>
                  <w:color w:val="0000EE"/>
                </w:rPr>
                <w:t>Certificate of Assistant Secretary of Weatherford International Ltd., a Bermuda exempted</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900" w:type="dxa"/>
            <w:vAlign w:val="bottom"/>
            <w:tcBorders>
              <w:bottom w:val="single" w:sz="8" w:color="0000EE"/>
            </w:tcBorders>
            <w:gridSpan w:val="11"/>
          </w:tcPr>
          <w:p>
            <w:pPr>
              <w:spacing w:after="0" w:line="126" w:lineRule="exact"/>
              <w:rPr>
                <w:rFonts w:ascii="Times New Roman" w:cs="Times New Roman" w:eastAsia="Times New Roman" w:hAnsi="Times New Roman"/>
                <w:sz w:val="12"/>
                <w:szCs w:val="12"/>
                <w:color w:val="0000EE"/>
              </w:rPr>
            </w:pPr>
            <w:hyperlink r:id="rId68">
              <w:r>
                <w:rPr>
                  <w:rFonts w:ascii="Times New Roman" w:cs="Times New Roman" w:eastAsia="Times New Roman" w:hAnsi="Times New Roman"/>
                  <w:sz w:val="12"/>
                  <w:szCs w:val="12"/>
                  <w:color w:val="0000EE"/>
                </w:rPr>
                <w:t>company, as to the adoption of a resolution increasing authorized share capital (incorporated by</w:t>
              </w:r>
            </w:hyperlink>
          </w:p>
        </w:tc>
        <w:tc>
          <w:tcPr>
            <w:tcW w:w="140" w:type="dxa"/>
            <w:vAlign w:val="bottom"/>
            <w:gridSpan w:val="5"/>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40" w:type="dxa"/>
            <w:vAlign w:val="bottom"/>
            <w:tcBorders>
              <w:bottom w:val="single" w:sz="8" w:color="0000EE"/>
            </w:tcBorders>
            <w:gridSpan w:val="16"/>
          </w:tcPr>
          <w:p>
            <w:pPr>
              <w:spacing w:after="0" w:line="126" w:lineRule="exact"/>
              <w:rPr>
                <w:rFonts w:ascii="Times New Roman" w:cs="Times New Roman" w:eastAsia="Times New Roman" w:hAnsi="Times New Roman"/>
                <w:sz w:val="12"/>
                <w:szCs w:val="12"/>
                <w:color w:val="0000EE"/>
              </w:rPr>
            </w:pPr>
            <w:hyperlink r:id="rId68">
              <w:r>
                <w:rPr>
                  <w:rFonts w:ascii="Times New Roman" w:cs="Times New Roman" w:eastAsia="Times New Roman" w:hAnsi="Times New Roman"/>
                  <w:sz w:val="12"/>
                  <w:szCs w:val="12"/>
                  <w:color w:val="0000EE"/>
                </w:rPr>
                <w:t>reference to Exhibit 4.1 to the Current Report on Form 8-K of Weatherford International Ltd. (File</w:t>
              </w:r>
            </w:hyperlink>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tcBorders>
              <w:bottom w:val="single" w:sz="8" w:color="0000EE"/>
            </w:tcBorders>
            <w:gridSpan w:val="2"/>
          </w:tcPr>
          <w:p>
            <w:pPr>
              <w:spacing w:after="0" w:line="126" w:lineRule="exact"/>
              <w:rPr>
                <w:rFonts w:ascii="Times New Roman" w:cs="Times New Roman" w:eastAsia="Times New Roman" w:hAnsi="Times New Roman"/>
                <w:sz w:val="12"/>
                <w:szCs w:val="12"/>
                <w:color w:val="0000EE"/>
              </w:rPr>
            </w:pPr>
            <w:hyperlink r:id="rId68">
              <w:r>
                <w:rPr>
                  <w:rFonts w:ascii="Times New Roman" w:cs="Times New Roman" w:eastAsia="Times New Roman" w:hAnsi="Times New Roman"/>
                  <w:sz w:val="12"/>
                  <w:szCs w:val="12"/>
                  <w:color w:val="0000EE"/>
                </w:rPr>
                <w:t>No. 1-31339), filed May 15, 2006)</w:t>
              </w:r>
            </w:hyperlink>
          </w:p>
        </w:tc>
        <w:tc>
          <w:tcPr>
            <w:tcW w:w="3260" w:type="dxa"/>
            <w:vAlign w:val="bottom"/>
            <w:gridSpan w:val="14"/>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69">
              <w:r>
                <w:rPr>
                  <w:rFonts w:ascii="Times New Roman" w:cs="Times New Roman" w:eastAsia="Times New Roman" w:hAnsi="Times New Roman"/>
                  <w:sz w:val="12"/>
                  <w:szCs w:val="12"/>
                  <w:color w:val="0000EE"/>
                </w:rPr>
                <w:t>Certificate of Formation of Weatherford International, LLC, a Delaware limited liability company</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40" w:type="dxa"/>
            <w:vAlign w:val="bottom"/>
            <w:tcBorders>
              <w:top w:val="single" w:sz="8" w:color="0000EE"/>
              <w:bottom w:val="single" w:sz="8" w:color="0000EE"/>
            </w:tcBorders>
            <w:gridSpan w:val="6"/>
          </w:tcPr>
          <w:p>
            <w:pPr>
              <w:spacing w:after="0" w:line="126" w:lineRule="exact"/>
              <w:rPr>
                <w:rFonts w:ascii="Times New Roman" w:cs="Times New Roman" w:eastAsia="Times New Roman" w:hAnsi="Times New Roman"/>
                <w:sz w:val="12"/>
                <w:szCs w:val="12"/>
                <w:color w:val="0000EE"/>
              </w:rPr>
            </w:pPr>
            <w:hyperlink r:id="rId69">
              <w:r>
                <w:rPr>
                  <w:rFonts w:ascii="Times New Roman" w:cs="Times New Roman" w:eastAsia="Times New Roman" w:hAnsi="Times New Roman"/>
                  <w:sz w:val="12"/>
                  <w:szCs w:val="12"/>
                  <w:color w:val="0000EE"/>
                </w:rPr>
                <w:t>(incorporated by reference to Exhibit 4.7 to the Registration Statement on Form S-3 of</w:t>
              </w:r>
            </w:hyperlink>
          </w:p>
        </w:tc>
        <w:tc>
          <w:tcPr>
            <w:tcW w:w="580" w:type="dxa"/>
            <w:vAlign w:val="bottom"/>
            <w:tcBorders>
              <w:top w:val="single" w:sz="8" w:color="0000EE"/>
            </w:tcBorders>
            <w:gridSpan w:val="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80" w:type="dxa"/>
            <w:vAlign w:val="bottom"/>
            <w:tcBorders>
              <w:bottom w:val="single" w:sz="8" w:color="0000EE"/>
            </w:tcBorders>
            <w:gridSpan w:val="4"/>
          </w:tcPr>
          <w:p>
            <w:pPr>
              <w:spacing w:after="0" w:line="126" w:lineRule="exact"/>
              <w:rPr>
                <w:rFonts w:ascii="Times New Roman" w:cs="Times New Roman" w:eastAsia="Times New Roman" w:hAnsi="Times New Roman"/>
                <w:sz w:val="12"/>
                <w:szCs w:val="12"/>
                <w:color w:val="0000EE"/>
              </w:rPr>
            </w:pPr>
            <w:hyperlink r:id="rId69">
              <w:r>
                <w:rPr>
                  <w:rFonts w:ascii="Times New Roman" w:cs="Times New Roman" w:eastAsia="Times New Roman" w:hAnsi="Times New Roman"/>
                  <w:sz w:val="12"/>
                  <w:szCs w:val="12"/>
                  <w:color w:val="0000EE"/>
                </w:rPr>
                <w:t>Weatherford International Ltd. (File No. 333-194431), filed March 7, 2014)</w:t>
              </w:r>
            </w:hyperlink>
          </w:p>
        </w:tc>
        <w:tc>
          <w:tcPr>
            <w:tcW w:w="1160" w:type="dxa"/>
            <w:vAlign w:val="bottom"/>
            <w:gridSpan w:val="12"/>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5180" w:type="dxa"/>
            <w:vAlign w:val="bottom"/>
            <w:gridSpan w:val="17"/>
          </w:tcPr>
          <w:p>
            <w:pPr>
              <w:ind w:left="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hyperlink r:id="rId70">
              <w:r>
                <w:rPr>
                  <w:rFonts w:ascii="Times New Roman" w:cs="Times New Roman" w:eastAsia="Times New Roman" w:hAnsi="Times New Roman"/>
                  <w:sz w:val="12"/>
                  <w:szCs w:val="12"/>
                  <w:color w:val="0000EE"/>
                </w:rPr>
                <w:t>Limited Liability Company Agreement of Weatherford International, LLC, a Delaware limited</w:t>
              </w:r>
            </w:hyperlink>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740" w:type="dxa"/>
            <w:vAlign w:val="bottom"/>
            <w:tcBorders>
              <w:top w:val="single" w:sz="8" w:color="0000EE"/>
              <w:bottom w:val="single" w:sz="8" w:color="0000EE"/>
            </w:tcBorders>
            <w:gridSpan w:val="9"/>
          </w:tcPr>
          <w:p>
            <w:pPr>
              <w:spacing w:after="0" w:line="126" w:lineRule="exact"/>
              <w:rPr>
                <w:rFonts w:ascii="Times New Roman" w:cs="Times New Roman" w:eastAsia="Times New Roman" w:hAnsi="Times New Roman"/>
                <w:sz w:val="12"/>
                <w:szCs w:val="12"/>
                <w:color w:val="0000EE"/>
              </w:rPr>
            </w:pPr>
            <w:hyperlink r:id="rId70">
              <w:r>
                <w:rPr>
                  <w:rFonts w:ascii="Times New Roman" w:cs="Times New Roman" w:eastAsia="Times New Roman" w:hAnsi="Times New Roman"/>
                  <w:sz w:val="12"/>
                  <w:szCs w:val="12"/>
                  <w:color w:val="0000EE"/>
                </w:rPr>
                <w:t>liability company (incorporated by reference to Exhibit 4.8 to the Registration Statement on</w:t>
              </w:r>
            </w:hyperlink>
          </w:p>
        </w:tc>
        <w:tc>
          <w:tcPr>
            <w:tcW w:w="140" w:type="dxa"/>
            <w:vAlign w:val="bottom"/>
            <w:tcBorders>
              <w:top w:val="single" w:sz="8" w:color="0000EE"/>
            </w:tcBorders>
          </w:tcPr>
          <w:p>
            <w:pPr>
              <w:spacing w:after="0"/>
              <w:rPr>
                <w:sz w:val="10"/>
                <w:szCs w:val="10"/>
                <w:color w:val="auto"/>
              </w:rPr>
            </w:pPr>
          </w:p>
        </w:tc>
        <w:tc>
          <w:tcPr>
            <w:tcW w:w="160" w:type="dxa"/>
            <w:vAlign w:val="bottom"/>
            <w:gridSpan w:val="6"/>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580" w:type="dxa"/>
            <w:vAlign w:val="bottom"/>
            <w:tcBorders>
              <w:bottom w:val="single" w:sz="8" w:color="0000EE"/>
            </w:tcBorders>
            <w:gridSpan w:val="8"/>
          </w:tcPr>
          <w:p>
            <w:pPr>
              <w:spacing w:after="0" w:line="126" w:lineRule="exact"/>
              <w:rPr>
                <w:rFonts w:ascii="Times New Roman" w:cs="Times New Roman" w:eastAsia="Times New Roman" w:hAnsi="Times New Roman"/>
                <w:sz w:val="12"/>
                <w:szCs w:val="12"/>
                <w:color w:val="0000EE"/>
              </w:rPr>
            </w:pPr>
            <w:hyperlink r:id="rId70">
              <w:r>
                <w:rPr>
                  <w:rFonts w:ascii="Times New Roman" w:cs="Times New Roman" w:eastAsia="Times New Roman" w:hAnsi="Times New Roman"/>
                  <w:sz w:val="12"/>
                  <w:szCs w:val="12"/>
                  <w:color w:val="0000EE"/>
                </w:rPr>
                <w:t>Form S-3 of Weatherford International Ltd. (File No. 333-194431), filed March 7, 2014)</w:t>
              </w:r>
            </w:hyperlink>
          </w:p>
        </w:tc>
        <w:tc>
          <w:tcPr>
            <w:tcW w:w="460" w:type="dxa"/>
            <w:vAlign w:val="bottom"/>
            <w:gridSpan w:val="8"/>
          </w:tcPr>
          <w:p>
            <w:pPr>
              <w:spacing w:after="0"/>
              <w:rPr>
                <w:sz w:val="10"/>
                <w:szCs w:val="10"/>
                <w:color w:val="auto"/>
              </w:rPr>
            </w:pPr>
          </w:p>
        </w:tc>
        <w:tc>
          <w:tcPr>
            <w:tcW w:w="80" w:type="dxa"/>
            <w:vAlign w:val="bottom"/>
          </w:tcPr>
          <w:p>
            <w:pPr>
              <w:spacing w:after="0"/>
              <w:rPr>
                <w:sz w:val="10"/>
                <w:szCs w:val="10"/>
                <w:color w:val="auto"/>
              </w:rPr>
            </w:pPr>
          </w:p>
        </w:tc>
      </w:tr>
      <w:tr>
        <w:trPr>
          <w:trHeight w:val="163"/>
        </w:trPr>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5180" w:type="dxa"/>
            <w:vAlign w:val="bottom"/>
            <w:gridSpan w:val="17"/>
          </w:tcPr>
          <w:p>
            <w:pPr>
              <w:ind w:left="4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color w:val="0000EE"/>
              </w:rPr>
              <w:t>Form of Indenture among Weatherford International plc, Weatherford International Ltd.,</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580" w:type="dxa"/>
            <w:vAlign w:val="bottom"/>
            <w:tcBorders>
              <w:bottom w:val="single" w:sz="8" w:color="0000EE"/>
            </w:tcBorders>
            <w:gridSpan w:val="8"/>
          </w:tcPr>
          <w:p>
            <w:pPr>
              <w:spacing w:after="0" w:line="126" w:lineRule="exact"/>
              <w:rPr>
                <w:sz w:val="20"/>
                <w:szCs w:val="20"/>
                <w:color w:val="auto"/>
              </w:rPr>
            </w:pPr>
            <w:r>
              <w:rPr>
                <w:rFonts w:ascii="Times New Roman" w:cs="Times New Roman" w:eastAsia="Times New Roman" w:hAnsi="Times New Roman"/>
                <w:sz w:val="12"/>
                <w:szCs w:val="12"/>
                <w:color w:val="0000EE"/>
              </w:rPr>
              <w:t>Weatherford International, LLC, and Deutsche Bank Trust Company Americas, as trustee</w:t>
            </w:r>
          </w:p>
        </w:tc>
        <w:tc>
          <w:tcPr>
            <w:tcW w:w="460" w:type="dxa"/>
            <w:vAlign w:val="bottom"/>
            <w:gridSpan w:val="8"/>
          </w:tcPr>
          <w:p>
            <w:pPr>
              <w:spacing w:after="0"/>
              <w:rPr>
                <w:sz w:val="10"/>
                <w:szCs w:val="10"/>
                <w:color w:val="auto"/>
              </w:rPr>
            </w:pPr>
          </w:p>
        </w:tc>
        <w:tc>
          <w:tcPr>
            <w:tcW w:w="80" w:type="dxa"/>
            <w:vAlign w:val="bottom"/>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9019"/>
          </w:cols>
          <w:pgMar w:left="1440" w:top="106" w:right="1440" w:bottom="1440" w:gutter="0" w:footer="0" w:header="0"/>
        </w:sectPr>
      </w:pPr>
    </w:p>
    <w:p>
      <w:pPr>
        <w:ind w:left="1880" w:hanging="158"/>
        <w:spacing w:after="0" w:line="207" w:lineRule="auto"/>
        <w:tabs>
          <w:tab w:leader="none" w:pos="188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u w:val="single" w:color="auto"/>
          <w:color w:val="0000EE"/>
        </w:rPr>
        <w:t>Form of Debt Security (included as part of Exhibit 4.8)</w:t>
      </w:r>
    </w:p>
    <w:p>
      <w:pPr>
        <w:spacing w:after="0" w:line="1" w:lineRule="exact"/>
        <w:rPr>
          <w:rFonts w:ascii="Times New Roman" w:cs="Times New Roman" w:eastAsia="Times New Roman" w:hAnsi="Times New Roman"/>
          <w:sz w:val="24"/>
          <w:szCs w:val="24"/>
          <w:color w:val="auto"/>
          <w:vertAlign w:val="superscript"/>
        </w:rPr>
      </w:pPr>
    </w:p>
    <w:p>
      <w:pPr>
        <w:ind w:left="1840" w:hanging="118"/>
        <w:spacing w:after="0" w:line="180" w:lineRule="auto"/>
        <w:tabs>
          <w:tab w:leader="none" w:pos="184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0"/>
          <w:szCs w:val="10"/>
          <w:color w:val="auto"/>
        </w:rPr>
        <w:t xml:space="preserve">4.10 </w:t>
      </w:r>
      <w:r>
        <w:rPr>
          <w:rFonts w:ascii="Times New Roman" w:cs="Times New Roman" w:eastAsia="Times New Roman" w:hAnsi="Times New Roman"/>
          <w:sz w:val="19"/>
          <w:szCs w:val="19"/>
          <w:color w:val="auto"/>
          <w:vertAlign w:val="superscript"/>
        </w:rPr>
        <w:t>​ ​</w:t>
      </w:r>
      <w:r>
        <w:rPr>
          <w:rFonts w:ascii="Times New Roman" w:cs="Times New Roman" w:eastAsia="Times New Roman" w:hAnsi="Times New Roman"/>
          <w:sz w:val="10"/>
          <w:szCs w:val="10"/>
          <w:u w:val="single" w:color="auto"/>
          <w:color w:val="0000EE"/>
        </w:rPr>
        <w:t>Form of Guarantee (included as part of Exhibit 4.8)</w:t>
      </w:r>
    </w:p>
    <w:p>
      <w:pPr>
        <w:ind w:left="2200" w:hanging="478"/>
        <w:spacing w:after="0" w:line="253" w:lineRule="auto"/>
        <w:tabs>
          <w:tab w:leader="none" w:pos="1841"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4.11 ​ ​Form of Purchase Contract Agreement relating to Share Purchase Contracts and Share Purchase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9" w:lineRule="exact"/>
        <w:rPr>
          <w:sz w:val="20"/>
          <w:szCs w:val="20"/>
          <w:color w:val="auto"/>
        </w:rPr>
      </w:pPr>
    </w:p>
    <w:p>
      <w:pPr>
        <w:sectPr>
          <w:pgSz w:w="11900" w:h="16838" w:orient="portrait"/>
          <w:cols w:equalWidth="0" w:num="2">
            <w:col w:w="7100" w:space="180"/>
            <w:col w:w="1739"/>
          </w:cols>
          <w:pgMar w:left="1440" w:top="106" w:right="1440" w:bottom="1440" w:gutter="0" w:footer="0" w:header="0"/>
          <w:type w:val="continuous"/>
        </w:sectPr>
      </w:pPr>
    </w:p>
    <w:tbl>
      <w:tblPr>
        <w:tblLayout w:type="fixed"/>
        <w:tblInd w:w="1720" w:type="dxa"/>
        <w:tblCellMar>
          <w:top w:w="0" w:type="dxa"/>
          <w:left w:w="0" w:type="dxa"/>
          <w:bottom w:w="0" w:type="dxa"/>
          <w:right w:w="0" w:type="dxa"/>
        </w:tblCellMar>
      </w:tblPr>
      <w:tr>
        <w:trPr>
          <w:trHeight w:val="276"/>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5140" w:type="dxa"/>
            <w:vAlign w:val="bottom"/>
            <w:gridSpan w:val="11"/>
          </w:tcPr>
          <w:p>
            <w:pPr>
              <w:ind w:left="20"/>
              <w:spacing w:after="0"/>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Form of Pledge Agreement for Share Purchase Contracts and Share Purchase Units*</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5140" w:type="dxa"/>
            <w:vAlign w:val="bottom"/>
            <w:gridSpan w:val="11"/>
          </w:tcPr>
          <w:p>
            <w:pPr>
              <w:ind w:left="20"/>
              <w:spacing w:after="0" w:line="174"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1"/>
                <w:szCs w:val="11"/>
                <w:color w:val="auto"/>
              </w:rPr>
              <w:t>Form of Option Agreement*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5140" w:type="dxa"/>
            <w:vAlign w:val="bottom"/>
            <w:gridSpan w:val="11"/>
          </w:tcPr>
          <w:p>
            <w:pPr>
              <w:ind w:left="20"/>
              <w:spacing w:after="0" w:line="174"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1"/>
                <w:szCs w:val="11"/>
                <w:color w:val="auto"/>
              </w:rPr>
              <w:t>Form of Warrant Agreement*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5140" w:type="dxa"/>
            <w:vAlign w:val="bottom"/>
            <w:gridSpan w:val="11"/>
          </w:tcPr>
          <w:p>
            <w:pPr>
              <w:ind w:left="20"/>
              <w:spacing w:after="0" w:line="169" w:lineRule="exact"/>
              <w:rPr>
                <w:sz w:val="20"/>
                <w:szCs w:val="20"/>
                <w:color w:val="auto"/>
              </w:rPr>
            </w:pPr>
            <w:r>
              <w:rPr>
                <w:rFonts w:ascii="Times New Roman" w:cs="Times New Roman" w:eastAsia="Times New Roman" w:hAnsi="Times New Roman"/>
                <w:sz w:val="19"/>
                <w:szCs w:val="19"/>
                <w:color w:val="000000"/>
                <w:vertAlign w:val="superscript"/>
              </w:rPr>
              <w:t>​ ​</w:t>
            </w:r>
            <w:r>
              <w:rPr>
                <w:rFonts w:ascii="Times New Roman" w:cs="Times New Roman" w:eastAsia="Times New Roman" w:hAnsi="Times New Roman"/>
                <w:sz w:val="10"/>
                <w:szCs w:val="10"/>
                <w:color w:val="0000EE"/>
              </w:rPr>
              <w:t>Opinion of King &amp; Spalding LLP</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rPr>
              <w:t>Opinion of Matheson</w:t>
            </w:r>
          </w:p>
        </w:tc>
        <w:tc>
          <w:tcPr>
            <w:tcW w:w="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Opinion of Conyers</w:t>
            </w:r>
          </w:p>
        </w:tc>
        <w:tc>
          <w:tcPr>
            <w:tcW w:w="1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rPr>
              <w:t>Dill &amp; Pearman Limited</w:t>
            </w:r>
          </w:p>
        </w:tc>
        <w:tc>
          <w:tcPr>
            <w:tcW w:w="2720" w:type="dxa"/>
            <w:vAlign w:val="bottom"/>
            <w:gridSpan w:val="5"/>
          </w:tcPr>
          <w:p>
            <w:pPr>
              <w:spacing w:after="0"/>
              <w:rPr>
                <w:sz w:val="13"/>
                <w:szCs w:val="1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5140" w:type="dxa"/>
            <w:vAlign w:val="bottom"/>
            <w:gridSpan w:val="11"/>
          </w:tcPr>
          <w:p>
            <w:pPr>
              <w:ind w:left="20"/>
              <w:spacing w:after="0" w:line="163" w:lineRule="exact"/>
              <w:rPr>
                <w:sz w:val="20"/>
                <w:szCs w:val="20"/>
                <w:color w:val="auto"/>
              </w:rPr>
            </w:pPr>
            <w:r>
              <w:rPr>
                <w:rFonts w:ascii="Times New Roman" w:cs="Times New Roman" w:eastAsia="Times New Roman" w:hAnsi="Times New Roman"/>
                <w:sz w:val="18"/>
                <w:szCs w:val="18"/>
                <w:color w:val="000000"/>
                <w:vertAlign w:val="superscript"/>
              </w:rPr>
              <w:t>​ ​</w:t>
            </w:r>
            <w:r>
              <w:rPr>
                <w:rFonts w:ascii="Times New Roman" w:cs="Times New Roman" w:eastAsia="Times New Roman" w:hAnsi="Times New Roman"/>
                <w:sz w:val="10"/>
                <w:szCs w:val="10"/>
                <w:color w:val="0000EE"/>
              </w:rPr>
              <w:t>Consent of King &amp; Spalding LLP (included in its opinion filed as Exhibit 5.1)</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5140" w:type="dxa"/>
            <w:vAlign w:val="bottom"/>
            <w:gridSpan w:val="11"/>
          </w:tcPr>
          <w:p>
            <w:pPr>
              <w:ind w:left="20"/>
              <w:spacing w:after="0" w:line="163" w:lineRule="exact"/>
              <w:rPr>
                <w:sz w:val="20"/>
                <w:szCs w:val="20"/>
                <w:color w:val="auto"/>
              </w:rPr>
            </w:pPr>
            <w:r>
              <w:rPr>
                <w:rFonts w:ascii="Times New Roman" w:cs="Times New Roman" w:eastAsia="Times New Roman" w:hAnsi="Times New Roman"/>
                <w:sz w:val="18"/>
                <w:szCs w:val="18"/>
                <w:color w:val="000000"/>
                <w:vertAlign w:val="superscript"/>
              </w:rPr>
              <w:t>​ ​</w:t>
            </w:r>
            <w:r>
              <w:rPr>
                <w:rFonts w:ascii="Times New Roman" w:cs="Times New Roman" w:eastAsia="Times New Roman" w:hAnsi="Times New Roman"/>
                <w:sz w:val="10"/>
                <w:szCs w:val="10"/>
                <w:color w:val="0000EE"/>
              </w:rPr>
              <w:t>Consent of Matheson (included in its opinion filed as exhibit 5.2 hereto)</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5140" w:type="dxa"/>
            <w:vAlign w:val="bottom"/>
            <w:gridSpan w:val="11"/>
          </w:tcPr>
          <w:p>
            <w:pPr>
              <w:ind w:left="20"/>
              <w:spacing w:after="0" w:line="163" w:lineRule="exact"/>
              <w:rPr>
                <w:sz w:val="20"/>
                <w:szCs w:val="20"/>
                <w:color w:val="auto"/>
              </w:rPr>
            </w:pPr>
            <w:r>
              <w:rPr>
                <w:rFonts w:ascii="Times New Roman" w:cs="Times New Roman" w:eastAsia="Times New Roman" w:hAnsi="Times New Roman"/>
                <w:sz w:val="18"/>
                <w:szCs w:val="18"/>
                <w:color w:val="000000"/>
                <w:vertAlign w:val="superscript"/>
              </w:rPr>
              <w:t>​ ​</w:t>
            </w:r>
            <w:r>
              <w:rPr>
                <w:rFonts w:ascii="Times New Roman" w:cs="Times New Roman" w:eastAsia="Times New Roman" w:hAnsi="Times New Roman"/>
                <w:sz w:val="10"/>
                <w:szCs w:val="10"/>
                <w:color w:val="0000EE"/>
              </w:rPr>
              <w:t>Consent of Conyers Dill &amp; Pearman Limited (included in its opinion filed as Exhibit 5.3)</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5140" w:type="dxa"/>
            <w:vAlign w:val="bottom"/>
            <w:gridSpan w:val="11"/>
          </w:tcPr>
          <w:p>
            <w:pPr>
              <w:ind w:left="20"/>
              <w:spacing w:after="0" w:line="163" w:lineRule="exact"/>
              <w:rPr>
                <w:sz w:val="20"/>
                <w:szCs w:val="20"/>
                <w:color w:val="auto"/>
              </w:rPr>
            </w:pPr>
            <w:r>
              <w:rPr>
                <w:rFonts w:ascii="Times New Roman" w:cs="Times New Roman" w:eastAsia="Times New Roman" w:hAnsi="Times New Roman"/>
                <w:sz w:val="18"/>
                <w:szCs w:val="18"/>
                <w:color w:val="000000"/>
                <w:vertAlign w:val="superscript"/>
              </w:rPr>
              <w:t>​ ​</w:t>
            </w:r>
            <w:r>
              <w:rPr>
                <w:rFonts w:ascii="Times New Roman" w:cs="Times New Roman" w:eastAsia="Times New Roman" w:hAnsi="Times New Roman"/>
                <w:sz w:val="10"/>
                <w:szCs w:val="10"/>
                <w:color w:val="0000EE"/>
              </w:rPr>
              <w:t>Consent of KPMG LLP</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5140" w:type="dxa"/>
            <w:vAlign w:val="bottom"/>
            <w:gridSpan w:val="11"/>
          </w:tcPr>
          <w:p>
            <w:pPr>
              <w:ind w:left="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color w:val="0000EE"/>
              </w:rPr>
              <w:t>Power of Attorney for officers and directors of Weatherford International plc (included as part of</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0000EE"/>
              <w:bottom w:val="single" w:sz="8" w:color="0000EE"/>
            </w:tcBorders>
          </w:tcPr>
          <w:p>
            <w:pPr>
              <w:spacing w:after="0" w:line="126" w:lineRule="exact"/>
              <w:rPr>
                <w:sz w:val="20"/>
                <w:szCs w:val="20"/>
                <w:color w:val="auto"/>
              </w:rPr>
            </w:pPr>
            <w:r>
              <w:rPr>
                <w:rFonts w:ascii="Times New Roman" w:cs="Times New Roman" w:eastAsia="Times New Roman" w:hAnsi="Times New Roman"/>
                <w:sz w:val="12"/>
                <w:szCs w:val="12"/>
                <w:color w:val="0000EE"/>
              </w:rPr>
              <w:t>signature page)</w:t>
            </w:r>
          </w:p>
        </w:tc>
        <w:tc>
          <w:tcPr>
            <w:tcW w:w="4160" w:type="dxa"/>
            <w:vAlign w:val="bottom"/>
            <w:tcBorders>
              <w:top w:val="single" w:sz="8" w:color="0000EE"/>
            </w:tcBorders>
            <w:gridSpan w:val="8"/>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5140" w:type="dxa"/>
            <w:vAlign w:val="bottom"/>
            <w:gridSpan w:val="11"/>
          </w:tcPr>
          <w:p>
            <w:pPr>
              <w:ind w:left="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color w:val="0000EE"/>
              </w:rPr>
              <w:t>Power of Attorney for officers and directors of Weatherford International Ltd. (included as part of</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0000EE"/>
              <w:bottom w:val="single" w:sz="8" w:color="0000EE"/>
            </w:tcBorders>
          </w:tcPr>
          <w:p>
            <w:pPr>
              <w:spacing w:after="0" w:line="126" w:lineRule="exact"/>
              <w:rPr>
                <w:sz w:val="20"/>
                <w:szCs w:val="20"/>
                <w:color w:val="auto"/>
              </w:rPr>
            </w:pPr>
            <w:r>
              <w:rPr>
                <w:rFonts w:ascii="Times New Roman" w:cs="Times New Roman" w:eastAsia="Times New Roman" w:hAnsi="Times New Roman"/>
                <w:sz w:val="12"/>
                <w:szCs w:val="12"/>
                <w:color w:val="0000EE"/>
              </w:rPr>
              <w:t>signature page)</w:t>
            </w:r>
          </w:p>
        </w:tc>
        <w:tc>
          <w:tcPr>
            <w:tcW w:w="4220" w:type="dxa"/>
            <w:vAlign w:val="bottom"/>
            <w:tcBorders>
              <w:top w:val="single" w:sz="8" w:color="0000EE"/>
            </w:tcBorders>
            <w:gridSpan w:val="9"/>
          </w:tcPr>
          <w:p>
            <w:pPr>
              <w:spacing w:after="0"/>
              <w:rPr>
                <w:sz w:val="10"/>
                <w:szCs w:val="10"/>
                <w:color w:val="auto"/>
              </w:rPr>
            </w:pPr>
          </w:p>
        </w:tc>
        <w:tc>
          <w:tcPr>
            <w:tcW w:w="100" w:type="dxa"/>
            <w:vAlign w:val="bottom"/>
          </w:tcPr>
          <w:p>
            <w:pPr>
              <w:spacing w:after="0"/>
              <w:rPr>
                <w:sz w:val="10"/>
                <w:szCs w:val="10"/>
                <w:color w:val="auto"/>
              </w:rPr>
            </w:pPr>
          </w:p>
        </w:tc>
      </w:tr>
    </w:tbl>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37" w:name="page38"/>
    <w:bookmarkEnd w:id="37"/>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b w:val="1"/>
          <w:bCs w:val="1"/>
          <w:color w:val="auto"/>
        </w:rPr>
        <w:t>Exhibit</w:t>
      </w:r>
    </w:p>
    <w:p>
      <w:pPr>
        <w:jc w:val="right"/>
        <w:ind w:right="1699"/>
        <w:spacing w:after="0" w:line="182" w:lineRule="auto"/>
        <w:tabs>
          <w:tab w:leader="none" w:pos="2780" w:val="left"/>
          <w:tab w:leader="none" w:pos="2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Number </w:t>
      </w:r>
      <w:r>
        <w:rPr>
          <w:rFonts w:ascii="Times New Roman" w:cs="Times New Roman" w:eastAsia="Times New Roman" w:hAnsi="Times New Roman"/>
          <w:sz w:val="16"/>
          <w:szCs w:val="16"/>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0</wp:posOffset>
            </wp:positionV>
            <wp:extent cx="35331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3533140" cy="571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15" w:lineRule="exact"/>
        <w:rPr>
          <w:sz w:val="20"/>
          <w:szCs w:val="20"/>
          <w:color w:val="auto"/>
        </w:rPr>
      </w:pPr>
    </w:p>
    <w:p>
      <w:pPr>
        <w:ind w:left="1820" w:hanging="98"/>
        <w:spacing w:after="0"/>
        <w:tabs>
          <w:tab w:leader="none" w:pos="18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24.3</w:t>
      </w:r>
    </w:p>
    <w:p>
      <w:pPr>
        <w:spacing w:after="0" w:line="191" w:lineRule="exact"/>
        <w:rPr>
          <w:rFonts w:ascii="Times New Roman" w:cs="Times New Roman" w:eastAsia="Times New Roman" w:hAnsi="Times New Roman"/>
          <w:sz w:val="12"/>
          <w:szCs w:val="12"/>
          <w:color w:val="auto"/>
        </w:rPr>
      </w:pPr>
    </w:p>
    <w:p>
      <w:pPr>
        <w:ind w:left="1820" w:hanging="98"/>
        <w:spacing w:after="0"/>
        <w:tabs>
          <w:tab w:leader="none" w:pos="18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25.1</w:t>
      </w:r>
    </w:p>
    <w:p>
      <w:pPr>
        <w:spacing w:after="0" w:line="20" w:lineRule="exact"/>
        <w:rPr>
          <w:sz w:val="20"/>
          <w:szCs w:val="20"/>
          <w:color w:val="auto"/>
        </w:rPr>
      </w:pPr>
      <w:r>
        <w:rPr>
          <w:sz w:val="20"/>
          <w:szCs w:val="20"/>
          <w:color w:val="auto"/>
        </w:rPr>
        <w:br w:type="column"/>
      </w:r>
    </w:p>
    <w:p>
      <w:pPr>
        <w:ind w:right="1699" w:hanging="109"/>
        <w:spacing w:after="0" w:line="282" w:lineRule="auto"/>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Power of Attorney for officers and directors of Weatherford International, LLC (included as part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signature page)</w:t>
      </w:r>
    </w:p>
    <w:p>
      <w:pPr>
        <w:spacing w:after="0" w:line="1" w:lineRule="exact"/>
        <w:rPr>
          <w:sz w:val="20"/>
          <w:szCs w:val="20"/>
          <w:color w:val="auto"/>
        </w:rPr>
      </w:pPr>
    </w:p>
    <w:p>
      <w:pPr>
        <w:ind w:right="1699" w:hanging="109"/>
        <w:spacing w:after="0" w:line="281" w:lineRule="auto"/>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0000EE"/>
        </w:rPr>
        <w:t>Form T-1 Statement of Eligibility under the Trust Indenture Act of 1939, as amended, of Deutsche</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u w:val="single" w:color="auto"/>
          <w:color w:val="0000EE"/>
        </w:rPr>
        <w:t>Bank Trust Company Americas, as Trustee under the Indenture</w:t>
      </w:r>
    </w:p>
    <w:p>
      <w:pPr>
        <w:spacing w:after="0" w:line="1" w:lineRule="exact"/>
        <w:rPr>
          <w:sz w:val="20"/>
          <w:szCs w:val="20"/>
          <w:color w:val="auto"/>
        </w:rPr>
      </w:pPr>
    </w:p>
    <w:p>
      <w:pPr>
        <w:sectPr>
          <w:pgSz w:w="11900" w:h="16838" w:orient="portrait"/>
          <w:cols w:equalWidth="0" w:num="2">
            <w:col w:w="2040" w:space="160"/>
            <w:col w:w="6819"/>
          </w:cols>
          <w:pgMar w:left="1440" w:top="105" w:right="1440" w:bottom="1440" w:gutter="0" w:footer="0" w:header="0"/>
          <w:type w:val="continuous"/>
        </w:sectPr>
      </w:pPr>
    </w:p>
    <w:p>
      <w:pPr>
        <w:ind w:left="1720"/>
        <w:spacing w:after="0"/>
        <w:tabs>
          <w:tab w:leader="none" w:pos="2080" w:val="left"/>
          <w:tab w:leader="none" w:pos="7260" w:val="left"/>
        </w:tabs>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 xml:space="preserve"> 107</w:t>
      </w:r>
      <w:r>
        <w:rPr>
          <w:sz w:val="20"/>
          <w:szCs w:val="20"/>
          <w:color w:val="auto"/>
        </w:rPr>
        <w:tab/>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24"/>
          <w:szCs w:val="24"/>
          <w:u w:val="single" w:color="auto"/>
          <w:color w:val="0000EE"/>
        </w:rPr>
        <w:t>Calculation of Filing Fee Table</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45720</wp:posOffset>
            </wp:positionV>
            <wp:extent cx="83693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836930" cy="5715"/>
                    </a:xfrm>
                    <a:prstGeom prst="rect">
                      <a:avLst/>
                    </a:prstGeom>
                    <a:noFill/>
                  </pic:spPr>
                </pic:pic>
              </a:graphicData>
            </a:graphic>
          </wp:anchor>
        </w:drawing>
      </w:r>
    </w:p>
    <w:p>
      <w:pPr>
        <w:spacing w:after="0" w:line="149" w:lineRule="exact"/>
        <w:rPr>
          <w:sz w:val="20"/>
          <w:szCs w:val="20"/>
          <w:color w:val="auto"/>
        </w:rPr>
      </w:pPr>
    </w:p>
    <w:p>
      <w:pPr>
        <w:ind w:left="1960" w:right="1779" w:hanging="238"/>
        <w:spacing w:after="0" w:line="290" w:lineRule="auto"/>
        <w:tabs>
          <w:tab w:leader="none" w:pos="19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 or pursuant to a report filed pursuant to Section 13 or 15(d) of the Securities Exchange Act of 1934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8" w:name="page39"/>
    <w:bookmarkEnd w:id="38"/>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Item 17.  Undertakings.</w:t>
      </w:r>
    </w:p>
    <w:p>
      <w:pPr>
        <w:spacing w:after="0" w:line="1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2"/>
          <w:szCs w:val="12"/>
          <w:color w:val="auto"/>
        </w:rPr>
        <w:t>The undersigned registrants hereby undertake:</w:t>
      </w:r>
    </w:p>
    <w:p>
      <w:pPr>
        <w:spacing w:after="0" w:line="109" w:lineRule="exact"/>
        <w:rPr>
          <w:sz w:val="20"/>
          <w:szCs w:val="20"/>
          <w:color w:val="auto"/>
        </w:rPr>
      </w:pPr>
    </w:p>
    <w:p>
      <w:pPr>
        <w:ind w:left="2220" w:right="1839" w:hanging="254"/>
        <w:spacing w:after="0" w:line="290" w:lineRule="auto"/>
        <w:tabs>
          <w:tab w:leader="none" w:pos="22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during any period in which offers or sales are being made, a post-effective amendment to this registration statement:</w:t>
      </w:r>
    </w:p>
    <w:p>
      <w:pPr>
        <w:spacing w:after="0" w:line="60" w:lineRule="exact"/>
        <w:rPr>
          <w:rFonts w:ascii="Times New Roman" w:cs="Times New Roman" w:eastAsia="Times New Roman" w:hAnsi="Times New Roman"/>
          <w:sz w:val="12"/>
          <w:szCs w:val="12"/>
          <w:color w:val="auto"/>
        </w:rPr>
      </w:pPr>
    </w:p>
    <w:p>
      <w:pPr>
        <w:ind w:left="2460" w:hanging="250"/>
        <w:spacing w:after="0"/>
        <w:tabs>
          <w:tab w:leader="none" w:pos="246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prospectus required by Section 10(a)(3) of the Securities Act;</w:t>
      </w:r>
    </w:p>
    <w:p>
      <w:pPr>
        <w:spacing w:after="0" w:line="99" w:lineRule="exact"/>
        <w:rPr>
          <w:rFonts w:ascii="Times New Roman" w:cs="Times New Roman" w:eastAsia="Times New Roman" w:hAnsi="Times New Roman"/>
          <w:sz w:val="12"/>
          <w:szCs w:val="12"/>
          <w:color w:val="auto"/>
        </w:rPr>
      </w:pPr>
    </w:p>
    <w:p>
      <w:pPr>
        <w:ind w:left="2460" w:right="1819" w:hanging="250"/>
        <w:spacing w:after="0" w:line="258" w:lineRule="auto"/>
        <w:tabs>
          <w:tab w:leader="none" w:pos="246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price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2"/>
          <w:szCs w:val="12"/>
          <w:color w:val="auto"/>
        </w:rPr>
      </w:pPr>
    </w:p>
    <w:p>
      <w:pPr>
        <w:ind w:left="2460" w:right="1999" w:hanging="250"/>
        <w:spacing w:after="0" w:line="272" w:lineRule="auto"/>
        <w:tabs>
          <w:tab w:leader="none" w:pos="246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69" w:lineRule="exact"/>
        <w:rPr>
          <w:sz w:val="20"/>
          <w:szCs w:val="20"/>
          <w:color w:val="auto"/>
        </w:rPr>
      </w:pPr>
    </w:p>
    <w:p>
      <w:pPr>
        <w:ind w:left="1720" w:right="1799"/>
        <w:spacing w:after="0" w:line="264" w:lineRule="auto"/>
        <w:rPr>
          <w:sz w:val="20"/>
          <w:szCs w:val="20"/>
          <w:color w:val="auto"/>
        </w:rPr>
      </w:pPr>
      <w:r>
        <w:rPr>
          <w:rFonts w:ascii="Times New Roman" w:cs="Times New Roman" w:eastAsia="Times New Roman" w:hAnsi="Times New Roman"/>
          <w:sz w:val="12"/>
          <w:szCs w:val="12"/>
          <w:i w:val="1"/>
          <w:iCs w:val="1"/>
          <w:color w:val="auto"/>
        </w:rPr>
        <w:t xml:space="preserve">provided, however, </w:t>
      </w:r>
      <w:r>
        <w:rPr>
          <w:rFonts w:ascii="Times New Roman" w:cs="Times New Roman" w:eastAsia="Times New Roman" w:hAnsi="Times New Roman"/>
          <w:sz w:val="12"/>
          <w:szCs w:val="12"/>
          <w:color w:val="auto"/>
        </w:rPr>
        <w:t>that paragraphs (1)(i), (1)(ii) and (1)(iii) do not apply if the registration statement is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Form S-3 and the information required to be included in a post-effective amendment by those paragraphs is contained in reports filed with or furnished to the Commission by the registrants pursuant to Section 13 or Section 15(d) of the Exchange Act that are incorporated by reference in the registration statement, or is contained in a form of prospectus filed pursuant to Rule 424(b) that is part of the registration statement.</w:t>
      </w:r>
    </w:p>
    <w:p>
      <w:pPr>
        <w:spacing w:after="0" w:line="67" w:lineRule="exact"/>
        <w:rPr>
          <w:sz w:val="20"/>
          <w:szCs w:val="20"/>
          <w:color w:val="auto"/>
        </w:rPr>
      </w:pPr>
    </w:p>
    <w:p>
      <w:pPr>
        <w:ind w:left="2220" w:right="1859" w:hanging="254"/>
        <w:spacing w:after="0" w:line="266" w:lineRule="auto"/>
        <w:tabs>
          <w:tab w:leader="none" w:pos="22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Times New Roman" w:cs="Times New Roman" w:eastAsia="Times New Roman" w:hAnsi="Times New Roman"/>
          <w:sz w:val="12"/>
          <w:szCs w:val="12"/>
          <w:color w:val="auto"/>
        </w:rPr>
      </w:pPr>
    </w:p>
    <w:p>
      <w:pPr>
        <w:ind w:left="2220" w:right="1879" w:hanging="254"/>
        <w:spacing w:after="0" w:line="290" w:lineRule="auto"/>
        <w:tabs>
          <w:tab w:leader="none" w:pos="22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remove from registration by means of a post-effective amendment any of the securities being registered which remain unsold at the termination of the offering.</w:t>
      </w:r>
    </w:p>
    <w:p>
      <w:pPr>
        <w:spacing w:after="0" w:line="60" w:lineRule="exact"/>
        <w:rPr>
          <w:rFonts w:ascii="Times New Roman" w:cs="Times New Roman" w:eastAsia="Times New Roman" w:hAnsi="Times New Roman"/>
          <w:sz w:val="12"/>
          <w:szCs w:val="12"/>
          <w:color w:val="auto"/>
        </w:rPr>
      </w:pPr>
    </w:p>
    <w:p>
      <w:pPr>
        <w:ind w:left="2220" w:hanging="254"/>
        <w:spacing w:after="0"/>
        <w:tabs>
          <w:tab w:leader="none" w:pos="22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under the Securities Act to any purchaser:</w:t>
      </w:r>
    </w:p>
    <w:p>
      <w:pPr>
        <w:spacing w:after="0" w:line="99" w:lineRule="exact"/>
        <w:rPr>
          <w:rFonts w:ascii="Times New Roman" w:cs="Times New Roman" w:eastAsia="Times New Roman" w:hAnsi="Times New Roman"/>
          <w:sz w:val="12"/>
          <w:szCs w:val="12"/>
          <w:color w:val="auto"/>
        </w:rPr>
      </w:pPr>
    </w:p>
    <w:p>
      <w:pPr>
        <w:ind w:left="2460" w:right="1779" w:hanging="250"/>
        <w:spacing w:after="0" w:line="272" w:lineRule="auto"/>
        <w:tabs>
          <w:tab w:leader="none" w:pos="24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70" w:lineRule="exact"/>
        <w:rPr>
          <w:rFonts w:ascii="Times New Roman" w:cs="Times New Roman" w:eastAsia="Times New Roman" w:hAnsi="Times New Roman"/>
          <w:sz w:val="12"/>
          <w:szCs w:val="12"/>
          <w:color w:val="auto"/>
        </w:rPr>
      </w:pPr>
    </w:p>
    <w:p>
      <w:pPr>
        <w:ind w:left="2460" w:right="1759" w:hanging="250"/>
        <w:spacing w:after="0" w:line="257" w:lineRule="auto"/>
        <w:tabs>
          <w:tab w:leader="none" w:pos="24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statement or prospectus that was part of the registration statement or made in any such</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document immediately prior to such effective date.</w:t>
      </w:r>
    </w:p>
    <w:p>
      <w:pPr>
        <w:spacing w:after="0" w:line="97" w:lineRule="exact"/>
        <w:rPr>
          <w:sz w:val="20"/>
          <w:szCs w:val="20"/>
          <w:color w:val="auto"/>
        </w:rPr>
      </w:pPr>
    </w:p>
    <w:p>
      <w:pPr>
        <w:ind w:left="2320" w:right="1739" w:hanging="354"/>
        <w:spacing w:after="0" w:line="260" w:lineRule="auto"/>
        <w:tabs>
          <w:tab w:leader="none" w:pos="2149"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each of the undersigned registrants offering securities will be a seller to the purchaser and will be considered to offer or sell such securities to such purchaser:</w:t>
      </w:r>
    </w:p>
    <w:p>
      <w:pPr>
        <w:spacing w:after="0" w:line="79" w:lineRule="exact"/>
        <w:rPr>
          <w:rFonts w:ascii="Times New Roman" w:cs="Times New Roman" w:eastAsia="Times New Roman" w:hAnsi="Times New Roman"/>
          <w:sz w:val="12"/>
          <w:szCs w:val="12"/>
          <w:color w:val="auto"/>
        </w:rPr>
      </w:pPr>
    </w:p>
    <w:p>
      <w:pPr>
        <w:ind w:left="2460" w:right="2119" w:hanging="250"/>
        <w:spacing w:after="0" w:line="290" w:lineRule="auto"/>
        <w:tabs>
          <w:tab w:leader="none" w:pos="246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the undersigned registrants relating to the offering required to be filed pursuant to Rule 424;</w:t>
      </w:r>
    </w:p>
    <w:p>
      <w:pPr>
        <w:spacing w:after="0" w:line="50" w:lineRule="exact"/>
        <w:rPr>
          <w:rFonts w:ascii="Times New Roman" w:cs="Times New Roman" w:eastAsia="Times New Roman" w:hAnsi="Times New Roman"/>
          <w:sz w:val="12"/>
          <w:szCs w:val="12"/>
          <w:color w:val="auto"/>
        </w:rPr>
      </w:pPr>
    </w:p>
    <w:p>
      <w:pPr>
        <w:ind w:left="2460" w:right="2319" w:hanging="250"/>
        <w:spacing w:after="0" w:line="290" w:lineRule="auto"/>
        <w:tabs>
          <w:tab w:leader="none" w:pos="246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free writing prospectus relating to the offering prepared by or on behalf of the undersigned registrants or used or referred to by the undersigned registrants;</w:t>
      </w:r>
    </w:p>
    <w:p>
      <w:pPr>
        <w:spacing w:after="0" w:line="60" w:lineRule="exact"/>
        <w:rPr>
          <w:rFonts w:ascii="Times New Roman" w:cs="Times New Roman" w:eastAsia="Times New Roman" w:hAnsi="Times New Roman"/>
          <w:sz w:val="12"/>
          <w:szCs w:val="12"/>
          <w:color w:val="auto"/>
        </w:rPr>
      </w:pPr>
    </w:p>
    <w:p>
      <w:pPr>
        <w:jc w:val="both"/>
        <w:ind w:left="2460" w:right="1879" w:hanging="250"/>
        <w:spacing w:after="0" w:line="272" w:lineRule="auto"/>
        <w:tabs>
          <w:tab w:leader="none" w:pos="246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70" w:lineRule="exact"/>
        <w:rPr>
          <w:rFonts w:ascii="Times New Roman" w:cs="Times New Roman" w:eastAsia="Times New Roman" w:hAnsi="Times New Roman"/>
          <w:sz w:val="12"/>
          <w:szCs w:val="12"/>
          <w:color w:val="auto"/>
        </w:rPr>
      </w:pPr>
    </w:p>
    <w:p>
      <w:pPr>
        <w:ind w:left="2460" w:right="1799" w:hanging="250"/>
        <w:spacing w:after="0" w:line="290" w:lineRule="auto"/>
        <w:tabs>
          <w:tab w:leader="none" w:pos="246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communication that is an offer in the offering made by the undersigned registrants to the purchaser.</w:t>
      </w:r>
    </w:p>
    <w:p>
      <w:pPr>
        <w:spacing w:after="0" w:line="51" w:lineRule="exact"/>
        <w:rPr>
          <w:sz w:val="20"/>
          <w:szCs w:val="20"/>
          <w:color w:val="auto"/>
        </w:rPr>
      </w:pPr>
    </w:p>
    <w:p>
      <w:pPr>
        <w:ind w:left="2220" w:right="1779" w:hanging="254"/>
        <w:spacing w:after="0" w:line="260" w:lineRule="auto"/>
        <w:tabs>
          <w:tab w:leader="none" w:pos="22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registrants hereby undertake that, for purposes of determining any liability under the Securities Act, each filing of Weatherford International plc’s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2"/>
          <w:szCs w:val="12"/>
          <w:color w:val="auto"/>
        </w:rPr>
      </w:pPr>
    </w:p>
    <w:p>
      <w:pPr>
        <w:ind w:left="2220" w:right="1759" w:hanging="254"/>
        <w:spacing w:after="0" w:line="266" w:lineRule="auto"/>
        <w:tabs>
          <w:tab w:leader="none" w:pos="22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75" w:lineRule="exact"/>
        <w:rPr>
          <w:sz w:val="20"/>
          <w:szCs w:val="20"/>
          <w:color w:val="auto"/>
        </w:rPr>
      </w:pPr>
    </w:p>
    <w:p>
      <w:pPr>
        <w:ind w:left="1720" w:right="1739" w:firstLine="244"/>
        <w:spacing w:after="0" w:line="258"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appropriate registrants will, unless in the opinion of counsel the matter has been settled by controlling precedent, submit to a court of appropriate jurisdiction the question as to whether such indemnification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169545</wp:posOffset>
            </wp:positionV>
            <wp:extent cx="463359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 AND POWER OF ATTORNEY</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International plc</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(an Irish public limited company)</w:t>
      </w:r>
    </w:p>
    <w:p>
      <w:pPr>
        <w:spacing w:after="0" w:line="97" w:lineRule="exact"/>
        <w:rPr>
          <w:sz w:val="20"/>
          <w:szCs w:val="20"/>
          <w:color w:val="auto"/>
        </w:rPr>
      </w:pPr>
    </w:p>
    <w:p>
      <w:pPr>
        <w:ind w:left="1720" w:right="1759" w:firstLine="244"/>
        <w:spacing w:after="0" w:line="258"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Texas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35"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80" w:type="dxa"/>
            <w:vAlign w:val="bottom"/>
            <w:gridSpan w:val="2"/>
          </w:tcPr>
          <w:p>
            <w:pPr>
              <w:ind w:left="1640"/>
              <w:spacing w:after="0"/>
              <w:rPr>
                <w:sz w:val="20"/>
                <w:szCs w:val="20"/>
                <w:color w:val="auto"/>
              </w:rPr>
            </w:pPr>
            <w:r>
              <w:rPr>
                <w:rFonts w:ascii="Times New Roman" w:cs="Times New Roman" w:eastAsia="Times New Roman" w:hAnsi="Times New Roman"/>
                <w:sz w:val="12"/>
                <w:szCs w:val="12"/>
                <w:b w:val="1"/>
                <w:bCs w:val="1"/>
                <w:color w:val="auto"/>
              </w:rPr>
              <w:t>​ ​ WEATHERFORD INTERNATIONAL PLC</w:t>
            </w:r>
          </w:p>
        </w:tc>
        <w:tc>
          <w:tcPr>
            <w:tcW w:w="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9"/>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80" w:type="dxa"/>
            <w:vAlign w:val="bottom"/>
            <w:gridSpan w:val="2"/>
          </w:tcPr>
          <w:p>
            <w:pPr>
              <w:ind w:left="16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r>
      <w:tr>
        <w:trPr>
          <w:trHeight w:val="238"/>
        </w:trPr>
        <w:tc>
          <w:tcPr>
            <w:tcW w:w="1080" w:type="dxa"/>
            <w:vAlign w:val="bottom"/>
          </w:tcPr>
          <w:p>
            <w:pPr>
              <w:spacing w:after="0"/>
              <w:rPr>
                <w:sz w:val="20"/>
                <w:szCs w:val="20"/>
                <w:color w:val="auto"/>
              </w:rPr>
            </w:pPr>
          </w:p>
        </w:tc>
        <w:tc>
          <w:tcPr>
            <w:tcW w:w="4480" w:type="dxa"/>
            <w:vAlign w:val="bottom"/>
            <w:gridSpan w:val="2"/>
          </w:tcPr>
          <w:p>
            <w:pPr>
              <w:ind w:left="1780"/>
              <w:spacing w:after="0"/>
              <w:rPr>
                <w:sz w:val="20"/>
                <w:szCs w:val="20"/>
                <w:color w:val="auto"/>
              </w:rPr>
            </w:pPr>
            <w:r>
              <w:rPr>
                <w:rFonts w:ascii="Times New Roman" w:cs="Times New Roman" w:eastAsia="Times New Roman" w:hAnsi="Times New Roman"/>
                <w:sz w:val="12"/>
                <w:szCs w:val="12"/>
                <w:color w:val="auto"/>
              </w:rPr>
              <w:t>By: /s/ Girishchandra K. Saligram</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Girishchandra K. Saligram</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080" w:type="dxa"/>
            <w:vAlign w:val="bottom"/>
          </w:tcPr>
          <w:p>
            <w:pPr>
              <w:spacing w:after="0"/>
              <w:rPr>
                <w:sz w:val="24"/>
                <w:szCs w:val="24"/>
                <w:color w:val="auto"/>
              </w:rPr>
            </w:pPr>
          </w:p>
        </w:tc>
        <w:tc>
          <w:tcPr>
            <w:tcW w:w="4480" w:type="dxa"/>
            <w:vAlign w:val="bottom"/>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POWER OF ATTORNEY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88"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color w:val="auto"/>
        </w:rPr>
        <w:t>Each person whose signature appears below in their capacity as director or officer hereby appoints Girishchandra K. Saligram, Scott C. Weatherholt, and Christine M. Morrison,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00" w:lineRule="exact"/>
        <w:rPr>
          <w:sz w:val="20"/>
          <w:szCs w:val="20"/>
          <w:color w:val="auto"/>
        </w:rPr>
      </w:pPr>
    </w:p>
    <w:p>
      <w:pPr>
        <w:ind w:left="1720" w:right="1979" w:firstLine="244"/>
        <w:spacing w:after="0" w:line="273"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this registration statement and power of attorney have been signed by the following persons in the capacities listed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52" w:lineRule="exact"/>
        <w:rPr>
          <w:sz w:val="20"/>
          <w:szCs w:val="20"/>
          <w:color w:val="auto"/>
        </w:rPr>
      </w:pPr>
    </w:p>
    <w:tbl>
      <w:tblPr>
        <w:tblLayout w:type="fixed"/>
        <w:tblInd w:w="880" w:type="dxa"/>
        <w:tblCellMar>
          <w:top w:w="0" w:type="dxa"/>
          <w:left w:w="0" w:type="dxa"/>
          <w:bottom w:w="0" w:type="dxa"/>
          <w:right w:w="0" w:type="dxa"/>
        </w:tblCellMar>
      </w:tblPr>
      <w:tr>
        <w:trPr>
          <w:trHeight w:val="154"/>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0"/>
                <w:szCs w:val="10"/>
                <w:b w:val="1"/>
                <w:bCs w:val="1"/>
                <w:color w:val="auto"/>
              </w:rPr>
              <w:t>​</w:t>
            </w:r>
          </w:p>
        </w:tc>
        <w:tc>
          <w:tcPr>
            <w:tcW w:w="2340" w:type="dxa"/>
            <w:vAlign w:val="bottom"/>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780" w:type="dxa"/>
            <w:vAlign w:val="bottom"/>
          </w:tcPr>
          <w:p>
            <w:pPr>
              <w:ind w:left="130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tcBorders>
              <w:top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Borders>
              <w:top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rPr>
              <w:t>/s/ Girishchandra K. Saligram</w:t>
            </w:r>
          </w:p>
        </w:tc>
        <w:tc>
          <w:tcPr>
            <w:tcW w:w="1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Girishchandra K. Saligram</w:t>
            </w:r>
          </w:p>
        </w:tc>
        <w:tc>
          <w:tcPr>
            <w:tcW w:w="14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/s/ H. Keith Jennings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7"/>
        </w:trPr>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H. Keith Jennings</w:t>
            </w:r>
          </w:p>
        </w:tc>
        <w:tc>
          <w:tcPr>
            <w:tcW w:w="14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/s/ Desmond J. Mills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Senior Vice President and Chief Accounting Officer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7"/>
        </w:trPr>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(Principal Accounting Officer)</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rPr>
              <w:t>Desmond J. Mills</w:t>
            </w:r>
          </w:p>
        </w:tc>
        <w:tc>
          <w:tcPr>
            <w:tcW w:w="14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rPr>
              <w:t>/s/ Charles M. Sledge</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Chairman of the Board and Director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rPr>
              <w:t>Charles M. Sledge</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0"/>
        </w:trPr>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1" w:name="page42"/>
    <w:bookmarkEnd w:id="41"/>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880" w:type="dxa"/>
        <w:tblCellMar>
          <w:top w:w="0" w:type="dxa"/>
          <w:left w:w="0" w:type="dxa"/>
          <w:bottom w:w="0" w:type="dxa"/>
          <w:right w:w="0" w:type="dxa"/>
        </w:tblCellMar>
      </w:tblPr>
      <w:tr>
        <w:trPr>
          <w:trHeight w:val="145"/>
        </w:trPr>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0"/>
                <w:szCs w:val="10"/>
                <w:b w:val="1"/>
                <w:bCs w:val="1"/>
                <w:color w:val="auto"/>
              </w:rPr>
              <w:t>​</w:t>
            </w:r>
          </w:p>
        </w:tc>
        <w:tc>
          <w:tcPr>
            <w:tcW w:w="2320" w:type="dxa"/>
            <w:vAlign w:val="bottom"/>
          </w:tcPr>
          <w:p>
            <w:pPr>
              <w:jc w:val="center"/>
              <w:ind w:right="261"/>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780" w:type="dxa"/>
            <w:vAlign w:val="bottom"/>
          </w:tcPr>
          <w:p>
            <w:pPr>
              <w:ind w:left="130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2320" w:type="dxa"/>
            <w:vAlign w:val="bottom"/>
            <w:tcBorders>
              <w:top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Borders>
              <w:top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5"/>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auto"/>
              </w:rPr>
              <w:t>/s/ Benjamin C. Duster IV</w:t>
            </w:r>
          </w:p>
        </w:tc>
        <w:tc>
          <w:tcPr>
            <w:tcW w:w="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jc w:val="center"/>
              <w:ind w:right="281"/>
              <w:spacing w:after="0"/>
              <w:rPr>
                <w:sz w:val="20"/>
                <w:szCs w:val="20"/>
                <w:color w:val="auto"/>
              </w:rPr>
            </w:pPr>
            <w:r>
              <w:rPr>
                <w:rFonts w:ascii="Times New Roman" w:cs="Times New Roman" w:eastAsia="Times New Roman" w:hAnsi="Times New Roman"/>
                <w:sz w:val="12"/>
                <w:szCs w:val="12"/>
                <w:color w:val="auto"/>
              </w:rPr>
              <w:t>Benjamin C. Duster IV</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320" w:type="dxa"/>
            <w:vAlign w:val="bottom"/>
            <w:vMerge w:val="restart"/>
          </w:tcPr>
          <w:p>
            <w:pPr>
              <w:jc w:val="center"/>
              <w:ind w:right="281"/>
              <w:spacing w:after="0"/>
              <w:rPr>
                <w:sz w:val="20"/>
                <w:szCs w:val="20"/>
                <w:color w:val="auto"/>
              </w:rPr>
            </w:pPr>
            <w:r>
              <w:rPr>
                <w:rFonts w:ascii="Times New Roman" w:cs="Times New Roman" w:eastAsia="Times New Roman" w:hAnsi="Times New Roman"/>
                <w:sz w:val="12"/>
                <w:szCs w:val="12"/>
                <w:color w:val="auto"/>
              </w:rPr>
              <w:t>/s/ Neal P. Goldman</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auto"/>
              </w:rPr>
              <w:t>Neal P. Goldman</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320" w:type="dxa"/>
            <w:vAlign w:val="bottom"/>
            <w:vMerge w:val="restart"/>
          </w:tcPr>
          <w:p>
            <w:pPr>
              <w:jc w:val="center"/>
              <w:ind w:right="261"/>
              <w:spacing w:after="0"/>
              <w:rPr>
                <w:sz w:val="20"/>
                <w:szCs w:val="20"/>
                <w:color w:val="auto"/>
              </w:rPr>
            </w:pPr>
            <w:r>
              <w:rPr>
                <w:rFonts w:ascii="Times New Roman" w:cs="Times New Roman" w:eastAsia="Times New Roman" w:hAnsi="Times New Roman"/>
                <w:sz w:val="12"/>
                <w:szCs w:val="12"/>
                <w:color w:val="auto"/>
              </w:rPr>
              <w:t>/s/ Jacqueline C. Mutschler</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tcPr>
          <w:p>
            <w:pPr>
              <w:jc w:val="center"/>
              <w:ind w:right="261"/>
              <w:spacing w:after="0"/>
              <w:rPr>
                <w:sz w:val="20"/>
                <w:szCs w:val="20"/>
                <w:color w:val="auto"/>
              </w:rPr>
            </w:pPr>
            <w:r>
              <w:rPr>
                <w:rFonts w:ascii="Times New Roman" w:cs="Times New Roman" w:eastAsia="Times New Roman" w:hAnsi="Times New Roman"/>
                <w:sz w:val="12"/>
                <w:szCs w:val="12"/>
                <w:color w:val="auto"/>
              </w:rPr>
              <w:t>Jacqueline C. Mutschler</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28"/>
        </w:trPr>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OF AUTHORIZED REPRESENTATIVE OF THE REGISTRANT</w:t>
      </w:r>
    </w:p>
    <w:p>
      <w:pPr>
        <w:spacing w:after="0" w:line="111" w:lineRule="exact"/>
        <w:rPr>
          <w:sz w:val="20"/>
          <w:szCs w:val="20"/>
          <w:color w:val="auto"/>
        </w:rPr>
      </w:pPr>
    </w:p>
    <w:p>
      <w:pPr>
        <w:ind w:left="1720" w:right="1899" w:firstLine="244"/>
        <w:spacing w:after="0" w:line="272" w:lineRule="auto"/>
        <w:rPr>
          <w:sz w:val="20"/>
          <w:szCs w:val="20"/>
          <w:color w:val="auto"/>
        </w:rPr>
      </w:pPr>
      <w:r>
        <w:rPr>
          <w:rFonts w:ascii="Times New Roman" w:cs="Times New Roman" w:eastAsia="Times New Roman" w:hAnsi="Times New Roman"/>
          <w:sz w:val="12"/>
          <w:szCs w:val="12"/>
          <w:color w:val="auto"/>
        </w:rPr>
        <w:t>Pursuant to the requirements of Section 6(a) of the Securities Act of 1933, this registration statement has been signed by the following person solely in the capacity of the duly authorized representative of Weatherford International plc in the United States on the date indicated.</w:t>
      </w:r>
    </w:p>
    <w:p>
      <w:pPr>
        <w:spacing w:after="0" w:line="89" w:lineRule="exact"/>
        <w:rPr>
          <w:sz w:val="20"/>
          <w:szCs w:val="20"/>
          <w:color w:val="auto"/>
        </w:rPr>
      </w:pPr>
    </w:p>
    <w:p>
      <w:pPr>
        <w:jc w:val="both"/>
        <w:ind w:left="1720"/>
        <w:spacing w:after="0"/>
        <w:tabs>
          <w:tab w:leader="none" w:pos="2200" w:val="left"/>
          <w:tab w:leader="none" w:pos="3900" w:val="left"/>
          <w:tab w:leader="none" w:pos="6240" w:val="left"/>
          <w:tab w:leader="none" w:pos="814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/s/ Scott C. Weatherholt</w:t>
      </w:r>
      <w:r>
        <w:rPr>
          <w:sz w:val="20"/>
          <w:szCs w:val="20"/>
          <w:color w:val="auto"/>
        </w:rPr>
        <w:tab/>
      </w:r>
      <w:r>
        <w:rPr>
          <w:rFonts w:ascii="Times New Roman" w:cs="Times New Roman" w:eastAsia="Times New Roman" w:hAnsi="Times New Roman"/>
          <w:sz w:val="12"/>
          <w:szCs w:val="12"/>
          <w:color w:val="auto"/>
        </w:rPr>
        <w:t>​ ​ Authorized U.S. Representative</w:t>
      </w:r>
      <w:r>
        <w:rPr>
          <w:sz w:val="20"/>
          <w:szCs w:val="20"/>
          <w:color w:val="auto"/>
        </w:rPr>
        <w:tab/>
      </w:r>
      <w:r>
        <w:rPr>
          <w:rFonts w:ascii="Times New Roman" w:cs="Times New Roman" w:eastAsia="Times New Roman" w:hAnsi="Times New Roman"/>
          <w:sz w:val="12"/>
          <w:szCs w:val="12"/>
          <w:color w:val="auto"/>
        </w:rPr>
        <w:t>​ ​ June 15, 2022</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36830</wp:posOffset>
            </wp:positionV>
            <wp:extent cx="13944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6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2"/>
          <w:szCs w:val="12"/>
          <w:color w:val="auto"/>
        </w:rPr>
        <w:t>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4783455</wp:posOffset>
            </wp:positionV>
            <wp:extent cx="463359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463359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3" w:name="page44"/>
    <w:bookmarkEnd w:id="43"/>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 AND POWER OF ATTORNEY</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International Ltd.</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 Bermuda exempted company)</w:t>
      </w:r>
    </w:p>
    <w:p>
      <w:pPr>
        <w:spacing w:after="0" w:line="97" w:lineRule="exact"/>
        <w:rPr>
          <w:sz w:val="20"/>
          <w:szCs w:val="20"/>
          <w:color w:val="auto"/>
        </w:rPr>
      </w:pPr>
    </w:p>
    <w:p>
      <w:pPr>
        <w:ind w:left="1720" w:right="1779" w:firstLine="244"/>
        <w:spacing w:after="0" w:line="261"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60" w:type="dxa"/>
            <w:vAlign w:val="bottom"/>
            <w:gridSpan w:val="2"/>
          </w:tcPr>
          <w:p>
            <w:pPr>
              <w:ind w:left="1640"/>
              <w:spacing w:after="0"/>
              <w:rPr>
                <w:sz w:val="20"/>
                <w:szCs w:val="20"/>
                <w:color w:val="auto"/>
              </w:rPr>
            </w:pPr>
            <w:r>
              <w:rPr>
                <w:rFonts w:ascii="Times New Roman" w:cs="Times New Roman" w:eastAsia="Times New Roman" w:hAnsi="Times New Roman"/>
                <w:sz w:val="12"/>
                <w:szCs w:val="12"/>
                <w:b w:val="1"/>
                <w:bCs w:val="1"/>
                <w:color w:val="auto"/>
              </w:rPr>
              <w:t>​ ​ WEATHERFORD INTERNATIONAL LTD.</w:t>
            </w:r>
          </w:p>
        </w:tc>
        <w:tc>
          <w:tcPr>
            <w:tcW w:w="2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9"/>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60" w:type="dxa"/>
            <w:vAlign w:val="bottom"/>
            <w:gridSpan w:val="2"/>
          </w:tcPr>
          <w:p>
            <w:pPr>
              <w:ind w:left="164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r>
      <w:tr>
        <w:trPr>
          <w:trHeight w:val="238"/>
        </w:trPr>
        <w:tc>
          <w:tcPr>
            <w:tcW w:w="1080" w:type="dxa"/>
            <w:vAlign w:val="bottom"/>
          </w:tcPr>
          <w:p>
            <w:pPr>
              <w:spacing w:after="0"/>
              <w:rPr>
                <w:sz w:val="20"/>
                <w:szCs w:val="20"/>
                <w:color w:val="auto"/>
              </w:rPr>
            </w:pPr>
          </w:p>
        </w:tc>
        <w:tc>
          <w:tcPr>
            <w:tcW w:w="4260" w:type="dxa"/>
            <w:vAlign w:val="bottom"/>
            <w:gridSpan w:val="2"/>
          </w:tcPr>
          <w:p>
            <w:pPr>
              <w:ind w:left="1780"/>
              <w:spacing w:after="0"/>
              <w:rPr>
                <w:sz w:val="20"/>
                <w:szCs w:val="20"/>
                <w:color w:val="auto"/>
              </w:rPr>
            </w:pPr>
            <w:r>
              <w:rPr>
                <w:rFonts w:ascii="Times New Roman" w:cs="Times New Roman" w:eastAsia="Times New Roman" w:hAnsi="Times New Roman"/>
                <w:sz w:val="12"/>
                <w:szCs w:val="12"/>
                <w:color w:val="auto"/>
              </w:rPr>
              <w:t>By: /s/ H. Keith Jennings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H. Keith Jennings</w:t>
            </w:r>
          </w:p>
        </w:tc>
        <w:tc>
          <w:tcPr>
            <w:tcW w:w="2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Financial Officer</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080" w:type="dxa"/>
            <w:vAlign w:val="bottom"/>
          </w:tcPr>
          <w:p>
            <w:pPr>
              <w:spacing w:after="0"/>
              <w:rPr>
                <w:sz w:val="24"/>
                <w:szCs w:val="24"/>
                <w:color w:val="auto"/>
              </w:rPr>
            </w:pPr>
          </w:p>
        </w:tc>
        <w:tc>
          <w:tcPr>
            <w:tcW w:w="4260" w:type="dxa"/>
            <w:vAlign w:val="bottom"/>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POWER OF ATTORNEY</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88"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color w:val="auto"/>
        </w:rPr>
        <w:t>Each person whose signature appears below in their capacity as director or officer hereby appoints Scott C. Weatherholt, and Christine M. Morrison,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00" w:lineRule="exact"/>
        <w:rPr>
          <w:sz w:val="20"/>
          <w:szCs w:val="20"/>
          <w:color w:val="auto"/>
        </w:rPr>
      </w:pPr>
    </w:p>
    <w:p>
      <w:pPr>
        <w:jc w:val="both"/>
        <w:ind w:left="1720" w:right="1939" w:firstLine="244"/>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1933, this registration statement and power of attorney have been signed by the following persons in the capacities indicated below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27"/>
        </w:trPr>
        <w:tc>
          <w:tcPr>
            <w:tcW w:w="840" w:type="dxa"/>
            <w:vAlign w:val="bottom"/>
          </w:tcPr>
          <w:p>
            <w:pPr>
              <w:spacing w:after="0"/>
              <w:rPr>
                <w:sz w:val="11"/>
                <w:szCs w:val="1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40" w:type="dxa"/>
            <w:vAlign w:val="bottom"/>
          </w:tcPr>
          <w:p>
            <w:pPr>
              <w:spacing w:after="0"/>
              <w:rPr>
                <w:sz w:val="11"/>
                <w:szCs w:val="11"/>
                <w:color w:val="auto"/>
              </w:rPr>
            </w:pPr>
          </w:p>
        </w:tc>
        <w:tc>
          <w:tcPr>
            <w:tcW w:w="3640" w:type="dxa"/>
            <w:vAlign w:val="bottom"/>
            <w:gridSpan w:val="2"/>
          </w:tcPr>
          <w:p>
            <w:pPr>
              <w:ind w:left="130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0" w:type="dxa"/>
            <w:vAlign w:val="bottom"/>
          </w:tcPr>
          <w:p>
            <w:pPr>
              <w:spacing w:after="0"/>
              <w:rPr>
                <w:sz w:val="1"/>
                <w:szCs w:val="1"/>
                <w:color w:val="auto"/>
              </w:rPr>
            </w:pPr>
          </w:p>
        </w:tc>
      </w:tr>
      <w:tr>
        <w:trPr>
          <w:trHeight w:val="128"/>
        </w:trPr>
        <w:tc>
          <w:tcPr>
            <w:tcW w:w="3480" w:type="dxa"/>
            <w:vAlign w:val="bottom"/>
            <w:gridSpan w:val="2"/>
          </w:tcPr>
          <w:p>
            <w:pPr>
              <w:ind w:left="8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78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Borders>
              <w:top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H. Keith Jennings</w:t>
            </w:r>
          </w:p>
        </w:tc>
        <w:tc>
          <w:tcPr>
            <w:tcW w:w="1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President and Chief Financial Officer</w:t>
            </w: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(Principal Executive Officer and Principal Financial</w:t>
            </w: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H. Keith Jennings</w:t>
            </w:r>
          </w:p>
        </w:tc>
        <w:tc>
          <w:tcPr>
            <w:tcW w:w="140" w:type="dxa"/>
            <w:vAlign w:val="bottom"/>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Officer)</w:t>
            </w: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8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Desmond J. Mills</w:t>
            </w:r>
          </w:p>
        </w:tc>
        <w:tc>
          <w:tcPr>
            <w:tcW w:w="140" w:type="dxa"/>
            <w:vAlign w:val="bottom"/>
          </w:tcPr>
          <w:p>
            <w:pPr>
              <w:spacing w:after="0"/>
              <w:rPr>
                <w:sz w:val="12"/>
                <w:szCs w:val="12"/>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Vice President and Chief Accounting Officer</w:t>
            </w: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(Principal Accounting Officer)</w:t>
            </w: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Desmond J. Mills</w:t>
            </w:r>
          </w:p>
        </w:tc>
        <w:tc>
          <w:tcPr>
            <w:tcW w:w="1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480" w:type="dxa"/>
            <w:vAlign w:val="bottom"/>
            <w:gridSpan w:val="2"/>
          </w:tcPr>
          <w:p>
            <w:pPr>
              <w:ind w:left="840"/>
              <w:spacing w:after="0" w:line="12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auto"/>
              </w:rPr>
              <w:t>​ ​</w:t>
            </w:r>
          </w:p>
        </w:tc>
        <w:tc>
          <w:tcPr>
            <w:tcW w:w="278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Scott C. Weatherholt</w:t>
            </w:r>
          </w:p>
        </w:tc>
        <w:tc>
          <w:tcPr>
            <w:tcW w:w="14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Vice President and Authorized U.S. Representative</w:t>
            </w:r>
          </w:p>
        </w:tc>
        <w:tc>
          <w:tcPr>
            <w:tcW w:w="0" w:type="dxa"/>
            <w:vAlign w:val="bottom"/>
          </w:tcPr>
          <w:p>
            <w:pPr>
              <w:spacing w:after="0"/>
              <w:rPr>
                <w:sz w:val="1"/>
                <w:szCs w:val="1"/>
                <w:color w:val="auto"/>
              </w:rPr>
            </w:pPr>
          </w:p>
        </w:tc>
      </w:tr>
      <w:tr>
        <w:trPr>
          <w:trHeight w:val="24"/>
        </w:trPr>
        <w:tc>
          <w:tcPr>
            <w:tcW w:w="8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Scott C. Weatherholt</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4"/>
        </w:trPr>
        <w:tc>
          <w:tcPr>
            <w:tcW w:w="8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4" w:name="page45"/>
    <w:bookmarkEnd w:id="44"/>
    <w:p>
      <w:pPr>
        <w:ind w:left="88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80" w:type="dxa"/>
        <w:tblCellMar>
          <w:top w:w="0" w:type="dxa"/>
          <w:left w:w="0" w:type="dxa"/>
          <w:bottom w:w="0" w:type="dxa"/>
          <w:right w:w="0" w:type="dxa"/>
        </w:tblCellMar>
      </w:tblPr>
      <w:tr>
        <w:trPr>
          <w:trHeight w:val="127"/>
        </w:trPr>
        <w:tc>
          <w:tcPr>
            <w:tcW w:w="840" w:type="dxa"/>
            <w:vAlign w:val="bottom"/>
          </w:tcPr>
          <w:p>
            <w:pPr>
              <w:spacing w:after="0"/>
              <w:rPr>
                <w:sz w:val="11"/>
                <w:szCs w:val="1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40" w:type="dxa"/>
            <w:vAlign w:val="bottom"/>
          </w:tcPr>
          <w:p>
            <w:pPr>
              <w:spacing w:after="0"/>
              <w:rPr>
                <w:sz w:val="11"/>
                <w:szCs w:val="11"/>
                <w:color w:val="auto"/>
              </w:rPr>
            </w:pPr>
          </w:p>
        </w:tc>
        <w:tc>
          <w:tcPr>
            <w:tcW w:w="3640" w:type="dxa"/>
            <w:vAlign w:val="bottom"/>
            <w:gridSpan w:val="2"/>
          </w:tcPr>
          <w:p>
            <w:pPr>
              <w:ind w:left="1300"/>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128"/>
        </w:trPr>
        <w:tc>
          <w:tcPr>
            <w:tcW w:w="3480" w:type="dxa"/>
            <w:vAlign w:val="bottom"/>
            <w:gridSpan w:val="2"/>
          </w:tcPr>
          <w:p>
            <w:pPr>
              <w:ind w:left="8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78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8"/>
        </w:trPr>
        <w:tc>
          <w:tcPr>
            <w:tcW w:w="840" w:type="dxa"/>
            <w:vAlign w:val="bottom"/>
          </w:tcPr>
          <w:p>
            <w:pPr>
              <w:spacing w:after="0"/>
              <w:rPr>
                <w:sz w:val="12"/>
                <w:szCs w:val="12"/>
                <w:color w:val="auto"/>
              </w:rPr>
            </w:pPr>
          </w:p>
        </w:tc>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Borders>
              <w:top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326"/>
        </w:trPr>
        <w:tc>
          <w:tcPr>
            <w:tcW w:w="8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Andrea Carreiro</w:t>
            </w:r>
          </w:p>
        </w:tc>
        <w:tc>
          <w:tcPr>
            <w:tcW w:w="1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37"/>
        </w:trPr>
        <w:tc>
          <w:tcPr>
            <w:tcW w:w="840" w:type="dxa"/>
            <w:vAlign w:val="bottom"/>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59"/>
        </w:trPr>
        <w:tc>
          <w:tcPr>
            <w:tcW w:w="8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Andrea Carreiro</w:t>
            </w:r>
          </w:p>
        </w:tc>
        <w:tc>
          <w:tcPr>
            <w:tcW w:w="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3"/>
        </w:trPr>
        <w:tc>
          <w:tcPr>
            <w:tcW w:w="3480" w:type="dxa"/>
            <w:vAlign w:val="bottom"/>
            <w:gridSpan w:val="2"/>
          </w:tcPr>
          <w:p>
            <w:pPr>
              <w:ind w:left="840"/>
              <w:spacing w:after="0" w:line="12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auto"/>
              </w:rPr>
              <w:t>​ ​</w:t>
            </w:r>
          </w:p>
        </w:tc>
        <w:tc>
          <w:tcPr>
            <w:tcW w:w="278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w:t>
            </w:r>
          </w:p>
        </w:tc>
      </w:tr>
      <w:tr>
        <w:trPr>
          <w:trHeight w:val="159"/>
        </w:trPr>
        <w:tc>
          <w:tcPr>
            <w:tcW w:w="8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Javier B. Garcia</w:t>
            </w:r>
          </w:p>
        </w:tc>
        <w:tc>
          <w:tcPr>
            <w:tcW w:w="14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33"/>
        </w:trPr>
        <w:tc>
          <w:tcPr>
            <w:tcW w:w="8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59"/>
        </w:trPr>
        <w:tc>
          <w:tcPr>
            <w:tcW w:w="8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Javier B. Garcia</w:t>
            </w:r>
          </w:p>
        </w:tc>
        <w:tc>
          <w:tcPr>
            <w:tcW w:w="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3"/>
        </w:trPr>
        <w:tc>
          <w:tcPr>
            <w:tcW w:w="3480" w:type="dxa"/>
            <w:vAlign w:val="bottom"/>
            <w:gridSpan w:val="2"/>
          </w:tcPr>
          <w:p>
            <w:pPr>
              <w:ind w:left="840"/>
              <w:spacing w:after="0" w:line="12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auto"/>
              </w:rPr>
              <w:t>​ ​</w:t>
            </w:r>
          </w:p>
        </w:tc>
        <w:tc>
          <w:tcPr>
            <w:tcW w:w="278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Times New Roman" w:cs="Times New Roman" w:eastAsia="Times New Roman" w:hAnsi="Times New Roman"/>
                <w:sz w:val="12"/>
                <w:szCs w:val="12"/>
                <w:color w:val="auto"/>
              </w:rPr>
              <w:t>​</w:t>
            </w:r>
          </w:p>
        </w:tc>
      </w:tr>
      <w:tr>
        <w:trPr>
          <w:trHeight w:val="159"/>
        </w:trPr>
        <w:tc>
          <w:tcPr>
            <w:tcW w:w="8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Jonathan B. Wolens</w:t>
            </w:r>
          </w:p>
        </w:tc>
        <w:tc>
          <w:tcPr>
            <w:tcW w:w="14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33"/>
        </w:trPr>
        <w:tc>
          <w:tcPr>
            <w:tcW w:w="8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2"/>
        </w:trPr>
        <w:tc>
          <w:tcPr>
            <w:tcW w:w="84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Jonathan B. Wolens</w:t>
            </w: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54"/>
        </w:trPr>
        <w:tc>
          <w:tcPr>
            <w:tcW w:w="8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5" w:name="page46"/>
    <w:bookmarkEnd w:id="45"/>
    <w:p>
      <w:pPr>
        <w:ind w:left="88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36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2"/>
          <w:szCs w:val="12"/>
          <w:b w:val="1"/>
          <w:bCs w:val="1"/>
          <w:color w:val="auto"/>
        </w:rPr>
        <w:t>SIGNATURES AND POWER OF ATTORNEY</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Weatherford International, LLC</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(a Delaware limited liability company)</w:t>
      </w:r>
    </w:p>
    <w:p>
      <w:pPr>
        <w:spacing w:after="0" w:line="97" w:lineRule="exact"/>
        <w:rPr>
          <w:sz w:val="20"/>
          <w:szCs w:val="20"/>
          <w:color w:val="auto"/>
        </w:rPr>
      </w:pPr>
    </w:p>
    <w:p>
      <w:pPr>
        <w:ind w:left="1720" w:right="1779" w:firstLine="244"/>
        <w:spacing w:after="0" w:line="261"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1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80" w:type="dxa"/>
            <w:vAlign w:val="bottom"/>
            <w:gridSpan w:val="2"/>
          </w:tcPr>
          <w:p>
            <w:pPr>
              <w:ind w:left="1640"/>
              <w:spacing w:after="0"/>
              <w:rPr>
                <w:sz w:val="20"/>
                <w:szCs w:val="20"/>
                <w:color w:val="auto"/>
              </w:rPr>
            </w:pPr>
            <w:r>
              <w:rPr>
                <w:rFonts w:ascii="Times New Roman" w:cs="Times New Roman" w:eastAsia="Times New Roman" w:hAnsi="Times New Roman"/>
                <w:sz w:val="12"/>
                <w:szCs w:val="12"/>
                <w:b w:val="1"/>
                <w:bCs w:val="1"/>
                <w:color w:val="auto"/>
              </w:rPr>
              <w:t>​ ​ WEATHERFORD INTERNATIONAL, LLC</w:t>
            </w:r>
          </w:p>
        </w:tc>
        <w:tc>
          <w:tcPr>
            <w:tcW w:w="2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9"/>
        </w:trPr>
        <w:tc>
          <w:tcPr>
            <w:tcW w:w="10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80" w:type="dxa"/>
            <w:vAlign w:val="bottom"/>
            <w:gridSpan w:val="2"/>
          </w:tcPr>
          <w:p>
            <w:pPr>
              <w:ind w:left="16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t>
            </w:r>
          </w:p>
        </w:tc>
      </w:tr>
      <w:tr>
        <w:trPr>
          <w:trHeight w:val="238"/>
        </w:trPr>
        <w:tc>
          <w:tcPr>
            <w:tcW w:w="1080" w:type="dxa"/>
            <w:vAlign w:val="bottom"/>
          </w:tcPr>
          <w:p>
            <w:pPr>
              <w:spacing w:after="0"/>
              <w:rPr>
                <w:sz w:val="20"/>
                <w:szCs w:val="20"/>
                <w:color w:val="auto"/>
              </w:rPr>
            </w:pPr>
          </w:p>
        </w:tc>
        <w:tc>
          <w:tcPr>
            <w:tcW w:w="4280" w:type="dxa"/>
            <w:vAlign w:val="bottom"/>
            <w:gridSpan w:val="2"/>
          </w:tcPr>
          <w:p>
            <w:pPr>
              <w:ind w:left="1780"/>
              <w:spacing w:after="0"/>
              <w:rPr>
                <w:sz w:val="20"/>
                <w:szCs w:val="20"/>
                <w:color w:val="auto"/>
              </w:rPr>
            </w:pPr>
            <w:r>
              <w:rPr>
                <w:rFonts w:ascii="Times New Roman" w:cs="Times New Roman" w:eastAsia="Times New Roman" w:hAnsi="Times New Roman"/>
                <w:sz w:val="12"/>
                <w:szCs w:val="12"/>
                <w:color w:val="auto"/>
              </w:rPr>
              <w:t>By: /s/ Etienne Roux</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Etienne Roux</w:t>
            </w:r>
          </w:p>
        </w:tc>
        <w:tc>
          <w:tcPr>
            <w:tcW w:w="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President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3"/>
        </w:trPr>
        <w:tc>
          <w:tcPr>
            <w:tcW w:w="1080" w:type="dxa"/>
            <w:vAlign w:val="bottom"/>
          </w:tcPr>
          <w:p>
            <w:pPr>
              <w:spacing w:after="0"/>
              <w:rPr>
                <w:sz w:val="24"/>
                <w:szCs w:val="24"/>
                <w:color w:val="auto"/>
              </w:rPr>
            </w:pPr>
          </w:p>
        </w:tc>
        <w:tc>
          <w:tcPr>
            <w:tcW w:w="4280" w:type="dxa"/>
            <w:vAlign w:val="bottom"/>
            <w:gridSpan w:val="2"/>
          </w:tcPr>
          <w:p>
            <w:pPr>
              <w:ind w:left="1040"/>
              <w:spacing w:after="0"/>
              <w:rPr>
                <w:sz w:val="20"/>
                <w:szCs w:val="20"/>
                <w:color w:val="auto"/>
              </w:rPr>
            </w:pPr>
            <w:r>
              <w:rPr>
                <w:rFonts w:ascii="Times New Roman" w:cs="Times New Roman" w:eastAsia="Times New Roman" w:hAnsi="Times New Roman"/>
                <w:sz w:val="12"/>
                <w:szCs w:val="12"/>
                <w:b w:val="1"/>
                <w:bCs w:val="1"/>
                <w:color w:val="auto"/>
              </w:rPr>
              <w:t>POWER OF ATTORNEY</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88" w:lineRule="exact"/>
        <w:rPr>
          <w:sz w:val="20"/>
          <w:szCs w:val="20"/>
          <w:color w:val="auto"/>
        </w:rPr>
      </w:pPr>
    </w:p>
    <w:p>
      <w:pPr>
        <w:ind w:left="1720" w:right="1739" w:firstLine="244"/>
        <w:spacing w:after="0" w:line="257" w:lineRule="auto"/>
        <w:rPr>
          <w:sz w:val="20"/>
          <w:szCs w:val="20"/>
          <w:color w:val="auto"/>
        </w:rPr>
      </w:pPr>
      <w:r>
        <w:rPr>
          <w:rFonts w:ascii="Times New Roman" w:cs="Times New Roman" w:eastAsia="Times New Roman" w:hAnsi="Times New Roman"/>
          <w:sz w:val="12"/>
          <w:szCs w:val="12"/>
          <w:color w:val="auto"/>
        </w:rPr>
        <w:t>Each person whose signature appears below in their capacity as director or officer hereby appoints Scott C. Weatherholt, and Christine M. Morrison,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00" w:lineRule="exact"/>
        <w:rPr>
          <w:sz w:val="20"/>
          <w:szCs w:val="20"/>
          <w:color w:val="auto"/>
        </w:rPr>
      </w:pPr>
    </w:p>
    <w:p>
      <w:pPr>
        <w:jc w:val="both"/>
        <w:ind w:left="1720" w:right="1939" w:firstLine="244"/>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1933, this registration statement and power of attorney have been signed by the following persons in the capacities indicated below on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of June, 2022</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54"/>
        </w:trPr>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0"/>
                <w:szCs w:val="10"/>
                <w:b w:val="1"/>
                <w:bCs w:val="1"/>
                <w:color w:val="auto"/>
              </w:rPr>
              <w:t>​</w:t>
            </w:r>
          </w:p>
        </w:tc>
        <w:tc>
          <w:tcPr>
            <w:tcW w:w="2240" w:type="dxa"/>
            <w:vAlign w:val="bottom"/>
          </w:tcPr>
          <w:p>
            <w:pPr>
              <w:jc w:val="center"/>
              <w:ind w:right="341"/>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2780" w:type="dxa"/>
            <w:vAlign w:val="bottom"/>
          </w:tcPr>
          <w:p>
            <w:pPr>
              <w:ind w:left="130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2240" w:type="dxa"/>
            <w:vAlign w:val="bottom"/>
            <w:tcBorders>
              <w:top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tcBorders>
              <w:top w:val="single" w:sz="8" w:color="auto"/>
            </w:tcBorders>
          </w:tcPr>
          <w:p>
            <w:pPr>
              <w:spacing w:after="0"/>
              <w:rPr>
                <w:sz w:val="12"/>
                <w:szCs w:val="1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tcPr>
          <w:p>
            <w:pPr>
              <w:jc w:val="center"/>
              <w:ind w:right="341"/>
              <w:spacing w:after="0"/>
              <w:rPr>
                <w:sz w:val="20"/>
                <w:szCs w:val="20"/>
                <w:color w:val="auto"/>
              </w:rPr>
            </w:pPr>
            <w:r>
              <w:rPr>
                <w:rFonts w:ascii="Times New Roman" w:cs="Times New Roman" w:eastAsia="Times New Roman" w:hAnsi="Times New Roman"/>
                <w:sz w:val="12"/>
                <w:szCs w:val="12"/>
                <w:color w:val="auto"/>
              </w:rPr>
              <w:t>/s/ Etienne Roux</w:t>
            </w:r>
          </w:p>
        </w:tc>
        <w:tc>
          <w:tcPr>
            <w:tcW w:w="1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President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vMerge w:val="restart"/>
          </w:tcPr>
          <w:p>
            <w:pPr>
              <w:jc w:val="center"/>
              <w:ind w:right="341"/>
              <w:spacing w:after="0"/>
              <w:rPr>
                <w:sz w:val="20"/>
                <w:szCs w:val="20"/>
                <w:color w:val="auto"/>
              </w:rPr>
            </w:pPr>
            <w:r>
              <w:rPr>
                <w:rFonts w:ascii="Times New Roman" w:cs="Times New Roman" w:eastAsia="Times New Roman" w:hAnsi="Times New Roman"/>
                <w:sz w:val="12"/>
                <w:szCs w:val="12"/>
                <w:color w:val="auto"/>
              </w:rPr>
              <w:t>Etienne Roux</w:t>
            </w:r>
          </w:p>
        </w:tc>
        <w:tc>
          <w:tcPr>
            <w:tcW w:w="14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240" w:type="dxa"/>
            <w:vAlign w:val="bottom"/>
            <w:vMerge w:val="restart"/>
          </w:tcPr>
          <w:p>
            <w:pPr>
              <w:jc w:val="center"/>
              <w:ind w:right="341"/>
              <w:spacing w:after="0"/>
              <w:rPr>
                <w:sz w:val="20"/>
                <w:szCs w:val="20"/>
                <w:color w:val="auto"/>
              </w:rPr>
            </w:pPr>
            <w:r>
              <w:rPr>
                <w:rFonts w:ascii="Times New Roman" w:cs="Times New Roman" w:eastAsia="Times New Roman" w:hAnsi="Times New Roman"/>
                <w:sz w:val="12"/>
                <w:szCs w:val="12"/>
                <w:color w:val="auto"/>
              </w:rPr>
              <w:t>/s/ H. Keith Jennings</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Chief Financial Officer</w:t>
            </w: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7"/>
        </w:trPr>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(Principal Financial Officer and Principal Accounting</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40" w:type="dxa"/>
            <w:vAlign w:val="bottom"/>
            <w:vMerge w:val="restart"/>
          </w:tcPr>
          <w:p>
            <w:pPr>
              <w:jc w:val="center"/>
              <w:ind w:right="341"/>
              <w:spacing w:after="0"/>
              <w:rPr>
                <w:sz w:val="20"/>
                <w:szCs w:val="20"/>
                <w:color w:val="auto"/>
              </w:rPr>
            </w:pPr>
            <w:r>
              <w:rPr>
                <w:rFonts w:ascii="Times New Roman" w:cs="Times New Roman" w:eastAsia="Times New Roman" w:hAnsi="Times New Roman"/>
                <w:sz w:val="12"/>
                <w:szCs w:val="12"/>
                <w:color w:val="auto"/>
              </w:rPr>
              <w:t>H. Keith Jennings</w:t>
            </w:r>
          </w:p>
        </w:tc>
        <w:tc>
          <w:tcPr>
            <w:tcW w:w="1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Officer)</w:t>
            </w: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4"/>
        </w:trPr>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2"/>
          <w:szCs w:val="12"/>
          <w:b w:val="1"/>
          <w:bCs w:val="1"/>
          <w:color w:val="auto"/>
        </w:rPr>
        <w:t>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107950</wp:posOffset>
            </wp:positionV>
            <wp:extent cx="71767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29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INDENTURE</w:t>
      </w:r>
    </w:p>
    <w:p>
      <w:pPr>
        <w:spacing w:after="0" w:line="155" w:lineRule="exact"/>
        <w:rPr>
          <w:sz w:val="20"/>
          <w:szCs w:val="20"/>
          <w:color w:val="auto"/>
        </w:rPr>
      </w:pPr>
    </w:p>
    <w:p>
      <w:pPr>
        <w:ind w:left="3900"/>
        <w:spacing w:after="0"/>
        <w:tabs>
          <w:tab w:leader="none" w:pos="4900" w:val="left"/>
        </w:tabs>
        <w:rPr>
          <w:sz w:val="20"/>
          <w:szCs w:val="20"/>
          <w:color w:val="auto"/>
        </w:rPr>
      </w:pPr>
      <w:r>
        <w:rPr>
          <w:rFonts w:ascii="Times New Roman" w:cs="Times New Roman" w:eastAsia="Times New Roman" w:hAnsi="Times New Roman"/>
          <w:sz w:val="12"/>
          <w:szCs w:val="12"/>
          <w:color w:val="auto"/>
        </w:rPr>
        <w:t>Dated as of</w:t>
      </w:r>
      <w:r>
        <w:rPr>
          <w:sz w:val="20"/>
          <w:szCs w:val="20"/>
          <w:color w:val="auto"/>
        </w:rPr>
        <w:tab/>
      </w:r>
      <w:r>
        <w:rPr>
          <w:rFonts w:ascii="Times New Roman" w:cs="Times New Roman" w:eastAsia="Times New Roman" w:hAnsi="Times New Roman"/>
          <w:sz w:val="11"/>
          <w:szCs w:val="11"/>
          <w:color w:val="auto"/>
        </w:rPr>
        <w:t>, 20</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Among</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WEATHERFORD INTERNATIONAL PLC,</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WEATHERFORD INTERNATIONAL LTD.,</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WEATHERFORD INTERNATIONAL, LLC</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5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DEUTSCHE BANK TRUST COMPANY AMERICAS,</w:t>
      </w:r>
    </w:p>
    <w:p>
      <w:pPr>
        <w:spacing w:after="0" w:line="15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106680</wp:posOffset>
            </wp:positionV>
            <wp:extent cx="71767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29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106680</wp:posOffset>
            </wp:positionV>
            <wp:extent cx="717677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298450</wp:posOffset>
            </wp:positionV>
            <wp:extent cx="717677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160"/>
          </w:cols>
          <w:pgMar w:left="1440" w:top="289"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7360" w:type="dxa"/>
            <w:vAlign w:val="bottom"/>
          </w:tcPr>
          <w:p>
            <w:pPr>
              <w:ind w:left="368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20" w:type="dxa"/>
            <w:vAlign w:val="bottom"/>
          </w:tcPr>
          <w:p>
            <w:pPr>
              <w:spacing w:after="0"/>
              <w:rPr>
                <w:sz w:val="13"/>
                <w:szCs w:val="13"/>
                <w:color w:val="auto"/>
              </w:rPr>
            </w:pPr>
          </w:p>
        </w:tc>
      </w:tr>
      <w:tr>
        <w:trPr>
          <w:trHeight w:val="293"/>
        </w:trPr>
        <w:tc>
          <w:tcPr>
            <w:tcW w:w="13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11"/>
        </w:trPr>
        <w:tc>
          <w:tcPr>
            <w:tcW w:w="868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ONE DEFINITIONS AND OTHER PROVISIONS OF GENERAL APPLICATION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101.</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Definitions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102.</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Compliance Certificates and Opinions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9</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103.</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Form of Documents Delivered to Trustee</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10</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104.</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Acts of Holders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10</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105.</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Notices, Etc., to Trustee, Issuer and Guarantors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11</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106.</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Notice to Holders; Waiver</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12</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107.</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Conflict with Trust Indenture Act</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12</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108.</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Effect of Headings and Table of Contents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12</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109.</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Successors and Assigns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12</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Separability Clause</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13</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111.</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Benefits of Indenture</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13</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112.</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Governing Law; Submission to Jurisdiction; Jury Trial Waiver</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13</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113.</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Legal Holidays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14</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114.</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No Personal Liability of Directors, Officers, Employees and Shareholders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14</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115.</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Counterparts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15</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116.</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Currency Exchange</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15</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117.</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Payment in Required Currency; Judgment Currency</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15</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118.</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U.S.A. Patriot Act</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16</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119.</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Reduction in Capital</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16</w:t>
            </w:r>
          </w:p>
        </w:tc>
      </w:tr>
      <w:tr>
        <w:trPr>
          <w:trHeight w:val="183"/>
        </w:trPr>
        <w:tc>
          <w:tcPr>
            <w:tcW w:w="868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TWO SECURITY FORMS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16</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201.</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Forms Generally</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16</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202.</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Form of Face of Security</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17</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203.</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Form of Reverse of Security</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19</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204.</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Form of Trustee’s Certificate of Authentication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24</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205.</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Securities in Global Form</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25</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206.</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Guarantee; Form of Guarantee</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25</w:t>
            </w:r>
          </w:p>
        </w:tc>
      </w:tr>
      <w:tr>
        <w:trPr>
          <w:trHeight w:val="183"/>
        </w:trPr>
        <w:tc>
          <w:tcPr>
            <w:tcW w:w="868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THREE THE SECURITIES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26</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301.</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Amount Unlimited; Issuable in Series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26</w:t>
            </w:r>
          </w:p>
        </w:tc>
      </w:tr>
      <w:tr>
        <w:trPr>
          <w:trHeight w:val="183"/>
        </w:trPr>
        <w:tc>
          <w:tcPr>
            <w:tcW w:w="13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302.</w:t>
            </w:r>
          </w:p>
        </w:tc>
        <w:tc>
          <w:tcPr>
            <w:tcW w:w="7360" w:type="dxa"/>
            <w:vAlign w:val="bottom"/>
          </w:tcPr>
          <w:p>
            <w:pPr>
              <w:ind w:left="380"/>
              <w:spacing w:after="0"/>
              <w:rPr>
                <w:sz w:val="20"/>
                <w:szCs w:val="20"/>
                <w:color w:val="auto"/>
              </w:rPr>
            </w:pPr>
            <w:r>
              <w:rPr>
                <w:rFonts w:ascii="Times New Roman" w:cs="Times New Roman" w:eastAsia="Times New Roman" w:hAnsi="Times New Roman"/>
                <w:sz w:val="12"/>
                <w:szCs w:val="12"/>
                <w:color w:val="010000"/>
              </w:rPr>
              <w:t>Denominations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29</w:t>
            </w:r>
          </w:p>
        </w:tc>
      </w:tr>
    </w:tbl>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59"/>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303.</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Execution, Authentication, Delivery and Dating</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29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304.</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Temporary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31</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305.</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Registration, Registration of Transfer and Exchange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31</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306.</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Mutilated, Destroyed, Lost and Stolen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34</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307.</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Payment of Interest; Interest Rights Preserved</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308.</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Persons Deemed Owners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36</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309.</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Cancellation</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36</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310.</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Computation of Interest</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311.</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CUSIP Numbers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37</w:t>
            </w:r>
          </w:p>
        </w:tc>
      </w:tr>
      <w:tr>
        <w:trPr>
          <w:trHeight w:val="183"/>
        </w:trPr>
        <w:tc>
          <w:tcPr>
            <w:tcW w:w="828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FOUR SATISFACTION AND DISCHARGE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401.</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Satisfaction and Discharge of Indenture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402.</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Application of Trust Money</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403.</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Satisfaction, Discharge and Defeasance of Securities of any Series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39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404.</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Reinstatement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41</w:t>
            </w:r>
          </w:p>
        </w:tc>
      </w:tr>
      <w:tr>
        <w:trPr>
          <w:trHeight w:val="18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010000"/>
              </w:rPr>
              <w:t>ARTICLE FIVE REMEDIES</w:t>
            </w:r>
          </w:p>
        </w:tc>
        <w:tc>
          <w:tcPr>
            <w:tcW w:w="666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41</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501.</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Events of Default</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41</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502.</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Acceleration of Maturity; Rescission and Annulment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503.</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Collection of Indebtedness and Suits for Enforcement by Trustee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44</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504.</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Trustee May File Proofs of Claim</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505.</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Trustee May Enforce Claims Without Possession of Securities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46</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506.</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Application of Money Collected</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46</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507.</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Limitation on Suits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508.</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Unconditional Right of Holders to Receive Principal, Premium and Interest</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509.</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Restoration of Rights and Remedies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510.</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Rights and Remedies Cumulative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511.</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Delay or Omission Not Waiver</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512.</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Control by Holders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513.</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Waiver of Past Defaults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514.</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Undertaking for Costs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515.</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Waiver of Stay or Extension Laws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49</w:t>
            </w:r>
          </w:p>
        </w:tc>
      </w:tr>
      <w:tr>
        <w:trPr>
          <w:trHeight w:val="18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010000"/>
              </w:rPr>
              <w:t>ARTICLE SIX THE TRUSTEE</w:t>
            </w:r>
          </w:p>
        </w:tc>
        <w:tc>
          <w:tcPr>
            <w:tcW w:w="666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601.</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Certain Duties and Responsibilities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49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602.</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Notice of Defaults</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50</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603.</w:t>
            </w:r>
          </w:p>
        </w:tc>
        <w:tc>
          <w:tcPr>
            <w:tcW w:w="666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Certain Rights of Trustee</w:t>
            </w: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51</w:t>
            </w:r>
          </w:p>
        </w:tc>
      </w:tr>
      <w:tr>
        <w:trPr>
          <w:trHeight w:val="312"/>
        </w:trPr>
        <w:tc>
          <w:tcPr>
            <w:tcW w:w="16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6" w:right="29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604.</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Not Responsible for Recitals or Issuance of Securities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605.</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May Hold Securities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606.</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Money Held in Trust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607.</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Compensation and Reimbursement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54</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608.</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Disqualification; Conflicting Interests.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609.</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Corporate Trustee Required; Different Trustees for Different Series; Eligibility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610.</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Resignation and Removal; Appointment of Successor</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611.</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Acceptance of Appointment by Successor</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612.</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Merger, Conversion, Consolidation or Succession to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613.</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Preferential Collection of Claims Against the Issuer or a Guarantor</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614.</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Authenticating Agents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58</w:t>
            </w:r>
          </w:p>
        </w:tc>
      </w:tr>
      <w:tr>
        <w:trPr>
          <w:trHeight w:val="183"/>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SEVEN HOLDERS’ LISTS AND REPORTS BY TRUSTEE AND ISSUER</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60</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701.</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Issuer to Furnish Trustee Names and Addresses of Holders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60</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702.</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Preservation of Information; Communications to Holders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60</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703.</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Reports by Trustee</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62</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704.</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Reports by Weatherford Parent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62</w:t>
            </w:r>
          </w:p>
        </w:tc>
      </w:tr>
      <w:tr>
        <w:trPr>
          <w:trHeight w:val="183"/>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EIGHT CONSOLIDATION, MERGER, CONVEYANCE, SALE OR LEASE</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801.</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Issuer and Guarantors May Consolidate, Etc., on Certain Terms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802.</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Successor Corporation to be Substituted</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64</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803.</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Opinion of Counsel and Officer’s Certificate to be Given to Trustee</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65</w:t>
            </w:r>
          </w:p>
        </w:tc>
      </w:tr>
      <w:tr>
        <w:trPr>
          <w:trHeight w:val="183"/>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NINE SUPPLEMENTAL INDENTURES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901.</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Supplemental Indentures without Consent of Holders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65</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902.</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Supplemental Indentures with Consent of Holders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67</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903.</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Execution of Supplemental Indentures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904.</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Effect of Supplemental Indentures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905.</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Conformity with Trust Indenture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68</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906.</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Reference in Securities to Supplemental Indentures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68</w:t>
            </w:r>
          </w:p>
        </w:tc>
      </w:tr>
      <w:tr>
        <w:trPr>
          <w:trHeight w:val="183"/>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010000"/>
              </w:rPr>
              <w:t>ARTICLE TEN COVENANTS</w:t>
            </w:r>
          </w:p>
        </w:tc>
        <w:tc>
          <w:tcPr>
            <w:tcW w:w="674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1001.</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Payment of Principal, Premium and Interest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1002.</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Maintenance of Office or Agency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1003.</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Money for Securities Payments to Be Held in Trust</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69</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1004.</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Limitation on 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70</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1005.</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Limitation on Sale and Leaseback Transactions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73</w:t>
            </w:r>
          </w:p>
        </w:tc>
      </w:tr>
      <w:tr>
        <w:trPr>
          <w:trHeight w:val="183"/>
        </w:trPr>
        <w:tc>
          <w:tcPr>
            <w:tcW w:w="162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1006.</w:t>
            </w:r>
          </w:p>
        </w:tc>
        <w:tc>
          <w:tcPr>
            <w:tcW w:w="6740" w:type="dxa"/>
            <w:vAlign w:val="bottom"/>
          </w:tcPr>
          <w:p>
            <w:pPr>
              <w:ind w:left="80"/>
              <w:spacing w:after="0"/>
              <w:rPr>
                <w:sz w:val="20"/>
                <w:szCs w:val="20"/>
                <w:color w:val="auto"/>
              </w:rPr>
            </w:pPr>
            <w:r>
              <w:rPr>
                <w:rFonts w:ascii="Times New Roman" w:cs="Times New Roman" w:eastAsia="Times New Roman" w:hAnsi="Times New Roman"/>
                <w:sz w:val="12"/>
                <w:szCs w:val="12"/>
                <w:color w:val="010000"/>
              </w:rPr>
              <w:t>Defeasance of Certain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73</w:t>
            </w:r>
          </w:p>
        </w:tc>
      </w:tr>
      <w:tr>
        <w:trPr>
          <w:trHeight w:val="312"/>
        </w:trPr>
        <w:tc>
          <w:tcPr>
            <w:tcW w:w="16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6" w:right="29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1007.</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Statement by Officer as to Default</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75</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1008.</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Waiver of Certain Covenants</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75</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1009.</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Calculation of Original Issue Discount</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75</w:t>
            </w:r>
          </w:p>
        </w:tc>
      </w:tr>
      <w:tr>
        <w:trPr>
          <w:trHeight w:val="183"/>
        </w:trPr>
        <w:tc>
          <w:tcPr>
            <w:tcW w:w="77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ELEVEN REDEMPTION OF SECURITIES</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76</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1101.</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Applicability of Article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76</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1102.</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Election to Redeem; Notice to Trustee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76</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1103.</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Selection of Securities to Be Redeemed</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76</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1104.</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Notice of Redemption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76</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1105.</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Deposit of Redemption Price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77</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1106.</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Securities Payable on Redemption Date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77</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1107.</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Securities Redeemed in Part</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78</w:t>
            </w:r>
          </w:p>
        </w:tc>
      </w:tr>
      <w:tr>
        <w:trPr>
          <w:trHeight w:val="183"/>
        </w:trPr>
        <w:tc>
          <w:tcPr>
            <w:tcW w:w="77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TWELVE SINKING FUNDS</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78</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1201.</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Applicability of Article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78</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1202.</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Satisfaction of Sinking Fund Payments with Securities</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78</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1203.</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Redemption of Securities for Sinking Fund</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78</w:t>
            </w:r>
          </w:p>
        </w:tc>
      </w:tr>
      <w:tr>
        <w:trPr>
          <w:trHeight w:val="183"/>
        </w:trPr>
        <w:tc>
          <w:tcPr>
            <w:tcW w:w="7760" w:type="dxa"/>
            <w:vAlign w:val="bottom"/>
            <w:gridSpan w:val="2"/>
          </w:tcPr>
          <w:p>
            <w:pPr>
              <w:spacing w:after="0"/>
              <w:rPr>
                <w:sz w:val="20"/>
                <w:szCs w:val="20"/>
                <w:color w:val="auto"/>
              </w:rPr>
            </w:pPr>
            <w:r>
              <w:rPr>
                <w:rFonts w:ascii="Times New Roman" w:cs="Times New Roman" w:eastAsia="Times New Roman" w:hAnsi="Times New Roman"/>
                <w:sz w:val="12"/>
                <w:szCs w:val="12"/>
                <w:color w:val="010000"/>
              </w:rPr>
              <w:t>ARTICLE THIRTEEN GUARANTEE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79</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1301.</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Guarantee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79</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1302.</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Execution and Delivery of Guarantee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1303.</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Notice to Trustee</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1304.</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This Article Not to Prevent Events of Default</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1305.</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Amendment, Etc.</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1306.</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Limitation on Liability</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183"/>
        </w:trPr>
        <w:tc>
          <w:tcPr>
            <w:tcW w:w="1340" w:type="dxa"/>
            <w:vAlign w:val="bottom"/>
          </w:tcPr>
          <w:p>
            <w:pPr>
              <w:ind w:left="160"/>
              <w:spacing w:after="0"/>
              <w:rPr>
                <w:sz w:val="20"/>
                <w:szCs w:val="20"/>
                <w:color w:val="auto"/>
              </w:rPr>
            </w:pPr>
            <w:r>
              <w:rPr>
                <w:rFonts w:ascii="Times New Roman" w:cs="Times New Roman" w:eastAsia="Times New Roman" w:hAnsi="Times New Roman"/>
                <w:sz w:val="12"/>
                <w:szCs w:val="12"/>
                <w:color w:val="010000"/>
              </w:rPr>
              <w:t>SECTION 1307.</w:t>
            </w:r>
          </w:p>
        </w:tc>
        <w:tc>
          <w:tcPr>
            <w:tcW w:w="6420" w:type="dxa"/>
            <w:vAlign w:val="bottom"/>
          </w:tcPr>
          <w:p>
            <w:pPr>
              <w:ind w:left="360"/>
              <w:spacing w:after="0"/>
              <w:rPr>
                <w:sz w:val="20"/>
                <w:szCs w:val="20"/>
                <w:color w:val="auto"/>
              </w:rPr>
            </w:pPr>
            <w:r>
              <w:rPr>
                <w:rFonts w:ascii="Times New Roman" w:cs="Times New Roman" w:eastAsia="Times New Roman" w:hAnsi="Times New Roman"/>
                <w:sz w:val="12"/>
                <w:szCs w:val="12"/>
                <w:color w:val="010000"/>
              </w:rPr>
              <w:t>Limitation on Liability - Ireland</w:t>
            </w:r>
          </w:p>
        </w:tc>
        <w:tc>
          <w:tcPr>
            <w:tcW w:w="3540" w:type="dxa"/>
            <w:vAlign w:val="bottom"/>
          </w:tcPr>
          <w:p>
            <w:pPr>
              <w:jc w:val="right"/>
              <w:spacing w:after="0"/>
              <w:rPr>
                <w:sz w:val="20"/>
                <w:szCs w:val="20"/>
                <w:color w:val="auto"/>
              </w:rPr>
            </w:pPr>
            <w:r>
              <w:rPr>
                <w:rFonts w:ascii="Times New Roman" w:cs="Times New Roman" w:eastAsia="Times New Roman" w:hAnsi="Times New Roman"/>
                <w:sz w:val="12"/>
                <w:szCs w:val="12"/>
                <w:color w:val="010000"/>
              </w:rPr>
              <w:t>80</w:t>
            </w:r>
          </w:p>
        </w:tc>
      </w:tr>
      <w:tr>
        <w:trPr>
          <w:trHeight w:val="312"/>
        </w:trPr>
        <w:tc>
          <w:tcPr>
            <w:tcW w:w="13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6" w:right="29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and tie between Trust Indenture Act of 1939 and Indenture.</w:t>
            </w:r>
          </w:p>
        </w:tc>
        <w:tc>
          <w:tcPr>
            <w:tcW w:w="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8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Trust Indenture Act Section</w:t>
            </w:r>
          </w:p>
        </w:tc>
        <w:tc>
          <w:tcPr>
            <w:tcW w:w="22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Indenture</w:t>
            </w:r>
          </w:p>
        </w:tc>
        <w:tc>
          <w:tcPr>
            <w:tcW w:w="0" w:type="dxa"/>
            <w:vAlign w:val="bottom"/>
          </w:tcPr>
          <w:p>
            <w:pPr>
              <w:spacing w:after="0"/>
              <w:rPr>
                <w:sz w:val="1"/>
                <w:szCs w:val="1"/>
                <w:color w:val="auto"/>
              </w:rPr>
            </w:pPr>
          </w:p>
        </w:tc>
      </w:tr>
      <w:tr>
        <w:trPr>
          <w:trHeight w:val="172"/>
        </w:trPr>
        <w:tc>
          <w:tcPr>
            <w:tcW w:w="8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Section</w:t>
            </w:r>
          </w:p>
        </w:tc>
        <w:tc>
          <w:tcPr>
            <w:tcW w:w="0" w:type="dxa"/>
            <w:vAlign w:val="bottom"/>
          </w:tcPr>
          <w:p>
            <w:pPr>
              <w:spacing w:after="0"/>
              <w:rPr>
                <w:sz w:val="1"/>
                <w:szCs w:val="1"/>
                <w:color w:val="auto"/>
              </w:rPr>
            </w:pPr>
          </w:p>
        </w:tc>
      </w:tr>
      <w:tr>
        <w:trPr>
          <w:trHeight w:val="112"/>
        </w:trPr>
        <w:tc>
          <w:tcPr>
            <w:tcW w:w="882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 310(a)(1)</w:t>
            </w:r>
          </w:p>
        </w:tc>
        <w:tc>
          <w:tcPr>
            <w:tcW w:w="220" w:type="dxa"/>
            <w:vAlign w:val="bottom"/>
          </w:tcPr>
          <w:p>
            <w:pPr>
              <w:spacing w:after="0"/>
              <w:rPr>
                <w:sz w:val="9"/>
                <w:szCs w:val="9"/>
                <w:color w:val="auto"/>
              </w:rPr>
            </w:pPr>
          </w:p>
        </w:tc>
        <w:tc>
          <w:tcPr>
            <w:tcW w:w="22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(a)(3)</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(a)(4)</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608, 610</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311(a)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613</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613</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703(a)</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312(a)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701, 702(a)</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702(b)</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702(c)</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313(a)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703(a)</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(b)(1)</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703(a)</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703(a)</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703(b)</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314(a)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704</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(c)(1)</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(c)(3)</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(e)</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315(a)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601(a)</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602</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601(b)</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601(c)</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(d)(1)</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601(c)(1)</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601(c)(2)</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(d)(3)</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601(c)(3)</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(e)</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514</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316(a)(1)(A)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502, 512</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(a)(1)(B)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513</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Not</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Applicable</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508</w:t>
            </w:r>
          </w:p>
        </w:tc>
        <w:tc>
          <w:tcPr>
            <w:tcW w:w="0" w:type="dxa"/>
            <w:vAlign w:val="bottom"/>
          </w:tcPr>
          <w:p>
            <w:pPr>
              <w:spacing w:after="0"/>
              <w:rPr>
                <w:sz w:val="1"/>
                <w:szCs w:val="1"/>
                <w:color w:val="auto"/>
              </w:rPr>
            </w:pPr>
          </w:p>
        </w:tc>
      </w:tr>
      <w:tr>
        <w:trPr>
          <w:trHeight w:val="146"/>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317(a)(1)</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503</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(a)(2)</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504</w:t>
            </w:r>
          </w:p>
        </w:tc>
        <w:tc>
          <w:tcPr>
            <w:tcW w:w="0" w:type="dxa"/>
            <w:vAlign w:val="bottom"/>
          </w:tcPr>
          <w:p>
            <w:pPr>
              <w:spacing w:after="0"/>
              <w:rPr>
                <w:sz w:val="1"/>
                <w:szCs w:val="1"/>
                <w:color w:val="auto"/>
              </w:rPr>
            </w:pPr>
          </w:p>
        </w:tc>
      </w:tr>
      <w:tr>
        <w:trPr>
          <w:trHeight w:val="146"/>
        </w:trPr>
        <w:tc>
          <w:tcPr>
            <w:tcW w:w="88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(b)</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1003</w:t>
            </w:r>
          </w:p>
        </w:tc>
        <w:tc>
          <w:tcPr>
            <w:tcW w:w="0" w:type="dxa"/>
            <w:vAlign w:val="bottom"/>
          </w:tcPr>
          <w:p>
            <w:pPr>
              <w:spacing w:after="0"/>
              <w:rPr>
                <w:sz w:val="1"/>
                <w:szCs w:val="1"/>
                <w:color w:val="auto"/>
              </w:rPr>
            </w:pPr>
          </w:p>
        </w:tc>
      </w:tr>
      <w:tr>
        <w:trPr>
          <w:trHeight w:val="159"/>
        </w:trPr>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 318(a)</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Note:</w:t>
        <w:tab/>
        <w:t>This reconciliation and tie shall not, for any purpose, be deemed to be a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677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2"/>
          <w:szCs w:val="12"/>
          <w:b w:val="1"/>
          <w:bCs w:val="1"/>
          <w:color w:val="auto"/>
        </w:rPr>
        <w:t>PARTIES</w:t>
      </w:r>
    </w:p>
    <w:p>
      <w:pPr>
        <w:spacing w:after="0" w:line="15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INDENTURE, dated as of , 20 , among WEATHERFORD INTERNATIONAL PLC, a public limited company duly organized and existing under the laws of Ireland (“</w:t>
      </w:r>
      <w:r>
        <w:rPr>
          <w:rFonts w:ascii="Times New Roman" w:cs="Times New Roman" w:eastAsia="Times New Roman" w:hAnsi="Times New Roman"/>
          <w:sz w:val="12"/>
          <w:szCs w:val="12"/>
          <w:u w:val="single" w:color="auto"/>
          <w:color w:val="auto"/>
        </w:rPr>
        <w:t>Weatherford Parent</w:t>
      </w:r>
      <w:r>
        <w:rPr>
          <w:rFonts w:ascii="Times New Roman" w:cs="Times New Roman" w:eastAsia="Times New Roman" w:hAnsi="Times New Roman"/>
          <w:sz w:val="12"/>
          <w:szCs w:val="12"/>
          <w:color w:val="auto"/>
        </w:rPr>
        <w:t>”), WEATHERFORD INTERNATIONAL LTD., a Bermuda exempted company (“</w:t>
      </w:r>
      <w:r>
        <w:rPr>
          <w:rFonts w:ascii="Times New Roman" w:cs="Times New Roman" w:eastAsia="Times New Roman" w:hAnsi="Times New Roman"/>
          <w:sz w:val="12"/>
          <w:szCs w:val="12"/>
          <w:u w:val="single" w:color="auto"/>
          <w:color w:val="auto"/>
        </w:rPr>
        <w:t>Weatherford Bermuda</w:t>
      </w:r>
      <w:r>
        <w:rPr>
          <w:rFonts w:ascii="Times New Roman" w:cs="Times New Roman" w:eastAsia="Times New Roman" w:hAnsi="Times New Roman"/>
          <w:sz w:val="12"/>
          <w:szCs w:val="12"/>
          <w:color w:val="auto"/>
        </w:rPr>
        <w:t>”), WEATHERFORD INTERNATIONAL, LLC, a Delaware limited liability company (“</w:t>
      </w:r>
      <w:r>
        <w:rPr>
          <w:rFonts w:ascii="Times New Roman" w:cs="Times New Roman" w:eastAsia="Times New Roman" w:hAnsi="Times New Roman"/>
          <w:sz w:val="12"/>
          <w:szCs w:val="12"/>
          <w:u w:val="single" w:color="auto"/>
          <w:color w:val="auto"/>
        </w:rPr>
        <w:t>Weatherford Delaware</w:t>
      </w:r>
      <w:r>
        <w:rPr>
          <w:rFonts w:ascii="Times New Roman" w:cs="Times New Roman" w:eastAsia="Times New Roman" w:hAnsi="Times New Roman"/>
          <w:sz w:val="12"/>
          <w:szCs w:val="12"/>
          <w:color w:val="auto"/>
        </w:rPr>
        <w:t>”), and DEUTSCHE BANK TRUST COMPANY AMERICAS, a New York banking corporation, as Trustee (herein called the “</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Weatherford Parent directly or indirectly beneficially owns 100% of the issued share capital of, or other ownership interests in, each of Weatherford Bermuda and Weatherford Delaware.</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Each of Weatherford Parent, Weatherford Bermuda and Weatherford Delaware have duly authorized the execution and delivery of this Indenture to provide for the issuance from time to time of debt securities (herein called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of Weatherford Bermuda or Weatherford Delaware, as the case may be, to be issued in one or more series as in this Indenture provided.</w:t>
      </w:r>
    </w:p>
    <w:p>
      <w:pPr>
        <w:spacing w:after="0" w:line="106"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Each series of Securities issued by Weatherford Bermuda will be guaranteed by Weatherford Parent, and may be guaranteed by certain of its Subsidiaries (as defined herein), including Weatherford Delaware, as may be specified in a supplemental indenture hereto or a Board Resolution (as defined herein) or an Officer’s Certificate (as defined herein) of the Issuer (as defined herein) in accordance with the terms hereof. Each series of Securities issued by Weatherford Delaware will be guaranteed by Weatherford Parent, and may be guaranteed by certain of its Subsidiaries, including Weatherford Bermuda, as may be specified in a supplemental indenture hereto or a Board Resolution or an Officer’s Certificate of the Issuer in accordance with the terms hereof.</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All things necessary to make this Indenture a valid agreement of each of the Issuer and the Guarantors, in accordance with its terms, have been done.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NOW, THEREFORE, THIS INDENTURE WITNESSETH:</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For and in consideration of the premises and the purchase of the Securities by the Holders thereof, it is mutually agreed, for the equal and proportionate benefit of all Holders of the Securities or of any series thereof,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ONE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DEFINITIONS AND OTHER PROVISIONS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OF GENERAL APPLICATION</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101.</w:t>
      </w:r>
      <w:r>
        <w:rPr>
          <w:sz w:val="20"/>
          <w:szCs w:val="20"/>
          <w:color w:val="auto"/>
        </w:rPr>
        <w:tab/>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For all purposes of this Indenture, except as otherwise expressly provided or unless the context otherwise requires:</w:t>
      </w:r>
    </w:p>
    <w:p>
      <w:pPr>
        <w:spacing w:after="0" w:line="155" w:lineRule="exact"/>
        <w:rPr>
          <w:sz w:val="20"/>
          <w:szCs w:val="20"/>
          <w:color w:val="auto"/>
        </w:rPr>
      </w:pPr>
    </w:p>
    <w:p>
      <w:pPr>
        <w:ind w:left="1380" w:hanging="508"/>
        <w:spacing w:after="0"/>
        <w:tabs>
          <w:tab w:leader="none" w:pos="13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defined in this Article One have the meanings assigned to them in this Article One and include the plural as well as the singular;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677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53" w:name="page54"/>
    <w:bookmarkEnd w:id="53"/>
    <w:p>
      <w:pPr>
        <w:ind w:left="1380" w:hanging="508"/>
        <w:spacing w:after="0"/>
        <w:tabs>
          <w:tab w:leader="none" w:pos="1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terms used herein which are defined in the Trust Indenture Act, either directly or by reference therein, have the meanings assigned to them therein;</w:t>
      </w:r>
    </w:p>
    <w:p>
      <w:pPr>
        <w:spacing w:after="0" w:line="154" w:lineRule="exact"/>
        <w:rPr>
          <w:rFonts w:ascii="Times New Roman" w:cs="Times New Roman" w:eastAsia="Times New Roman" w:hAnsi="Times New Roman"/>
          <w:sz w:val="12"/>
          <w:szCs w:val="12"/>
          <w:color w:val="auto"/>
        </w:rPr>
      </w:pPr>
    </w:p>
    <w:p>
      <w:pPr>
        <w:ind w:left="1380" w:hanging="508"/>
        <w:spacing w:after="0"/>
        <w:tabs>
          <w:tab w:leader="none" w:pos="1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accounting terms not otherwise defined herein have the meanings assigned to them in accordance with GAAP;</w:t>
      </w:r>
    </w:p>
    <w:p>
      <w:pPr>
        <w:spacing w:after="0" w:line="154" w:lineRule="exact"/>
        <w:rPr>
          <w:rFonts w:ascii="Times New Roman" w:cs="Times New Roman" w:eastAsia="Times New Roman" w:hAnsi="Times New Roman"/>
          <w:sz w:val="12"/>
          <w:szCs w:val="12"/>
          <w:color w:val="auto"/>
        </w:rPr>
      </w:pPr>
    </w:p>
    <w:p>
      <w:pPr>
        <w:ind w:left="1380" w:hanging="508"/>
        <w:spacing w:after="0"/>
        <w:tabs>
          <w:tab w:leader="none" w:pos="1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context otherwise requires, any reference to an “Article” or a “Section” refers to an Article or a Section, as the case may be, of this Indenture;</w:t>
      </w:r>
    </w:p>
    <w:p>
      <w:pPr>
        <w:spacing w:after="0" w:line="154" w:lineRule="exact"/>
        <w:rPr>
          <w:rFonts w:ascii="Times New Roman" w:cs="Times New Roman" w:eastAsia="Times New Roman" w:hAnsi="Times New Roman"/>
          <w:sz w:val="12"/>
          <w:szCs w:val="12"/>
          <w:color w:val="auto"/>
        </w:rPr>
      </w:pPr>
    </w:p>
    <w:p>
      <w:pPr>
        <w:ind w:left="1380" w:hanging="508"/>
        <w:spacing w:after="0"/>
        <w:tabs>
          <w:tab w:leader="none" w:pos="1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“herein,” “hereof” and “hereunder” and other words of similar import refer to this Indenture as a whole and not to any particular Article, Section or other subdivision;</w:t>
      </w:r>
    </w:p>
    <w:p>
      <w:pPr>
        <w:spacing w:after="0" w:line="154" w:lineRule="exact"/>
        <w:rPr>
          <w:rFonts w:ascii="Times New Roman" w:cs="Times New Roman" w:eastAsia="Times New Roman" w:hAnsi="Times New Roman"/>
          <w:sz w:val="12"/>
          <w:szCs w:val="12"/>
          <w:color w:val="auto"/>
        </w:rPr>
      </w:pPr>
    </w:p>
    <w:p>
      <w:pPr>
        <w:ind w:left="1380" w:hanging="508"/>
        <w:spacing w:after="0"/>
        <w:tabs>
          <w:tab w:leader="none" w:pos="13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“including” means including without limitation;</w:t>
      </w:r>
    </w:p>
    <w:p>
      <w:pPr>
        <w:spacing w:after="0" w:line="154" w:lineRule="exact"/>
        <w:rPr>
          <w:rFonts w:ascii="Times New Roman" w:cs="Times New Roman" w:eastAsia="Times New Roman" w:hAnsi="Times New Roman"/>
          <w:sz w:val="12"/>
          <w:szCs w:val="12"/>
          <w:color w:val="auto"/>
        </w:rPr>
      </w:pPr>
    </w:p>
    <w:p>
      <w:pPr>
        <w:jc w:val="both"/>
        <w:ind w:left="440" w:firstLine="432"/>
        <w:spacing w:after="0" w:line="266" w:lineRule="auto"/>
        <w:tabs>
          <w:tab w:leader="none" w:pos="143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used with respect to any Security, the words “convert,” “converted” and “conversion” are intended to refer to the right of the Holder or the Issuer to convert or exchange such Security into or for securities or other property in accordance with such terms, if any, as may hereafter be specified for such Security as contemplated by Section 301, and these words are not intended to refer to any right of the Holder or the Issuer to exchange such Security for other Securities of the same series and like tenor pursuant to Section 304, 305, 306, 906 or 1107 or another similar provisions of this Indenture, unless the context otherwise requires; and references herein to the terms of any Security that may be converted mean such terms as may be specified for such Security as contemplated in Section 301; and</w:t>
      </w:r>
    </w:p>
    <w:p>
      <w:pPr>
        <w:spacing w:after="0" w:line="120" w:lineRule="exact"/>
        <w:rPr>
          <w:rFonts w:ascii="Times New Roman" w:cs="Times New Roman" w:eastAsia="Times New Roman" w:hAnsi="Times New Roman"/>
          <w:sz w:val="12"/>
          <w:szCs w:val="12"/>
          <w:color w:val="auto"/>
        </w:rPr>
      </w:pPr>
    </w:p>
    <w:p>
      <w:pPr>
        <w:ind w:left="440" w:firstLine="432"/>
        <w:spacing w:after="0" w:line="290" w:lineRule="auto"/>
        <w:tabs>
          <w:tab w:leader="none" w:pos="141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Certain terms, used principally in Article Six, are defined in that Article.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when used with respect to any Holder, has the meaning specified in Section 104.</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means any Authentication Agent, Calculation Agent, Paying Agent, Process Agent, Non-Domestic Process Agent or Quotation Agent.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Applicable Banking Laws</w:t>
      </w:r>
      <w:r>
        <w:rPr>
          <w:rFonts w:ascii="Times New Roman" w:cs="Times New Roman" w:eastAsia="Times New Roman" w:hAnsi="Times New Roman"/>
          <w:sz w:val="12"/>
          <w:szCs w:val="12"/>
          <w:color w:val="auto"/>
        </w:rPr>
        <w:t>” has the meaning specified in Section 118.</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Attributable Debt</w:t>
      </w:r>
      <w:r>
        <w:rPr>
          <w:rFonts w:ascii="Times New Roman" w:cs="Times New Roman" w:eastAsia="Times New Roman" w:hAnsi="Times New Roman"/>
          <w:sz w:val="12"/>
          <w:szCs w:val="12"/>
          <w:color w:val="auto"/>
        </w:rPr>
        <w:t>” has the meaning specified in Section 1004(c)(1).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Authenticating Agent</w:t>
      </w:r>
      <w:r>
        <w:rPr>
          <w:rFonts w:ascii="Times New Roman" w:cs="Times New Roman" w:eastAsia="Times New Roman" w:hAnsi="Times New Roman"/>
          <w:sz w:val="12"/>
          <w:szCs w:val="12"/>
          <w:color w:val="auto"/>
        </w:rPr>
        <w:t>” means any person authorized to authenticate and deliver Securities on behalf of the Trustee for the Securities of any series pursuant to Section 614.</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as to any Person, the board of directors or managers, as applicable, of such Person (or, if such Person is a partnership, the board of directors or other governing body of the general partner of such Person), or an executive committee of such Board of Directors or any duly authorized committee of that Board of Directors or any director(s), manager(s) and/or officer(s), as the case may be, to whom that Board of Directors or committee shall have duly delegated its authority.</w:t>
      </w:r>
    </w:p>
    <w:p>
      <w:pPr>
        <w:spacing w:after="0" w:line="117"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Resolution</w:t>
      </w:r>
      <w:r>
        <w:rPr>
          <w:rFonts w:ascii="Times New Roman" w:cs="Times New Roman" w:eastAsia="Times New Roman" w:hAnsi="Times New Roman"/>
          <w:sz w:val="12"/>
          <w:szCs w:val="12"/>
          <w:color w:val="auto"/>
        </w:rPr>
        <w:t>” means a copy of one or more resolutions adopted by the Board of Directors of a Person, certified by the Secretary or an Assistant Secretary (or Persons performing similar functions) of such Person (or if such Person does not have a Secretary or Assistant Secretary, a director or manager of such Person) to have been duly adopted by such Board of Directors and to be in full force and effect on the date of such certification and delivered to the Trustee.</w:t>
      </w:r>
    </w:p>
    <w:p>
      <w:pPr>
        <w:spacing w:after="0" w:line="117"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06"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Calculation Agent</w:t>
      </w:r>
      <w:r>
        <w:rPr>
          <w:rFonts w:ascii="Times New Roman" w:cs="Times New Roman" w:eastAsia="Times New Roman" w:hAnsi="Times New Roman"/>
          <w:sz w:val="12"/>
          <w:szCs w:val="12"/>
          <w:color w:val="auto"/>
        </w:rPr>
        <w:t>” means any person authorized by the Issuer to determine the floating rate interest rate of any series of Securities bearing a floating rate of interest. Initially, Deutsche Bank Trust Company Americas shall act as Calculation Agent in connection with the Securities. The Calculation Agent shall serve as the calculation agent hereunder unless and until a successor calculation agent is appointed by the Issuer of such Securities.</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Request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Company Order</w:t>
      </w:r>
      <w:r>
        <w:rPr>
          <w:rFonts w:ascii="Times New Roman" w:cs="Times New Roman" w:eastAsia="Times New Roman" w:hAnsi="Times New Roman"/>
          <w:sz w:val="12"/>
          <w:szCs w:val="12"/>
          <w:color w:val="auto"/>
        </w:rPr>
        <w:t>” means a written request or order signed in the name of the Issuer by an Officer of the Issuer and delivered to the Trustee for the Securities of any series.</w:t>
      </w:r>
    </w:p>
    <w:p>
      <w:pPr>
        <w:spacing w:after="0" w:line="155" w:lineRule="exact"/>
        <w:rPr>
          <w:sz w:val="20"/>
          <w:szCs w:val="20"/>
          <w:color w:val="auto"/>
        </w:rPr>
      </w:pPr>
    </w:p>
    <w:p>
      <w:pPr>
        <w:jc w:val="both"/>
        <w:ind w:right="20" w:firstLine="43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Corporate Trust Office</w:t>
      </w:r>
      <w:r>
        <w:rPr>
          <w:rFonts w:ascii="Times New Roman" w:cs="Times New Roman" w:eastAsia="Times New Roman" w:hAnsi="Times New Roman"/>
          <w:sz w:val="12"/>
          <w:szCs w:val="12"/>
          <w:color w:val="auto"/>
        </w:rPr>
        <w:t>” means the office of the Trustee at which at any particular time its corporate trust business with respect to this Indenture shall be administered, which office at the date hereof is located at Deutsche Bank Trust Company Americas, Trust &amp; Agency Services, 1 Columbus Circle, 17th Floor, Mail Stop NYC01-1710, New York, NY 10019, USA, Attn: Corporate Team - Weatherford (AA1484), or such other address as the Trustee may designate from time to time by notice to the Holders and the Issuer, or the principal corporate trust office of any successor Trustee (or such other address as such successor Trustee may designate from time to time by notice to the Issuer and the Holders).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Defaulted Interest</w:t>
      </w:r>
      <w:r>
        <w:rPr>
          <w:rFonts w:ascii="Times New Roman" w:cs="Times New Roman" w:eastAsia="Times New Roman" w:hAnsi="Times New Roman"/>
          <w:sz w:val="12"/>
          <w:szCs w:val="12"/>
          <w:color w:val="auto"/>
        </w:rPr>
        <w:t>” has the meaning specified in Section 307.</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Dollar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means a dollar or other equivalent unit in such coin or currency of the United States of America as at the time shall be legal tender for the payment of public and private debts.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Domestic Process Agent</w:t>
      </w:r>
      <w:r>
        <w:rPr>
          <w:rFonts w:ascii="Times New Roman" w:cs="Times New Roman" w:eastAsia="Times New Roman" w:hAnsi="Times New Roman"/>
          <w:sz w:val="12"/>
          <w:szCs w:val="12"/>
          <w:color w:val="auto"/>
        </w:rPr>
        <w:t>” has the meaning specified in Section 112.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unless otherwise specified in the supplemental indenture, Board Resolution or Officer’s Certificate establishing a series of Securities, has the meaning specified in Section 501.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Funded Indebtedness</w:t>
      </w:r>
      <w:r>
        <w:rPr>
          <w:rFonts w:ascii="Times New Roman" w:cs="Times New Roman" w:eastAsia="Times New Roman" w:hAnsi="Times New Roman"/>
          <w:sz w:val="12"/>
          <w:szCs w:val="12"/>
          <w:color w:val="auto"/>
        </w:rPr>
        <w:t>” means indebtedness created, assumed or guaranteed by a Person for money borrowed which matures by its terms, or is renewable by the borrower to a date, more than one year after the date of its original creation, assumption or guarantee.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generally accepted accounting principles in the United States (including, if applicable, International Financial Reporting Standards)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Global Security</w:t>
      </w:r>
      <w:r>
        <w:rPr>
          <w:rFonts w:ascii="Times New Roman" w:cs="Times New Roman" w:eastAsia="Times New Roman" w:hAnsi="Times New Roman"/>
          <w:sz w:val="12"/>
          <w:szCs w:val="12"/>
          <w:color w:val="auto"/>
        </w:rPr>
        <w:t>” means a Security evidencing all or part of a series of Securities, including, without limitation, any temporary or permanent Global Securities.</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means the guarantee by each Guarantor as endorsed on each Security and authenticated and delivered pursuant to this Indenture, which guarantee shall include the provisions set forth in Article Thirteen of this Indenture. “</w:t>
      </w:r>
      <w:r>
        <w:rPr>
          <w:rFonts w:ascii="Times New Roman" w:cs="Times New Roman" w:eastAsia="Times New Roman" w:hAnsi="Times New Roman"/>
          <w:sz w:val="12"/>
          <w:szCs w:val="12"/>
          <w:u w:val="single" w:color="auto"/>
          <w:color w:val="auto"/>
        </w:rPr>
        <w:t>Guaranteed</w:t>
      </w:r>
      <w:r>
        <w:rPr>
          <w:rFonts w:ascii="Times New Roman" w:cs="Times New Roman" w:eastAsia="Times New Roman" w:hAnsi="Times New Roman"/>
          <w:sz w:val="12"/>
          <w:szCs w:val="12"/>
          <w:color w:val="auto"/>
        </w:rPr>
        <w:t>” shall have a meaning correlative to the foregoing.</w:t>
      </w:r>
    </w:p>
    <w:p>
      <w:pPr>
        <w:spacing w:after="0" w:line="106"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Guarantors</w:t>
      </w:r>
      <w:r>
        <w:rPr>
          <w:rFonts w:ascii="Times New Roman" w:cs="Times New Roman" w:eastAsia="Times New Roman" w:hAnsi="Times New Roman"/>
          <w:sz w:val="12"/>
          <w:szCs w:val="12"/>
          <w:color w:val="auto"/>
        </w:rPr>
        <w:t>” means, (i) in respect of a series of Securities issued by Weatherford Bermuda, (a) Weatherford Parent and each Person, if any, named as a “Guarantor” pursuant to a supplemental indenture hereto or a Board Resolution or an Officer’s Certificate of the Issuer in accordance with the terms of this Indenture (until such Person ceases to be a Guarantor pursuant to the terms of this Indenture) and (b) any successor company thereof that shall have become a Guarantor pursuant to the applicable provisions of this Indenture, and (ii) in respect of a series of Securities issued by Weatherford Delaware, (A) Weatherford Parent and each other Person, if any, named as a “Guarantor” pursuant to a supplemental indenture hereto or a Board Resolution or an Officer’s Certificate of the Issuer in accordance with the terms of this Indenture (until such Person ceases to be a Guarantor pursuant to the terms of this Indenture) and (B) any successor company thereof that shall have become a Guarantor pursuant to the applicable provisions of this Indenture.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means a person in whose name a Security is registered in the Security Register.</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Indenture</w:t>
      </w:r>
      <w:r>
        <w:rPr>
          <w:rFonts w:ascii="Times New Roman" w:cs="Times New Roman" w:eastAsia="Times New Roman" w:hAnsi="Times New Roman"/>
          <w:sz w:val="12"/>
          <w:szCs w:val="12"/>
          <w:color w:val="auto"/>
        </w:rPr>
        <w:t>” means this Indenture as originally executed and as it may from time to time be supplemented or amended by one or more indentures supplemental hereto entered into pursuant to the applicable provisions hereof, including, for all purposes of this Indenture and any such supplemental indenture, the provisions of the Trust Indenture Act that are deemed to be a part of and govern this Indenture and any such supplemental indenture, respectively. The term “Indenture” shall also include the terms of particular series of Securities established as contemplated by Section 301.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w:t>
      </w:r>
      <w:r>
        <w:rPr>
          <w:rFonts w:ascii="Times New Roman" w:cs="Times New Roman" w:eastAsia="Times New Roman" w:hAnsi="Times New Roman"/>
          <w:sz w:val="12"/>
          <w:szCs w:val="12"/>
          <w:color w:val="auto"/>
        </w:rPr>
        <w:t>”, when used with respect to an Original Issue Discount Security which by its terms bears interest only after Maturity, means interest payable after Maturity.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Payment Date</w:t>
      </w:r>
      <w:r>
        <w:rPr>
          <w:rFonts w:ascii="Times New Roman" w:cs="Times New Roman" w:eastAsia="Times New Roman" w:hAnsi="Times New Roman"/>
          <w:sz w:val="12"/>
          <w:szCs w:val="12"/>
          <w:color w:val="auto"/>
        </w:rPr>
        <w:t>”, when used with respect to any Security, means the Stated Maturity of an installment of interest on such Security.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Issuer</w:t>
      </w:r>
      <w:r>
        <w:rPr>
          <w:rFonts w:ascii="Times New Roman" w:cs="Times New Roman" w:eastAsia="Times New Roman" w:hAnsi="Times New Roman"/>
          <w:sz w:val="12"/>
          <w:szCs w:val="12"/>
          <w:color w:val="auto"/>
        </w:rPr>
        <w:t>” means, (i) Weatherford Bermuda, in the case of Securities issued by Weatherford Bermuda, and (ii) Weatherford Delaware, in the case of Securities issued by Weatherford Delaware.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Judgment Currency</w:t>
      </w:r>
      <w:r>
        <w:rPr>
          <w:rFonts w:ascii="Times New Roman" w:cs="Times New Roman" w:eastAsia="Times New Roman" w:hAnsi="Times New Roman"/>
          <w:sz w:val="12"/>
          <w:szCs w:val="12"/>
          <w:color w:val="auto"/>
        </w:rPr>
        <w:t>” has the meaning specified in Section 117.</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Maturity</w:t>
      </w:r>
      <w:r>
        <w:rPr>
          <w:rFonts w:ascii="Times New Roman" w:cs="Times New Roman" w:eastAsia="Times New Roman" w:hAnsi="Times New Roman"/>
          <w:sz w:val="12"/>
          <w:szCs w:val="12"/>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Mortgage</w:t>
      </w:r>
      <w:r>
        <w:rPr>
          <w:rFonts w:ascii="Times New Roman" w:cs="Times New Roman" w:eastAsia="Times New Roman" w:hAnsi="Times New Roman"/>
          <w:sz w:val="12"/>
          <w:szCs w:val="12"/>
          <w:color w:val="auto"/>
        </w:rPr>
        <w:t>” has the meaning specified in Section 1004(c)(3).</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Non-Domestic Process Agent</w:t>
      </w:r>
      <w:r>
        <w:rPr>
          <w:rFonts w:ascii="Times New Roman" w:cs="Times New Roman" w:eastAsia="Times New Roman" w:hAnsi="Times New Roman"/>
          <w:sz w:val="12"/>
          <w:szCs w:val="12"/>
          <w:color w:val="auto"/>
        </w:rPr>
        <w:t>” has the meaning specified in Section 112.</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w:t>
      </w:r>
      <w:r>
        <w:rPr>
          <w:rFonts w:ascii="Times New Roman" w:cs="Times New Roman" w:eastAsia="Times New Roman" w:hAnsi="Times New Roman"/>
          <w:sz w:val="12"/>
          <w:szCs w:val="12"/>
          <w:color w:val="auto"/>
        </w:rPr>
        <w:t>” means the Chairman of the Board, any Vice Chairman, any other director or manager, the Chief Executive Officer, the President, any Vice President, the Chief Operating Officer, the Principal Accounting Officer, the Treasurer, any Assistant Treasurer, the Principal Financial Officer, the Controller, the General Counsel, the Secretary or any Assistant Secretary of the Issuer or any of the Guarantors, as the case may be.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means a certificate signed by an Officer of the Issuer or any of the Guarantors, as applicable, and delivered to the Trustee.</w:t>
      </w:r>
    </w:p>
    <w:p>
      <w:pPr>
        <w:spacing w:after="0" w:line="155"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Opinion of Counsel</w:t>
      </w:r>
      <w:r>
        <w:rPr>
          <w:rFonts w:ascii="Times New Roman" w:cs="Times New Roman" w:eastAsia="Times New Roman" w:hAnsi="Times New Roman"/>
          <w:sz w:val="12"/>
          <w:szCs w:val="12"/>
          <w:color w:val="auto"/>
        </w:rPr>
        <w:t>” means a written opinion of counsel, who may be an employee of or regular counsel for the Issuer or a Guarantor, or for both, as the case may be, or may be other counsel reasonably satisfactory to the Trustee. Each such opinion shall include the statements provided for in Section 102 if and to the extent required by this Indenture. Opinions of Counsel required to be delivered under this Indenture may have qualifications customary for opinions of the type required and counsel delivering such Opinions of Counsel may rely as to factual matters on certificates of the Issuer, the Guarantors or governmental or other officials customary for opinions of the type required.</w:t>
      </w:r>
    </w:p>
    <w:p>
      <w:pPr>
        <w:spacing w:after="0" w:line="268"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Original Issue Discount Security</w:t>
      </w:r>
      <w:r>
        <w:rPr>
          <w:rFonts w:ascii="Times New Roman" w:cs="Times New Roman" w:eastAsia="Times New Roman" w:hAnsi="Times New Roman"/>
          <w:sz w:val="12"/>
          <w:szCs w:val="12"/>
          <w:color w:val="auto"/>
        </w:rPr>
        <w:t>” means any Security which provides for an amount less than the principal amount thereof to be due and payable upon a declaration of acceleration of the Maturity thereof pursuant to Section 502.</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Outstanding</w:t>
      </w:r>
      <w:r>
        <w:rPr>
          <w:rFonts w:ascii="Times New Roman" w:cs="Times New Roman" w:eastAsia="Times New Roman" w:hAnsi="Times New Roman"/>
          <w:sz w:val="12"/>
          <w:szCs w:val="12"/>
          <w:color w:val="auto"/>
        </w:rPr>
        <w:t>” when used with respect to Securities, means, as of the date of determination, all Securities theretofore authenticated and delivered under this Indenture, except:</w:t>
      </w:r>
    </w:p>
    <w:p>
      <w:pPr>
        <w:spacing w:after="0" w:line="155" w:lineRule="exact"/>
        <w:rPr>
          <w:sz w:val="20"/>
          <w:szCs w:val="20"/>
          <w:color w:val="auto"/>
        </w:rPr>
      </w:pPr>
    </w:p>
    <w:p>
      <w:pPr>
        <w:ind w:left="5620" w:right="4540" w:hanging="4748"/>
        <w:spacing w:after="0" w:line="799" w:lineRule="auto"/>
        <w:tabs>
          <w:tab w:leader="none" w:pos="1359"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theretofore cancelled by the Trustee for such Securities or delivered to such Trustee for cancellation;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17677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7" w:name="page58"/>
    <w:bookmarkEnd w:id="57"/>
    <w:p>
      <w:pPr>
        <w:jc w:val="both"/>
        <w:ind w:left="440" w:right="20" w:firstLine="432"/>
        <w:spacing w:after="0" w:line="272" w:lineRule="auto"/>
        <w:tabs>
          <w:tab w:leader="none" w:pos="143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Securities or portions thereof, for whose payment or redemption money in the necessary amount has been theretofore deposited with the Trustee for such Securities or any Paying Agent (other than the Issuer) in trust or set aside and segregated in trust by the Issuer (if the Issuer shall act as its own Paying Agent) for the Holders of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Securities are to be redeemed, notice of such redemption has been duly given pursuant to this Indenture or provision therefor reasonably satisfactory to such Trustee has been made;</w:t>
      </w:r>
    </w:p>
    <w:p>
      <w:pPr>
        <w:spacing w:after="0" w:line="116" w:lineRule="exact"/>
        <w:rPr>
          <w:rFonts w:ascii="Times New Roman" w:cs="Times New Roman" w:eastAsia="Times New Roman" w:hAnsi="Times New Roman"/>
          <w:sz w:val="12"/>
          <w:szCs w:val="12"/>
          <w:color w:val="auto"/>
        </w:rPr>
      </w:pPr>
    </w:p>
    <w:p>
      <w:pPr>
        <w:ind w:left="1420" w:hanging="548"/>
        <w:spacing w:after="0"/>
        <w:tabs>
          <w:tab w:leader="none" w:pos="1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as to which defeasance has been effected pursuant to Section 403;</w:t>
      </w:r>
    </w:p>
    <w:p>
      <w:pPr>
        <w:spacing w:after="0" w:line="154" w:lineRule="exact"/>
        <w:rPr>
          <w:rFonts w:ascii="Times New Roman" w:cs="Times New Roman" w:eastAsia="Times New Roman" w:hAnsi="Times New Roman"/>
          <w:sz w:val="12"/>
          <w:szCs w:val="12"/>
          <w:color w:val="auto"/>
        </w:rPr>
      </w:pPr>
    </w:p>
    <w:p>
      <w:pPr>
        <w:jc w:val="both"/>
        <w:ind w:left="440" w:firstLine="432"/>
        <w:spacing w:after="0" w:line="272" w:lineRule="auto"/>
        <w:tabs>
          <w:tab w:leader="none" w:pos="149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for such Securities proof satisfactory to it that such Securities are held by a bona fide purchaser in whose hands such Securities are valid obligations of the Issuer; and</w:t>
      </w:r>
    </w:p>
    <w:p>
      <w:pPr>
        <w:spacing w:after="0" w:line="116" w:lineRule="exact"/>
        <w:rPr>
          <w:rFonts w:ascii="Times New Roman" w:cs="Times New Roman" w:eastAsia="Times New Roman" w:hAnsi="Times New Roman"/>
          <w:sz w:val="12"/>
          <w:szCs w:val="12"/>
          <w:color w:val="auto"/>
        </w:rPr>
      </w:pPr>
    </w:p>
    <w:p>
      <w:pPr>
        <w:ind w:left="440" w:firstLine="432"/>
        <w:spacing w:after="0" w:line="290" w:lineRule="auto"/>
        <w:tabs>
          <w:tab w:leader="none" w:pos="1406"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301;</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composite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Issuer, the Guarantors or any other obligor upon the Securities or any Affiliate of the Issuer, the Guarantors or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a Guarantor or any other obligor upon the Securities or any Affiliate of the Issuer, any Guarantor or such other obligor.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Paying Agent</w:t>
      </w:r>
      <w:r>
        <w:rPr>
          <w:rFonts w:ascii="Times New Roman" w:cs="Times New Roman" w:eastAsia="Times New Roman" w:hAnsi="Times New Roman"/>
          <w:sz w:val="12"/>
          <w:szCs w:val="12"/>
          <w:color w:val="auto"/>
        </w:rPr>
        <w:t>” when used with respect to the Securities of any series means any person authorized by the Issuer to pay the principal of (and premium, if any, on) or interest, if any, on any Securities on behalf of the Issuer.</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corporation, partnership, limited liability company, joint venture, association, joint-stock company, trust, unincorporated organization or government or any agency or political subdivision thereof or any other entity.</w:t>
      </w:r>
    </w:p>
    <w:p>
      <w:pPr>
        <w:spacing w:after="0" w:line="106"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Place of Payment</w:t>
      </w:r>
      <w:r>
        <w:rPr>
          <w:rFonts w:ascii="Times New Roman" w:cs="Times New Roman" w:eastAsia="Times New Roman" w:hAnsi="Times New Roman"/>
          <w:sz w:val="12"/>
          <w:szCs w:val="12"/>
          <w:color w:val="auto"/>
        </w:rPr>
        <w:t>” when used with respect to the Securities of any series, means the place or places where the principal of (and premium, if any, on) and interest, if any, on the Securities of that series are payable as specified in or as contemplated by Section 301.</w:t>
      </w:r>
    </w:p>
    <w:p>
      <w:pPr>
        <w:spacing w:after="0" w:line="106"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Predecessor Security</w:t>
      </w:r>
      <w:r>
        <w:rPr>
          <w:rFonts w:ascii="Times New Roman" w:cs="Times New Roman" w:eastAsia="Times New Roman" w:hAnsi="Times New Roman"/>
          <w:sz w:val="12"/>
          <w:szCs w:val="1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Principal Property</w:t>
      </w:r>
      <w:r>
        <w:rPr>
          <w:rFonts w:ascii="Times New Roman" w:cs="Times New Roman" w:eastAsia="Times New Roman" w:hAnsi="Times New Roman"/>
          <w:sz w:val="12"/>
          <w:szCs w:val="12"/>
          <w:color w:val="auto"/>
        </w:rPr>
        <w:t>” means any real property, manufacturing plant, warehouse, office building or other physical facility, or any item of transportation or construction equipment or other like depreciable assets of Weatherford Parent or of any Restricted Subsidiary, that in the opinion of the Board of Directors is of material importance to the total business conducted by Weatherford Parent and its Restricted Subsidiaries as a whole.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 Agent</w:t>
      </w:r>
      <w:r>
        <w:rPr>
          <w:rFonts w:ascii="Times New Roman" w:cs="Times New Roman" w:eastAsia="Times New Roman" w:hAnsi="Times New Roman"/>
          <w:sz w:val="12"/>
          <w:szCs w:val="12"/>
          <w:color w:val="auto"/>
        </w:rPr>
        <w:t>” has the meaning specified in Section 112.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Redemption Date</w:t>
      </w:r>
      <w:r>
        <w:rPr>
          <w:rFonts w:ascii="Times New Roman" w:cs="Times New Roman" w:eastAsia="Times New Roman" w:hAnsi="Times New Roman"/>
          <w:sz w:val="12"/>
          <w:szCs w:val="12"/>
          <w:color w:val="auto"/>
        </w:rPr>
        <w:t>” when used with respect to any Security to be redeemed, means the date fixed for such redemption by or pursuant to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Redemption Price</w:t>
      </w:r>
      <w:r>
        <w:rPr>
          <w:rFonts w:ascii="Times New Roman" w:cs="Times New Roman" w:eastAsia="Times New Roman" w:hAnsi="Times New Roman"/>
          <w:sz w:val="12"/>
          <w:szCs w:val="12"/>
          <w:color w:val="auto"/>
        </w:rPr>
        <w:t>” when used with respect to any Security to be redeemed, means the price at which it is to be redeemed pursuant to this Indenture, exclusive of accrued and unpaid interest.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Regular Record Date</w:t>
      </w:r>
      <w:r>
        <w:rPr>
          <w:rFonts w:ascii="Times New Roman" w:cs="Times New Roman" w:eastAsia="Times New Roman" w:hAnsi="Times New Roman"/>
          <w:sz w:val="12"/>
          <w:szCs w:val="12"/>
          <w:color w:val="auto"/>
        </w:rPr>
        <w:t>” for the interest payable on any Interest Payment Date on the Securities of any series means the date specified for that purpose as contemplated by Section 301.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Currency</w:t>
      </w:r>
      <w:r>
        <w:rPr>
          <w:rFonts w:ascii="Times New Roman" w:cs="Times New Roman" w:eastAsia="Times New Roman" w:hAnsi="Times New Roman"/>
          <w:sz w:val="12"/>
          <w:szCs w:val="12"/>
          <w:color w:val="auto"/>
        </w:rPr>
        <w:t>” has the meaning specified in Section 117.</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Responsible Officer</w:t>
      </w:r>
      <w:r>
        <w:rPr>
          <w:rFonts w:ascii="Times New Roman" w:cs="Times New Roman" w:eastAsia="Times New Roman" w:hAnsi="Times New Roman"/>
          <w:sz w:val="12"/>
          <w:szCs w:val="12"/>
          <w:color w:val="auto"/>
        </w:rPr>
        <w:t>” when used with respect to the Trustee for the Securities of any series, means any vice president, any assistant vice president, any trust officer, any assistant trust officer or any other officer of such Trustee who customarily performs functions similar to those performed by any of the above designated officers, and also means, with respect to a particular trust matter, any other officer of the Trustee to whom such matter is referred because of such person’s knowledge of and familiarity with the particular subject and in each case, who shall have direct responsibility for the administration of this Indenture.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9" w:name="page60"/>
    <w:bookmarkEnd w:id="59"/>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Subsidiary</w:t>
      </w:r>
      <w:r>
        <w:rPr>
          <w:rFonts w:ascii="Times New Roman" w:cs="Times New Roman" w:eastAsia="Times New Roman" w:hAnsi="Times New Roman"/>
          <w:sz w:val="12"/>
          <w:szCs w:val="12"/>
          <w:color w:val="auto"/>
        </w:rPr>
        <w:t>” means any Subsidiary which owns a Principal Property excluding however, any entity the greater part of the operating assets of which are located, or the principal business of which is carried on, outside the United States of America.</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Sale and Leaseback Transaction</w:t>
      </w:r>
      <w:r>
        <w:rPr>
          <w:rFonts w:ascii="Times New Roman" w:cs="Times New Roman" w:eastAsia="Times New Roman" w:hAnsi="Times New Roman"/>
          <w:sz w:val="12"/>
          <w:szCs w:val="12"/>
          <w:color w:val="auto"/>
        </w:rPr>
        <w:t>” has the meaning specified in Section 1005.</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Register</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Security Registrar</w:t>
      </w:r>
      <w:r>
        <w:rPr>
          <w:rFonts w:ascii="Times New Roman" w:cs="Times New Roman" w:eastAsia="Times New Roman" w:hAnsi="Times New Roman"/>
          <w:sz w:val="12"/>
          <w:szCs w:val="12"/>
          <w:color w:val="auto"/>
        </w:rPr>
        <w:t>” have the respective meanings specified in Section 305.</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Shareholders’ equity in Weatherford Parent and its consolidated Subsidiaries</w:t>
      </w:r>
      <w:r>
        <w:rPr>
          <w:rFonts w:ascii="Times New Roman" w:cs="Times New Roman" w:eastAsia="Times New Roman" w:hAnsi="Times New Roman"/>
          <w:sz w:val="12"/>
          <w:szCs w:val="12"/>
          <w:color w:val="auto"/>
        </w:rPr>
        <w:t>” has the meaning specified in Section 1004(c)(2).</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Signature Law</w:t>
      </w:r>
      <w:r>
        <w:rPr>
          <w:rFonts w:ascii="Times New Roman" w:cs="Times New Roman" w:eastAsia="Times New Roman" w:hAnsi="Times New Roman"/>
          <w:sz w:val="12"/>
          <w:szCs w:val="12"/>
          <w:color w:val="auto"/>
        </w:rPr>
        <w:t>” has the meaning specified in Section 117.</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Special Record Date</w:t>
      </w:r>
      <w:r>
        <w:rPr>
          <w:rFonts w:ascii="Times New Roman" w:cs="Times New Roman" w:eastAsia="Times New Roman" w:hAnsi="Times New Roman"/>
          <w:sz w:val="12"/>
          <w:szCs w:val="12"/>
          <w:color w:val="auto"/>
        </w:rPr>
        <w:t>” for the payment of any Defaulted Interest means a date fixed by the Trustee for such series pursuant to Section 307.</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Stated Maturity</w:t>
      </w:r>
      <w:r>
        <w:rPr>
          <w:rFonts w:ascii="Times New Roman" w:cs="Times New Roman" w:eastAsia="Times New Roman" w:hAnsi="Times New Roman"/>
          <w:sz w:val="12"/>
          <w:szCs w:val="12"/>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06"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Parent or by Weatherford Parent and one or more Subsidiaries or by one or more Subsidiaries of Weatherford Parent.</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each such Trustee with respect to those series of Securities with respect to which it is serving as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Indenture Act</w:t>
      </w:r>
      <w:r>
        <w:rPr>
          <w:rFonts w:ascii="Times New Roman" w:cs="Times New Roman" w:eastAsia="Times New Roman" w:hAnsi="Times New Roman"/>
          <w:sz w:val="12"/>
          <w:szCs w:val="12"/>
          <w:color w:val="auto"/>
        </w:rPr>
        <w:t>” means the Trust Indenture Act of 1939 as in force at the date as of which this Indenture was executed, except as provided in Section 905.</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Depositary</w:t>
      </w:r>
      <w:r>
        <w:rPr>
          <w:rFonts w:ascii="Times New Roman" w:cs="Times New Roman" w:eastAsia="Times New Roman" w:hAnsi="Times New Roman"/>
          <w:sz w:val="12"/>
          <w:szCs w:val="12"/>
          <w:color w:val="auto"/>
        </w:rPr>
        <w:t>” means a clearing agency registered under the Exchange Act, or any successor thereto, which shall have become such pursuant to the applicable provisions of this Indenture, and thereafter “</w:t>
      </w:r>
      <w:r>
        <w:rPr>
          <w:rFonts w:ascii="Times New Roman" w:cs="Times New Roman" w:eastAsia="Times New Roman" w:hAnsi="Times New Roman"/>
          <w:sz w:val="12"/>
          <w:szCs w:val="12"/>
          <w:u w:val="single" w:color="auto"/>
          <w:color w:val="auto"/>
        </w:rPr>
        <w:t>U.S.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Depositary</w:t>
      </w:r>
      <w:r>
        <w:rPr>
          <w:rFonts w:ascii="Times New Roman" w:cs="Times New Roman" w:eastAsia="Times New Roman" w:hAnsi="Times New Roman"/>
          <w:sz w:val="12"/>
          <w:szCs w:val="12"/>
          <w:color w:val="auto"/>
        </w:rPr>
        <w:t>” shall mean or include each Person who is then a U.S. Depositary hereunder, and if at any time there is more than one such Person, “</w:t>
      </w:r>
      <w:r>
        <w:rPr>
          <w:rFonts w:ascii="Times New Roman" w:cs="Times New Roman" w:eastAsia="Times New Roman" w:hAnsi="Times New Roman"/>
          <w:sz w:val="12"/>
          <w:szCs w:val="12"/>
          <w:u w:val="single" w:color="auto"/>
          <w:color w:val="auto"/>
        </w:rPr>
        <w:t>U.S. Depositary</w:t>
      </w:r>
      <w:r>
        <w:rPr>
          <w:rFonts w:ascii="Times New Roman" w:cs="Times New Roman" w:eastAsia="Times New Roman" w:hAnsi="Times New Roman"/>
          <w:sz w:val="12"/>
          <w:szCs w:val="12"/>
          <w:color w:val="auto"/>
        </w:rPr>
        <w:t>” as used with respect to the Securities of any series shall mean the U.S. Depositary with respect to the Securities of that series.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0" w:name="page61"/>
    <w:bookmarkEnd w:id="60"/>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U.S. Government Obligations</w:t>
      </w:r>
      <w:r>
        <w:rPr>
          <w:rFonts w:ascii="Times New Roman" w:cs="Times New Roman" w:eastAsia="Times New Roman" w:hAnsi="Times New Roman"/>
          <w:sz w:val="12"/>
          <w:szCs w:val="12"/>
          <w:color w:val="auto"/>
        </w:rPr>
        <w:t>” means direct obligations of the United States for the payment of which its full faith and credit is pledged, or obligations of a person controlled or supervised by and acting as an agency or instrumentality of the United States and the payment of which is unconditionally guaranteed by the United States.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Vice President</w:t>
      </w:r>
      <w:r>
        <w:rPr>
          <w:rFonts w:ascii="Times New Roman" w:cs="Times New Roman" w:eastAsia="Times New Roman" w:hAnsi="Times New Roman"/>
          <w:sz w:val="12"/>
          <w:szCs w:val="12"/>
          <w:color w:val="auto"/>
        </w:rPr>
        <w:t>”, when used with respect to the Issuer or the Guarantors, means any vice president, whether or not designated by a number or a word or words added before or after the title “</w:t>
      </w:r>
      <w:r>
        <w:rPr>
          <w:rFonts w:ascii="Times New Roman" w:cs="Times New Roman" w:eastAsia="Times New Roman" w:hAnsi="Times New Roman"/>
          <w:sz w:val="12"/>
          <w:szCs w:val="12"/>
          <w:u w:val="single" w:color="auto"/>
          <w:color w:val="auto"/>
        </w:rPr>
        <w:t>vice president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Weatherford Bermuda</w:t>
      </w:r>
      <w:r>
        <w:rPr>
          <w:rFonts w:ascii="Times New Roman" w:cs="Times New Roman" w:eastAsia="Times New Roman" w:hAnsi="Times New Roman"/>
          <w:sz w:val="12"/>
          <w:szCs w:val="12"/>
          <w:color w:val="auto"/>
        </w:rPr>
        <w:t>” means the Person named as “Weatherford Bermuda” in the first paragraph of this Indenture until a successor Person shall have become such pursuant to the applicable provisions of this Indenture, and thereafter “Weatherford Bermuda” shall mean such successor Person.</w:t>
      </w:r>
    </w:p>
    <w:p>
      <w:pPr>
        <w:spacing w:after="0" w:line="106"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Weatherford Delaware</w:t>
      </w:r>
      <w:r>
        <w:rPr>
          <w:rFonts w:ascii="Times New Roman" w:cs="Times New Roman" w:eastAsia="Times New Roman" w:hAnsi="Times New Roman"/>
          <w:sz w:val="12"/>
          <w:szCs w:val="12"/>
          <w:color w:val="auto"/>
        </w:rPr>
        <w:t>” means the Person named as “Weatherford Delaware” in the first paragraph of this Indenture until a successor Person shall have become such pursuant to the applicable provisions of this Indenture, and thereafter “Weatherford Delaware” shall mean such successor Person.</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Weatherford Parent</w:t>
      </w:r>
      <w:r>
        <w:rPr>
          <w:rFonts w:ascii="Times New Roman" w:cs="Times New Roman" w:eastAsia="Times New Roman" w:hAnsi="Times New Roman"/>
          <w:sz w:val="12"/>
          <w:szCs w:val="12"/>
          <w:color w:val="auto"/>
        </w:rPr>
        <w:t>” means Weatherford International plc until a successor Person shall have become such pursuant to the applicable provisions of this Indenture, and thereafter “Weatherford Parent” shall mean such successor Person.</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102.</w:t>
      </w:r>
      <w:r>
        <w:rPr>
          <w:sz w:val="20"/>
          <w:szCs w:val="20"/>
          <w:color w:val="auto"/>
        </w:rPr>
        <w:tab/>
      </w:r>
      <w:r>
        <w:rPr>
          <w:rFonts w:ascii="Times New Roman" w:cs="Times New Roman" w:eastAsia="Times New Roman" w:hAnsi="Times New Roman"/>
          <w:sz w:val="12"/>
          <w:szCs w:val="12"/>
          <w:u w:val="single" w:color="auto"/>
          <w:color w:val="auto"/>
        </w:rPr>
        <w:t>Compliance Certificates and Opinions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Upon any application or request by the Issuer or any Guarantor to the Trustee for any series of Securities to take any action under any provision of this Indenture, the Issuer or such Guarantor, as the case may be, shall furnish to such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Every certificate or opinion with respect to compliance with a condition or covenant provided for in this Indenture shall include:</w:t>
      </w:r>
    </w:p>
    <w:p>
      <w:pPr>
        <w:spacing w:after="0" w:line="155" w:lineRule="exact"/>
        <w:rPr>
          <w:sz w:val="20"/>
          <w:szCs w:val="20"/>
          <w:color w:val="auto"/>
        </w:rPr>
      </w:pPr>
    </w:p>
    <w:p>
      <w:pPr>
        <w:ind w:left="1380" w:hanging="508"/>
        <w:spacing w:after="0"/>
        <w:tabs>
          <w:tab w:leader="none" w:pos="1380" w:val="left"/>
        </w:tabs>
        <w:numPr>
          <w:ilvl w:val="0"/>
          <w:numId w:val="3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statement that each individual signing such certificate or opinion has read such covenant or condition and the definitions herein relating thereto;</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3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brief statement as to the nature and scope of the examination or investigation upon which the statements or opinions contained in such certificate or opinion are based;</w:t>
      </w:r>
    </w:p>
    <w:p>
      <w:pPr>
        <w:spacing w:after="0" w:line="154"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387" w:val="left"/>
        </w:tabs>
        <w:numPr>
          <w:ilvl w:val="0"/>
          <w:numId w:val="3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1" w:name="page62"/>
    <w:bookmarkEnd w:id="61"/>
    <w:p>
      <w:pPr>
        <w:ind w:left="440" w:right="4200" w:firstLine="432"/>
        <w:spacing w:after="0" w:line="509" w:lineRule="auto"/>
        <w:tabs>
          <w:tab w:leader="none" w:pos="1387" w:val="left"/>
        </w:tabs>
        <w:numPr>
          <w:ilvl w:val="0"/>
          <w:numId w:val="3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a statement as to whether, in the opinion of each such individual, such condition or covenant has been complied with. </w:t>
      </w:r>
      <w:r>
        <w:rPr>
          <w:rFonts w:ascii="Times New Roman" w:cs="Times New Roman" w:eastAsia="Times New Roman" w:hAnsi="Times New Roman"/>
          <w:sz w:val="12"/>
          <w:szCs w:val="12"/>
          <w:color w:val="010000"/>
        </w:rPr>
        <w:t xml:space="preserve">SECTION 103. </w:t>
      </w:r>
      <w:r>
        <w:rPr>
          <w:rFonts w:ascii="Times New Roman" w:cs="Times New Roman" w:eastAsia="Times New Roman" w:hAnsi="Times New Roman"/>
          <w:sz w:val="12"/>
          <w:szCs w:val="12"/>
          <w:u w:val="single" w:color="auto"/>
          <w:color w:val="000000"/>
        </w:rPr>
        <w:t>Form of Documents Delivered to Trustee</w:t>
      </w:r>
      <w:r>
        <w:rPr>
          <w:rFonts w:ascii="Times New Roman" w:cs="Times New Roman" w:eastAsia="Times New Roman" w:hAnsi="Times New Roman"/>
          <w:sz w:val="12"/>
          <w:szCs w:val="12"/>
          <w:color w:val="000000"/>
        </w:rPr>
        <w:t>.</w:t>
      </w: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In any case where several matters are required to be certified by, or covered by an opinion of, any specified person, it is not necessary that all such matters be certified by, or covered by the opinion of, only one such person, or that they may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17"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Any certificate or opinion of an officer of an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such Issuer or such Guarantor, as the case may be, stating that the information with respect to such factual matters is in the possession of such Issuer or such Guarantor, as the case may be, unless such counsel knows, or in the exercise of reasonable care should know, that the certificate or opinion or representations with respect to such matters are erroneous.</w:t>
      </w:r>
    </w:p>
    <w:p>
      <w:pPr>
        <w:spacing w:after="0" w:line="122"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Where any person is required to make, give or execute two or more applications, requests, consents, certificates, statements, opinions or other instructions under this Indenture, they may, but need not, be consolidated and form one instrument.</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104.</w:t>
      </w:r>
      <w:r>
        <w:rPr>
          <w:sz w:val="20"/>
          <w:szCs w:val="20"/>
          <w:color w:val="auto"/>
        </w:rPr>
        <w:tab/>
      </w:r>
      <w:r>
        <w:rPr>
          <w:rFonts w:ascii="Times New Roman" w:cs="Times New Roman" w:eastAsia="Times New Roman" w:hAnsi="Times New Roman"/>
          <w:sz w:val="12"/>
          <w:szCs w:val="12"/>
          <w:u w:val="single" w:color="auto"/>
          <w:color w:val="auto"/>
        </w:rPr>
        <w:t>Acts of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63" w:lineRule="auto"/>
        <w:tabs>
          <w:tab w:leader="none" w:pos="950"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for the appropriate series of Securities and, where it is hereby expressly required, to the Issuer or the Guarantors. Such instrument or instruments (and the action embodied therein and evidenced thereby) are herein sometimes referred to as the “</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of the Holders signing such instrument or instruments. Proof of execution of any such instrument or of a writing appointing any such agent shall be sufficient for any purpose of this Indenture and (subject to Section 601) conclusive in favor of such Trustee, the Guarantors and the Issuer, if made in the manner provided in this Section.</w:t>
      </w:r>
    </w:p>
    <w:p>
      <w:pPr>
        <w:spacing w:after="0" w:line="122" w:lineRule="exact"/>
        <w:rPr>
          <w:rFonts w:ascii="Times New Roman" w:cs="Times New Roman" w:eastAsia="Times New Roman" w:hAnsi="Times New Roman"/>
          <w:sz w:val="12"/>
          <w:szCs w:val="12"/>
          <w:color w:val="010000"/>
        </w:rPr>
      </w:pPr>
    </w:p>
    <w:p>
      <w:pPr>
        <w:jc w:val="both"/>
        <w:ind w:firstLine="432"/>
        <w:spacing w:after="0" w:line="266" w:lineRule="auto"/>
        <w:tabs>
          <w:tab w:leader="none" w:pos="956"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for such Securities deems sufficient.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2" w:name="page63"/>
    <w:bookmarkEnd w:id="62"/>
    <w:p>
      <w:pPr>
        <w:ind w:left="940" w:hanging="508"/>
        <w:spacing w:after="0"/>
        <w:tabs>
          <w:tab w:leader="none" w:pos="940" w:val="left"/>
        </w:tabs>
        <w:numPr>
          <w:ilvl w:val="0"/>
          <w:numId w:val="3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ownership of Securities shall be proved by the Security Register.</w:t>
      </w:r>
    </w:p>
    <w:p>
      <w:pPr>
        <w:spacing w:after="0" w:line="154" w:lineRule="exact"/>
        <w:rPr>
          <w:rFonts w:ascii="Times New Roman" w:cs="Times New Roman" w:eastAsia="Times New Roman" w:hAnsi="Times New Roman"/>
          <w:sz w:val="12"/>
          <w:szCs w:val="12"/>
          <w:color w:val="010000"/>
        </w:rPr>
      </w:pPr>
    </w:p>
    <w:p>
      <w:pPr>
        <w:jc w:val="both"/>
        <w:ind w:right="20" w:firstLine="432"/>
        <w:spacing w:after="0" w:line="272" w:lineRule="auto"/>
        <w:tabs>
          <w:tab w:leader="none" w:pos="966" w:val="left"/>
        </w:tabs>
        <w:numPr>
          <w:ilvl w:val="0"/>
          <w:numId w:val="3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for such Securities, the Guarantors or the Issuer in reliance thereon, whether or not notation of such action is made upon such Security.</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105.</w:t>
      </w:r>
      <w:r>
        <w:rPr>
          <w:sz w:val="20"/>
          <w:szCs w:val="20"/>
          <w:color w:val="auto"/>
        </w:rPr>
        <w:tab/>
      </w:r>
      <w:r>
        <w:rPr>
          <w:rFonts w:ascii="Times New Roman" w:cs="Times New Roman" w:eastAsia="Times New Roman" w:hAnsi="Times New Roman"/>
          <w:sz w:val="12"/>
          <w:szCs w:val="12"/>
          <w:u w:val="single" w:color="auto"/>
          <w:color w:val="auto"/>
        </w:rPr>
        <w:t>Notices, Etc., to Trustee, Issuer and Guarantors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Any request, demand, authorization, direction, notice, consent, waiver or Act of Holders or other document provided or permitted by this Indenture to be provided in English and made upon, given or furnished to, or 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w:t>
      </w:r>
    </w:p>
    <w:p>
      <w:pPr>
        <w:spacing w:after="0" w:line="143" w:lineRule="exact"/>
        <w:rPr>
          <w:sz w:val="20"/>
          <w:szCs w:val="20"/>
          <w:color w:val="auto"/>
        </w:rPr>
      </w:pPr>
    </w:p>
    <w:p>
      <w:pPr>
        <w:ind w:left="440" w:right="20" w:firstLine="432"/>
        <w:spacing w:after="0" w:line="290" w:lineRule="auto"/>
        <w:tabs>
          <w:tab w:leader="none" w:pos="1396" w:val="left"/>
        </w:tabs>
        <w:numPr>
          <w:ilvl w:val="0"/>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a series of Securities by any Holder or by the Issuer or a Guarantor shall be sufficient for every purpose hereunder if made, given, furnished or filed in writing to or with such Trustee at its Corporate Trust Office,</w:t>
      </w:r>
    </w:p>
    <w:p>
      <w:pPr>
        <w:spacing w:after="0" w:line="105" w:lineRule="exact"/>
        <w:rPr>
          <w:rFonts w:ascii="Times New Roman" w:cs="Times New Roman" w:eastAsia="Times New Roman" w:hAnsi="Times New Roman"/>
          <w:sz w:val="12"/>
          <w:szCs w:val="12"/>
          <w:color w:val="010000"/>
        </w:rPr>
      </w:pPr>
    </w:p>
    <w:p>
      <w:pPr>
        <w:jc w:val="both"/>
        <w:ind w:left="440" w:right="20" w:firstLine="432"/>
        <w:spacing w:after="0" w:line="272" w:lineRule="auto"/>
        <w:tabs>
          <w:tab w:leader="none" w:pos="1488" w:val="left"/>
        </w:tabs>
        <w:numPr>
          <w:ilvl w:val="0"/>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by such Trustee, or by any Holder shall be sufficient for every purpose hereunder (unless otherwise herein expressly provided) if in writing (including telecopy) and sent by registered or certified mail or overnight courier, prepaid, to the Issuer addressed to it c/o Weatherford International plc, at 2000 St. James Place, Houston, Texas 77056, Attention: Corporate Secretary, or at any other address previously furnished in writing to such Trustee by the Issuer, or</w:t>
      </w:r>
    </w:p>
    <w:p>
      <w:pPr>
        <w:spacing w:after="0" w:line="116" w:lineRule="exact"/>
        <w:rPr>
          <w:rFonts w:ascii="Times New Roman" w:cs="Times New Roman" w:eastAsia="Times New Roman" w:hAnsi="Times New Roman"/>
          <w:sz w:val="12"/>
          <w:szCs w:val="12"/>
          <w:color w:val="010000"/>
        </w:rPr>
      </w:pPr>
    </w:p>
    <w:p>
      <w:pPr>
        <w:jc w:val="both"/>
        <w:ind w:left="440" w:firstLine="432"/>
        <w:spacing w:after="0" w:line="272" w:lineRule="auto"/>
        <w:tabs>
          <w:tab w:leader="none" w:pos="1461" w:val="left"/>
        </w:tabs>
        <w:numPr>
          <w:ilvl w:val="0"/>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Guarantor by such Trustee, or by any Holder shall be sufficient for every purpose hereunder (unless otherwise herein expressly provided) if in writing (including telecopy) and sent by registered or certified mail or overnight courier, prepaid, to such Guarantor addressed to it c/o Weatherford International plc, at 2000 St. James Place, Houston, Texas 77056, Attention: Corporate Secretary, or at any other address previously furnished in writing to such Trustee by the Guarantors.</w:t>
      </w:r>
    </w:p>
    <w:p>
      <w:pPr>
        <w:spacing w:after="0" w:line="117"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 xml:space="preserve">The Trustee agrees to accept and act upon instructions or directions pursuant to this Indenture sent by unsecured e-mail, pdf, facsimile transmission or other similar unsecured electronic methods,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or Guarantors elect to give the Trustee e-mail or facsimile instructions (or instructions by a similar electronic method), the Trustee’s understanding of such instructions shall be deemed controlling. The Trustee shall not be liable for any losses, costs or expenses arising directly or indirectly from the Trustee’s taking or refraining from taking action in reliance upon and compliance with such instructions, notwithstanding that such instructions (i) may not be an authorized or authentic communication of the Issuer or Guarantor or in the form the Issuer or a Guarantor sent or intended to send (whether due to fraud, distortion or otherwise) or (ii) conflict or are inconsistent with a subsequent written instruction to the Trustee, it being understood that, in each case, the Trustee may conclusively presume that any such instructions that purports to have been sent by an designated person of the Issuer or any Guarantor has been sent by such designated person. The Issuer and the Guarantors agree to assume all risks arising out of the use of such electronic methods to submit instructions and directions to the Trustee, including without limitation the risk of the Trustee acting on unauthorized instructions, and the risk or interception and misuse by third parties,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Trustee shall not be relieved from liability for its own negligent action, its own negligent failure to act, or its own willful misconduct.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3" w:name="page64"/>
    <w:bookmarkEnd w:id="63"/>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106.</w:t>
      </w:r>
      <w:r>
        <w:rPr>
          <w:sz w:val="20"/>
          <w:szCs w:val="20"/>
          <w:color w:val="auto"/>
        </w:rPr>
        <w:tab/>
      </w:r>
      <w:r>
        <w:rPr>
          <w:rFonts w:ascii="Times New Roman" w:cs="Times New Roman" w:eastAsia="Times New Roman" w:hAnsi="Times New Roman"/>
          <w:sz w:val="11"/>
          <w:szCs w:val="11"/>
          <w:u w:val="single" w:color="auto"/>
          <w:color w:val="auto"/>
        </w:rPr>
        <w:t>Notice to Holders; Waiver</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Where this Indenture provides for notice to Holders of any event, such notice shall be sufficiently given (unless otherwise herein expressly provided) if in writing and delivered electronically or mailed, first-class postage prepaid, to each Holder affected by such event, at his or her address as it appears in the Security Register or otherwise in accordance with the procedures of the U.S. Depositary, not later than the latest date, and not earlier than the earliest date, prescribed for the giving of such notice. In any case where notice to Holders is delivered or mailed, neither the failure to deliver or mail such notice, nor any defect in any notice so delivered or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 of notice by Holders shall be filed with the Trustee for such Securities, but such filing shall not be a condition precedent to the validity of any action taken in reliance upon such waiver.</w:t>
      </w:r>
    </w:p>
    <w:p>
      <w:pPr>
        <w:spacing w:after="0" w:line="12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In case by reason of the suspension of regular mail service or by reason of any other cause it shall be impracticable to give such notice by mail, then such notification shall constitute a sufficient notification for every purpose hereunder.</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107.</w:t>
      </w:r>
      <w:r>
        <w:rPr>
          <w:sz w:val="20"/>
          <w:szCs w:val="20"/>
          <w:color w:val="auto"/>
        </w:rPr>
        <w:tab/>
      </w:r>
      <w:r>
        <w:rPr>
          <w:rFonts w:ascii="Times New Roman" w:cs="Times New Roman" w:eastAsia="Times New Roman" w:hAnsi="Times New Roman"/>
          <w:sz w:val="12"/>
          <w:szCs w:val="12"/>
          <w:u w:val="single" w:color="auto"/>
          <w:color w:val="auto"/>
        </w:rPr>
        <w:t>Conflict with Trust Indenture Act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If any provision hereof limits, qualifies or conflicts with another provision hereof which is required to be included in this Indenture by any of the provisions of the Trust Indenture Act, such required provision shall control.</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108.</w:t>
      </w:r>
      <w:r>
        <w:rPr>
          <w:sz w:val="20"/>
          <w:szCs w:val="20"/>
          <w:color w:val="auto"/>
        </w:rPr>
        <w:tab/>
      </w:r>
      <w:r>
        <w:rPr>
          <w:rFonts w:ascii="Times New Roman" w:cs="Times New Roman" w:eastAsia="Times New Roman" w:hAnsi="Times New Roman"/>
          <w:sz w:val="12"/>
          <w:szCs w:val="12"/>
          <w:u w:val="single" w:color="auto"/>
          <w:color w:val="auto"/>
        </w:rPr>
        <w:t>Effect of Headings and Table of Contents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Article and Section headings herein and the Table of Contents are for convenience only and shall not affect the construction hereof.</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109.</w:t>
      </w:r>
      <w:r>
        <w:rPr>
          <w:sz w:val="20"/>
          <w:szCs w:val="20"/>
          <w:color w:val="auto"/>
        </w:rPr>
        <w:tab/>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All covenants and agreements in this Indenture by the Issuer and the Guarantors, as the case may be, shall bind their respective successors and assigns, whether so expressed or not.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4" w:name="page65"/>
    <w:bookmarkEnd w:id="64"/>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110.</w:t>
      </w:r>
      <w:r>
        <w:rPr>
          <w:sz w:val="20"/>
          <w:szCs w:val="20"/>
          <w:color w:val="auto"/>
        </w:rPr>
        <w:tab/>
      </w:r>
      <w:r>
        <w:rPr>
          <w:rFonts w:ascii="Times New Roman" w:cs="Times New Roman" w:eastAsia="Times New Roman" w:hAnsi="Times New Roman"/>
          <w:sz w:val="12"/>
          <w:szCs w:val="12"/>
          <w:u w:val="single" w:color="auto"/>
          <w:color w:val="auto"/>
        </w:rPr>
        <w:t>Separability Clause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In case any provision in this Indenture or in the Securities or the Guarantees shall be invalid, illegal or unenforceable, the validity, legality and enforceability of the remaining provisions shall not in any way be affected or impaired thereby.</w:t>
      </w:r>
    </w:p>
    <w:p>
      <w:pPr>
        <w:spacing w:after="0" w:line="106"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111.</w:t>
      </w:r>
      <w:r>
        <w:rPr>
          <w:sz w:val="20"/>
          <w:szCs w:val="20"/>
          <w:color w:val="auto"/>
        </w:rPr>
        <w:tab/>
      </w:r>
      <w:r>
        <w:rPr>
          <w:rFonts w:ascii="Times New Roman" w:cs="Times New Roman" w:eastAsia="Times New Roman" w:hAnsi="Times New Roman"/>
          <w:sz w:val="12"/>
          <w:szCs w:val="12"/>
          <w:u w:val="single" w:color="auto"/>
          <w:color w:val="auto"/>
        </w:rPr>
        <w:t>Benefits of Indenture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Nothing in this Indenture or in the Securities or the Guarantees, express or implied, shall give to any person, other than the parties hereto and their successors hereunder and the Holders, any benefit or any legal or equitable right, remedy or claim under this Indenture.</w:t>
      </w:r>
    </w:p>
    <w:p>
      <w:pPr>
        <w:spacing w:after="0" w:line="106"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112.</w:t>
      </w:r>
      <w:r>
        <w:rPr>
          <w:sz w:val="20"/>
          <w:szCs w:val="20"/>
          <w:color w:val="auto"/>
        </w:rPr>
        <w:tab/>
      </w:r>
      <w:r>
        <w:rPr>
          <w:rFonts w:ascii="Times New Roman" w:cs="Times New Roman" w:eastAsia="Times New Roman" w:hAnsi="Times New Roman"/>
          <w:sz w:val="12"/>
          <w:szCs w:val="12"/>
          <w:u w:val="single" w:color="auto"/>
          <w:color w:val="auto"/>
        </w:rPr>
        <w:t>Governing Law; Submission to Jurisdiction; Jury Trial Waiver</w:t>
      </w:r>
      <w:r>
        <w:rPr>
          <w:rFonts w:ascii="Times New Roman" w:cs="Times New Roman" w:eastAsia="Times New Roman" w:hAnsi="Times New Roman"/>
          <w:sz w:val="12"/>
          <w:szCs w:val="12"/>
          <w:color w:val="auto"/>
        </w:rPr>
        <w:t>.</w:t>
      </w:r>
    </w:p>
    <w:p>
      <w:pPr>
        <w:spacing w:after="0" w:line="153" w:lineRule="exact"/>
        <w:rPr>
          <w:sz w:val="20"/>
          <w:szCs w:val="20"/>
          <w:color w:val="auto"/>
        </w:rPr>
      </w:pPr>
    </w:p>
    <w:p>
      <w:pPr>
        <w:jc w:val="both"/>
        <w:ind w:right="20" w:firstLine="439"/>
        <w:spacing w:after="0" w:line="294" w:lineRule="auto"/>
        <w:rPr>
          <w:sz w:val="20"/>
          <w:szCs w:val="20"/>
          <w:color w:val="auto"/>
        </w:rPr>
      </w:pPr>
      <w:r>
        <w:rPr>
          <w:rFonts w:ascii="Times New Roman" w:cs="Times New Roman" w:eastAsia="Times New Roman" w:hAnsi="Times New Roman"/>
          <w:sz w:val="12"/>
          <w:szCs w:val="12"/>
          <w:b w:val="1"/>
          <w:bCs w:val="1"/>
          <w:color w:val="auto"/>
        </w:rPr>
        <w:t>THIS INDENTURE, THE SECURITIES AND THE GUARANTEES SHALL BE GOVERNED BY AND CONSTRUED IN ACCORDANCE WITH THE LAWS OF THE STATE OF NEW YORK, WITHOUT REFERENCE TO THE CONFLICT OF LAWS PROVISIONS THEREOF.</w:t>
      </w:r>
    </w:p>
    <w:p>
      <w:pPr>
        <w:spacing w:after="0" w:line="103"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2"/>
          <w:szCs w:val="12"/>
          <w:color w:val="auto"/>
        </w:rPr>
        <w:t>To the fullest extent permitted by applicable law, each Issuer and Guarantor hereby irrevocably submit to the non-exclusive jurisdiction of any Federal or state court located in the Borough of Manhattan in New York, New York in any suit, action or proceeding based on or arising out of or relating to this Indenture and the Securities, and irrevocably agrees that all claims in respect of such suit or proceeding may be determined in any such court. Each Issuer and Guarantor irrevocably waive, to the fullest extent permitted by law, any objection which it may have to the laying of the venue of any such suit, action or proceeding brought in an inconvenient forum. Each Issuer and Guarantor agree that final judgment in any such suit, action or proceeding brought in such a court shall be conclusive and binding and may be enforced in the courts of Bermuda or Ireland (or any other courts of any other jurisdiction to which either of them is subject) by a suit upon such judgment, provided that service of process is effected upon the Issuer. Each Guarantor that is a domestic Guarantor hereby appoints Weatherford Delaware (the “</w:t>
      </w:r>
      <w:r>
        <w:rPr>
          <w:rFonts w:ascii="Times New Roman" w:cs="Times New Roman" w:eastAsia="Times New Roman" w:hAnsi="Times New Roman"/>
          <w:sz w:val="12"/>
          <w:szCs w:val="12"/>
          <w:u w:val="single" w:color="auto"/>
          <w:color w:val="auto"/>
        </w:rPr>
        <w:t>Domestic Process Agent</w:t>
      </w:r>
      <w:r>
        <w:rPr>
          <w:rFonts w:ascii="Times New Roman" w:cs="Times New Roman" w:eastAsia="Times New Roman" w:hAnsi="Times New Roman"/>
          <w:sz w:val="12"/>
          <w:szCs w:val="12"/>
          <w:color w:val="auto"/>
        </w:rPr>
        <w:t>”) as its agent for service of process for the purposes of this Section 112. The Issuer and each Guarantor that is not a domestic Guarantor has designated CT Corporation System, 28 Liberty Street, New York, New York 10005 (the “</w:t>
      </w:r>
      <w:r>
        <w:rPr>
          <w:rFonts w:ascii="Times New Roman" w:cs="Times New Roman" w:eastAsia="Times New Roman" w:hAnsi="Times New Roman"/>
          <w:sz w:val="12"/>
          <w:szCs w:val="12"/>
          <w:u w:val="single" w:color="auto"/>
          <w:color w:val="auto"/>
        </w:rPr>
        <w:t>Non-Domestic Process Agent</w:t>
      </w:r>
      <w:r>
        <w:rPr>
          <w:rFonts w:ascii="Times New Roman" w:cs="Times New Roman" w:eastAsia="Times New Roman" w:hAnsi="Times New Roman"/>
          <w:sz w:val="12"/>
          <w:szCs w:val="12"/>
          <w:color w:val="auto"/>
        </w:rPr>
        <w:t>” and, together with the Domestic Process Agent, the “</w:t>
      </w:r>
      <w:r>
        <w:rPr>
          <w:rFonts w:ascii="Times New Roman" w:cs="Times New Roman" w:eastAsia="Times New Roman" w:hAnsi="Times New Roman"/>
          <w:sz w:val="12"/>
          <w:szCs w:val="12"/>
          <w:u w:val="single" w:color="auto"/>
          <w:color w:val="auto"/>
        </w:rPr>
        <w:t>Process Agent</w:t>
      </w:r>
      <w:r>
        <w:rPr>
          <w:rFonts w:ascii="Times New Roman" w:cs="Times New Roman" w:eastAsia="Times New Roman" w:hAnsi="Times New Roman"/>
          <w:sz w:val="12"/>
          <w:szCs w:val="12"/>
          <w:color w:val="auto"/>
        </w:rPr>
        <w:t>”), as the designee, appointee and agent of such foreign Issuer or Guarantor to receive, for and on behalf of such Issuer or Guarantor, service of process in the State of New York, for the purposes of this Section 112. Each Issuer or Guarantor further agree that, unless otherwise required by law and to the extent permitted by applicable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Guarantor that is a domestic Guarantor agrees to take any and all action, including the execution and filing of any and all such documents and instruments as may be necessary, to continue the designation and appointment of the Domestic Process Agent in full force and effect for so long as such Guarantor has any outstanding obligations under the Indenture. The Issuer and each Guarantor that is not a domestic Guarantor agrees that it will at all times continually maintain an agent to receive service of process in New York or Delaware on its behalf and on behalf of its property with respect to this Indenture and the Securities to which it is a party, and if, for any reason, the Non-Domestic Process Agent named above or its successor shall no longer serve as agent of the Issuer or such Guarantor (as the case may be) to receive service of process in New York or Delaware, the Issuer or such Guarantor (as the case may be) shall promptly (but in any event within five Business Days) appoint a successor deemed reputable by the Issuer or such Guarantor with an office in New York or Delaware and concurrently notify the Trustee in writing of such appointment (which successor shall thereupon be the Non-Domestic Process Agent hereunder).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5" w:name="page66"/>
    <w:bookmarkEnd w:id="65"/>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If a Guarantor incorporated under the laws of the Netherlands is represented by an attorney-in-fact in connection with the signing and/or execution of this Indenture or any other agreement, deed or document referred to in or made pursuant to this Indenture, it is hereby expressly acknowledged and accepted by the other parties to this Indenture that the existence and extent of the attorney-in-fact’s authority and the effects of the attorney-in-fact’s exercise or purported exercise of his or her authority shall be governed by the laws of the Netherlands.</w:t>
      </w:r>
    </w:p>
    <w:p>
      <w:pPr>
        <w:spacing w:after="0" w:line="115" w:lineRule="exact"/>
        <w:rPr>
          <w:sz w:val="20"/>
          <w:szCs w:val="20"/>
          <w:color w:val="auto"/>
        </w:rPr>
      </w:pPr>
    </w:p>
    <w:p>
      <w:pPr>
        <w:jc w:val="both"/>
        <w:ind w:firstLine="439"/>
        <w:spacing w:after="0" w:line="294" w:lineRule="auto"/>
        <w:rPr>
          <w:sz w:val="20"/>
          <w:szCs w:val="20"/>
          <w:color w:val="auto"/>
        </w:rPr>
      </w:pPr>
      <w:r>
        <w:rPr>
          <w:rFonts w:ascii="Times New Roman" w:cs="Times New Roman" w:eastAsia="Times New Roman" w:hAnsi="Times New Roman"/>
          <w:sz w:val="12"/>
          <w:szCs w:val="12"/>
          <w:b w:val="1"/>
          <w:bCs w:val="1"/>
          <w:color w:val="auto"/>
        </w:rPr>
        <w:t>EACH OF THE ISSUER, GUARANTORS AND THE TRUSTEE HEREBY IRREVOCABLY WAIVES, TO THE FULLEST EXTENT PERMITTED BY APPLICABLE LAW, ANY AND ALL RIGHT TO TRIAL BY JURY IN ANY LEGAL PROCEEDING SOLELY AMONG SUCH PARTIES ARISING OUT OF OR RELATING TO THIS INDENTURE OR THE SECURITIES.</w:t>
      </w:r>
    </w:p>
    <w:p>
      <w:pPr>
        <w:spacing w:after="0" w:line="103"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113.</w:t>
      </w:r>
      <w:r>
        <w:rPr>
          <w:sz w:val="20"/>
          <w:szCs w:val="20"/>
          <w:color w:val="auto"/>
        </w:rPr>
        <w:tab/>
      </w:r>
      <w:r>
        <w:rPr>
          <w:rFonts w:ascii="Times New Roman" w:cs="Times New Roman" w:eastAsia="Times New Roman" w:hAnsi="Times New Roman"/>
          <w:sz w:val="12"/>
          <w:szCs w:val="12"/>
          <w:u w:val="single" w:color="auto"/>
          <w:color w:val="auto"/>
        </w:rPr>
        <w:t>Legal Holidays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 xml:space="preserve">In any case where any Interest Payment Date, Redemption Date or Stated Maturity of any Security shall not be a Business Day at any Place of Payment, then (notwithstanding any other provision of this Indenture or of the Securities or the Guarantees) payment of principal (and premium, if any) or interest,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interest shall accrue for the period from and after such Interest Payment Date, Redemption Date or Stated Maturity, as the case may be.</w:t>
      </w:r>
    </w:p>
    <w:p>
      <w:pPr>
        <w:spacing w:after="0" w:line="120"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114.</w:t>
      </w:r>
      <w:r>
        <w:rPr>
          <w:sz w:val="20"/>
          <w:szCs w:val="20"/>
          <w:color w:val="auto"/>
        </w:rPr>
        <w:tab/>
      </w:r>
      <w:r>
        <w:rPr>
          <w:rFonts w:ascii="Times New Roman" w:cs="Times New Roman" w:eastAsia="Times New Roman" w:hAnsi="Times New Roman"/>
          <w:sz w:val="12"/>
          <w:szCs w:val="12"/>
          <w:u w:val="single" w:color="auto"/>
          <w:color w:val="auto"/>
        </w:rPr>
        <w:t>No Personal Liability of Directors, Officers, Employees and Shareholders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No recourse for the payment of the principal of (and premium, if any, on) or interest, if any, on any Security or any Guarantee, or for any claim based thereon or otherwise in respect thereof, and no recourse under or upon any obligation, covenant or agreement of any Issuer, any Guarantor or any Trustee in this Indenture or in any supplemental indenture, or in any Security or in any Guarantee, or because of the creation of any indebtedness represented thereby, shall be had against any incorporator, shareholder, officer or director, as such, past, present or future, of any Issuer, any Guarantor or any Trustee or of any successor corporation, either directly or through any Issuer, any Guarantor or any Trustee or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 and any Guarantee.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6" w:name="page67"/>
    <w:bookmarkEnd w:id="66"/>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115.</w:t>
      </w:r>
      <w:r>
        <w:rPr>
          <w:sz w:val="20"/>
          <w:szCs w:val="20"/>
          <w:color w:val="auto"/>
        </w:rPr>
        <w:tab/>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This Indenture, each Global Security, and any other instrument or agreement delivered to the Trustee in connection herewith and therewith,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12"/>
          <w:szCs w:val="12"/>
          <w:u w:val="single" w:color="auto"/>
          <w:color w:val="auto"/>
        </w:rPr>
        <w:t>Signature Law</w:t>
      </w:r>
      <w:r>
        <w:rPr>
          <w:rFonts w:ascii="Times New Roman" w:cs="Times New Roman" w:eastAsia="Times New Roman" w:hAnsi="Times New Roman"/>
          <w:sz w:val="12"/>
          <w:szCs w:val="12"/>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26"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116.</w:t>
      </w:r>
      <w:r>
        <w:rPr>
          <w:sz w:val="20"/>
          <w:szCs w:val="20"/>
          <w:color w:val="auto"/>
        </w:rPr>
        <w:tab/>
      </w:r>
      <w:r>
        <w:rPr>
          <w:rFonts w:ascii="Times New Roman" w:cs="Times New Roman" w:eastAsia="Times New Roman" w:hAnsi="Times New Roman"/>
          <w:sz w:val="12"/>
          <w:szCs w:val="12"/>
          <w:u w:val="single" w:color="auto"/>
          <w:color w:val="auto"/>
        </w:rPr>
        <w:t>Currency Exchange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If, in determining whether the Holders of the requisite principal amount of Securities have given any request, demand, authorization, direction, notice, consent or waiver hereunder, it becomes necessary to determine the principal amount of Securities of any series denominated in any coin or currency other than that of the United States of America, such principal amount shall be computed by converting such coin or currency into coin or currency of the United States of America based upon the rate of exchange in effect for such Securities in New York, New York at 10:00 A.M., New York City time, or as close to such time as is reasonably practicable, on the date of initial issuance of such series of Securities.</w:t>
      </w:r>
    </w:p>
    <w:p>
      <w:pPr>
        <w:spacing w:after="0" w:line="120"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117.</w:t>
      </w:r>
      <w:r>
        <w:rPr>
          <w:sz w:val="20"/>
          <w:szCs w:val="20"/>
          <w:color w:val="auto"/>
        </w:rPr>
        <w:tab/>
      </w:r>
      <w:r>
        <w:rPr>
          <w:rFonts w:ascii="Times New Roman" w:cs="Times New Roman" w:eastAsia="Times New Roman" w:hAnsi="Times New Roman"/>
          <w:sz w:val="12"/>
          <w:szCs w:val="12"/>
          <w:u w:val="single" w:color="auto"/>
          <w:color w:val="auto"/>
        </w:rPr>
        <w:t>Payment in Required Currency; Judgment Currency</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Each Issuer and Guarantors agree, to the fullest extent that it may effectively do so under applicable law, that (a) if for the purpose of obtaining judgment in any court it is necessary to convert the sum due in Dollars in respect of the principal of, or premium, if any, or interest on, the Notes (the “</w:t>
      </w:r>
      <w:r>
        <w:rPr>
          <w:rFonts w:ascii="Times New Roman" w:cs="Times New Roman" w:eastAsia="Times New Roman" w:hAnsi="Times New Roman"/>
          <w:sz w:val="12"/>
          <w:szCs w:val="12"/>
          <w:u w:val="single" w:color="auto"/>
          <w:color w:val="auto"/>
        </w:rPr>
        <w:t>Required Currency</w:t>
      </w:r>
      <w:r>
        <w:rPr>
          <w:rFonts w:ascii="Times New Roman" w:cs="Times New Roman" w:eastAsia="Times New Roman" w:hAnsi="Times New Roman"/>
          <w:sz w:val="12"/>
          <w:szCs w:val="12"/>
          <w:color w:val="auto"/>
        </w:rPr>
        <w:t>”) into another currency in which a judgment will be rendered (the “</w:t>
      </w:r>
      <w:r>
        <w:rPr>
          <w:rFonts w:ascii="Times New Roman" w:cs="Times New Roman" w:eastAsia="Times New Roman" w:hAnsi="Times New Roman"/>
          <w:sz w:val="12"/>
          <w:szCs w:val="12"/>
          <w:u w:val="single" w:color="auto"/>
          <w:color w:val="auto"/>
        </w:rPr>
        <w:t>Judgment Currency</w:t>
      </w:r>
      <w:r>
        <w:rPr>
          <w:rFonts w:ascii="Times New Roman" w:cs="Times New Roman" w:eastAsia="Times New Roman" w:hAnsi="Times New Roman"/>
          <w:sz w:val="12"/>
          <w:szCs w:val="12"/>
          <w:color w:val="auto"/>
        </w:rPr>
        <w:t>”), the rate of exchange used shall be the rate at which in accordance with normal banking procedures the Issuer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Issuer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7" w:name="page68"/>
    <w:bookmarkEnd w:id="67"/>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118.</w:t>
      </w:r>
      <w:r>
        <w:rPr>
          <w:sz w:val="20"/>
          <w:szCs w:val="20"/>
          <w:color w:val="auto"/>
        </w:rPr>
        <w:tab/>
      </w:r>
      <w:r>
        <w:rPr>
          <w:rFonts w:ascii="Times New Roman" w:cs="Times New Roman" w:eastAsia="Times New Roman" w:hAnsi="Times New Roman"/>
          <w:sz w:val="12"/>
          <w:szCs w:val="12"/>
          <w:u w:val="single" w:color="auto"/>
          <w:color w:val="auto"/>
        </w:rPr>
        <w:t>U.S.A. Patriot Act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w:t>
      </w:r>
      <w:r>
        <w:rPr>
          <w:rFonts w:ascii="Times New Roman" w:cs="Times New Roman" w:eastAsia="Times New Roman" w:hAnsi="Times New Roman"/>
          <w:sz w:val="12"/>
          <w:szCs w:val="12"/>
          <w:u w:val="single" w:color="auto"/>
          <w:color w:val="auto"/>
        </w:rPr>
        <w:t>Applicable Banking Laws</w:t>
      </w:r>
      <w:r>
        <w:rPr>
          <w:rFonts w:ascii="Times New Roman" w:cs="Times New Roman" w:eastAsia="Times New Roman" w:hAnsi="Times New Roman"/>
          <w:sz w:val="12"/>
          <w:szCs w:val="12"/>
          <w:color w:val="auto"/>
        </w:rPr>
        <w:t>”), the Trustee is required to obtain, verify, record and update certain information relating to individuals and entities which maintain a business relationship or opens an account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20"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119.</w:t>
      </w:r>
      <w:r>
        <w:rPr>
          <w:sz w:val="20"/>
          <w:szCs w:val="20"/>
          <w:color w:val="auto"/>
        </w:rPr>
        <w:tab/>
      </w:r>
      <w:r>
        <w:rPr>
          <w:rFonts w:ascii="Times New Roman" w:cs="Times New Roman" w:eastAsia="Times New Roman" w:hAnsi="Times New Roman"/>
          <w:sz w:val="12"/>
          <w:szCs w:val="12"/>
          <w:u w:val="single" w:color="auto"/>
          <w:color w:val="auto"/>
        </w:rPr>
        <w:t>Reduction in Capital</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Each Holder hereby consents to the Issuer or any Guarantor applying to a court of competent jurisdiction for an order sanctioning, approving, consenting to or confirming a reduction in any of its share capital accounts including, without limitation, by re-characterizing any sum standing to the credit of an undenominated capital account as a distributable reserve.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TWO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SECURITY FORMS</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201.</w:t>
      </w:r>
      <w:r>
        <w:rPr>
          <w:sz w:val="20"/>
          <w:szCs w:val="20"/>
          <w:color w:val="auto"/>
        </w:rPr>
        <w:tab/>
      </w:r>
      <w:r>
        <w:rPr>
          <w:rFonts w:ascii="Times New Roman" w:cs="Times New Roman" w:eastAsia="Times New Roman" w:hAnsi="Times New Roman"/>
          <w:sz w:val="11"/>
          <w:szCs w:val="11"/>
          <w:u w:val="single" w:color="auto"/>
          <w:color w:val="auto"/>
        </w:rPr>
        <w:t>Forms Generally</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The Securities of each series shall be in substantially the form set forth in this Article Two, or in such other form as shall be established by or pursuant to a Board Resolution of the Issuer, including an Officer’s Certificate of the Issuer delivered pursuant to authority granted by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as evidenced by his or her execution of such Securities.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2"/>
          <w:szCs w:val="12"/>
          <w:color w:val="auto"/>
        </w:rPr>
        <w:t>The certificate of authentication of the Trustee for any series of Securities shall be in substantially the form set forth in this Article Two.</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The definitive Securities shall be printed, lithographed or engraved on steel engraved borders or may be produced in any other manner, all as determined by the officer executing such Securities, as evidenced by their execution of such Securities.</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Each definitive Guarantee shall be printed, lithographed or engraved on steel engraved borders or may be produced in any other manner, all as determined by the officers executing such Guarantee, as evidenced by their execution of such Guarantee.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ind w:left="440"/>
              <w:spacing w:after="0"/>
              <w:rPr>
                <w:sz w:val="20"/>
                <w:szCs w:val="20"/>
                <w:color w:val="auto"/>
              </w:rPr>
            </w:pPr>
            <w:r>
              <w:rPr>
                <w:rFonts w:ascii="Times New Roman" w:cs="Times New Roman" w:eastAsia="Times New Roman" w:hAnsi="Times New Roman"/>
                <w:sz w:val="12"/>
                <w:szCs w:val="12"/>
                <w:color w:val="010000"/>
              </w:rPr>
              <w:t>SECTION 202.</w:t>
            </w:r>
          </w:p>
        </w:tc>
        <w:tc>
          <w:tcPr>
            <w:tcW w:w="5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Form of Face of Security.</w:t>
            </w:r>
          </w:p>
        </w:tc>
      </w:tr>
      <w:tr>
        <w:trPr>
          <w:trHeight w:val="300"/>
        </w:trPr>
        <w:tc>
          <w:tcPr>
            <w:tcW w:w="13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0" w:type="dxa"/>
            <w:vAlign w:val="bottom"/>
          </w:tcPr>
          <w:p>
            <w:pPr>
              <w:jc w:val="center"/>
              <w:ind w:left="2039"/>
              <w:spacing w:after="0"/>
              <w:rPr>
                <w:sz w:val="20"/>
                <w:szCs w:val="20"/>
                <w:color w:val="auto"/>
              </w:rPr>
            </w:pPr>
            <w:r>
              <w:rPr>
                <w:rFonts w:ascii="Times New Roman" w:cs="Times New Roman" w:eastAsia="Times New Roman" w:hAnsi="Times New Roman"/>
                <w:sz w:val="12"/>
                <w:szCs w:val="12"/>
                <w:color w:val="auto"/>
              </w:rPr>
              <w:t>[ISSUER]</w:t>
            </w:r>
          </w:p>
        </w:tc>
      </w:tr>
      <w:tr>
        <w:trPr>
          <w:trHeight w:val="293"/>
        </w:trPr>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jc w:val="center"/>
              <w:ind w:left="2039"/>
              <w:spacing w:after="0"/>
              <w:rPr>
                <w:sz w:val="20"/>
                <w:szCs w:val="20"/>
                <w:color w:val="auto"/>
              </w:rPr>
            </w:pPr>
            <w:r>
              <w:rPr>
                <w:rFonts w:ascii="Times New Roman" w:cs="Times New Roman" w:eastAsia="Times New Roman" w:hAnsi="Times New Roman"/>
                <w:sz w:val="12"/>
                <w:szCs w:val="12"/>
                <w:color w:val="auto"/>
              </w:rPr>
              <w:t>[Title of the Security]</w:t>
            </w:r>
          </w:p>
        </w:tc>
      </w:tr>
      <w:tr>
        <w:trPr>
          <w:trHeight w:val="281"/>
        </w:trPr>
        <w:tc>
          <w:tcPr>
            <w:tcW w:w="1380" w:type="dxa"/>
            <w:vAlign w:val="bottom"/>
          </w:tcPr>
          <w:p>
            <w:pPr>
              <w:spacing w:after="0"/>
              <w:rPr>
                <w:sz w:val="20"/>
                <w:szCs w:val="20"/>
                <w:color w:val="auto"/>
              </w:rPr>
            </w:pPr>
            <w:r>
              <w:rPr>
                <w:rFonts w:ascii="Times New Roman" w:cs="Times New Roman" w:eastAsia="Times New Roman" w:hAnsi="Times New Roman"/>
                <w:sz w:val="12"/>
                <w:szCs w:val="12"/>
                <w:color w:val="auto"/>
              </w:rPr>
              <w:t>No.</w:t>
            </w:r>
          </w:p>
        </w:tc>
        <w:tc>
          <w:tcPr>
            <w:tcW w:w="1220" w:type="dxa"/>
            <w:vAlign w:val="bottom"/>
          </w:tcPr>
          <w:p>
            <w:pPr>
              <w:spacing w:after="0"/>
              <w:rPr>
                <w:sz w:val="24"/>
                <w:szCs w:val="24"/>
                <w:color w:val="auto"/>
              </w:rPr>
            </w:pPr>
          </w:p>
        </w:tc>
        <w:tc>
          <w:tcPr>
            <w:tcW w:w="4000" w:type="dxa"/>
            <w:vAlign w:val="bottom"/>
          </w:tcPr>
          <w:p>
            <w:pPr>
              <w:ind w:left="3120"/>
              <w:spacing w:after="0"/>
              <w:rPr>
                <w:sz w:val="20"/>
                <w:szCs w:val="20"/>
                <w:color w:val="auto"/>
              </w:rPr>
            </w:pPr>
            <w:r>
              <w:rPr>
                <w:rFonts w:ascii="Times New Roman" w:cs="Times New Roman" w:eastAsia="Times New Roman" w:hAnsi="Times New Roman"/>
                <w:sz w:val="12"/>
                <w:szCs w:val="12"/>
                <w:color w:val="auto"/>
                <w:w w:val="98"/>
              </w:rPr>
              <w:t>CUSIP No. _____</w:t>
            </w:r>
          </w:p>
        </w:tc>
      </w:tr>
      <w:tr>
        <w:trPr>
          <w:trHeight w:val="159"/>
        </w:trPr>
        <w:tc>
          <w:tcPr>
            <w:tcW w:w="1380" w:type="dxa"/>
            <w:vAlign w:val="bottom"/>
          </w:tcPr>
          <w:p>
            <w:pPr>
              <w:spacing w:after="0"/>
              <w:rPr>
                <w:sz w:val="13"/>
                <w:szCs w:val="13"/>
                <w:color w:val="auto"/>
              </w:rPr>
            </w:pPr>
          </w:p>
        </w:tc>
        <w:tc>
          <w:tcPr>
            <w:tcW w:w="5220" w:type="dxa"/>
            <w:vAlign w:val="bottom"/>
            <w:gridSpan w:val="2"/>
          </w:tcPr>
          <w:p>
            <w:pPr>
              <w:ind w:left="4340"/>
              <w:spacing w:after="0"/>
              <w:rPr>
                <w:sz w:val="20"/>
                <w:szCs w:val="20"/>
                <w:color w:val="auto"/>
              </w:rPr>
            </w:pPr>
            <w:r>
              <w:rPr>
                <w:rFonts w:ascii="Times New Roman" w:cs="Times New Roman" w:eastAsia="Times New Roman" w:hAnsi="Times New Roman"/>
                <w:sz w:val="12"/>
                <w:szCs w:val="12"/>
                <w:color w:val="auto"/>
              </w:rPr>
              <w:t>$ _____</w:t>
            </w:r>
          </w:p>
        </w:tc>
      </w:tr>
    </w:tbl>
    <w:p>
      <w:pPr>
        <w:spacing w:after="0" w:line="281" w:lineRule="exact"/>
        <w:rPr>
          <w:sz w:val="20"/>
          <w:szCs w:val="20"/>
          <w:color w:val="auto"/>
        </w:rPr>
      </w:pPr>
    </w:p>
    <w:p>
      <w:pPr>
        <w:jc w:val="both"/>
        <w:ind w:right="20" w:firstLine="439"/>
        <w:spacing w:after="0" w:line="265" w:lineRule="auto"/>
        <w:rPr>
          <w:sz w:val="20"/>
          <w:szCs w:val="20"/>
          <w:color w:val="auto"/>
        </w:rPr>
      </w:pPr>
      <w:r>
        <w:rPr>
          <w:rFonts w:ascii="Times New Roman" w:cs="Times New Roman" w:eastAsia="Times New Roman" w:hAnsi="Times New Roman"/>
          <w:sz w:val="12"/>
          <w:szCs w:val="12"/>
          <w:color w:val="auto"/>
        </w:rPr>
        <w:t>[ISSUER], a company duly organized and existing under the laws of [COUNTRY] (herein called the “Issuer”, which term includes any successor company under the Indenture hereinafter referred to), for value received, hereby promises to pay to _______________, or registered assigns, the principal sum of _______________ Dollars on _______________ [If the Security is to bear interest prior to Maturity, insert — , and to pay interest thereon</w:t>
      </w:r>
    </w:p>
    <w:p>
      <w:pPr>
        <w:spacing w:after="0"/>
        <w:rPr>
          <w:sz w:val="20"/>
          <w:szCs w:val="20"/>
          <w:color w:val="auto"/>
        </w:rPr>
      </w:pPr>
      <w:r>
        <w:rPr>
          <w:rFonts w:ascii="Times New Roman" w:cs="Times New Roman" w:eastAsia="Times New Roman" w:hAnsi="Times New Roman"/>
          <w:sz w:val="12"/>
          <w:szCs w:val="12"/>
          <w:color w:val="auto"/>
        </w:rPr>
        <w:t>from _______________ __, ___________ (the “Original Issue Date”),] or from the most recent Interest Payment Date to which interest has been paid or duly provided for, [semiannually on _______________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 [quarterly on _______________, _______________, _______________ and _______________] in each year, commencing _______________ __, ____, at [If the Security is to bear interest at a fixed rate insert-</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rate per annum provided in the title hereof] [If the Security is to bear interest at a floating rate, insert— [a rate of [insert Floating Rate] per annum], until the principal hereof is paid or made available for payment. [If applicable insert — , and, subject to the terms of the Indenture, at [the rate per annum provided in the title hereof] [such rate] on any overdue principal and premium and (to the extent that the payment of such interest shall be legally enforceable) on any overdue installment of interest].</w:t>
      </w:r>
    </w:p>
    <w:p>
      <w:pPr>
        <w:spacing w:after="0" w:line="123"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2"/>
          <w:szCs w:val="12"/>
          <w:color w:val="auto"/>
        </w:rPr>
        <w:t>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[__________ or __________] [__________, __________, __________ or __________] (whether or not a Business Day), as the</w:t>
      </w:r>
    </w:p>
    <w:p>
      <w:pPr>
        <w:jc w:val="both"/>
        <w:spacing w:after="0" w:line="259" w:lineRule="auto"/>
        <w:rPr>
          <w:sz w:val="20"/>
          <w:szCs w:val="20"/>
          <w:color w:val="auto"/>
        </w:rPr>
      </w:pPr>
      <w:r>
        <w:rPr>
          <w:rFonts w:ascii="Times New Roman" w:cs="Times New Roman" w:eastAsia="Times New Roman" w:hAnsi="Times New Roman"/>
          <w:sz w:val="12"/>
          <w:szCs w:val="12"/>
          <w:color w:val="auto"/>
        </w:rPr>
        <w:t>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69" w:name="page70"/>
    <w:bookmarkEnd w:id="69"/>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the Security is to bear interest at a fixed rate prior to Maturity, insert — Interest shall be computed on the basis of a year of twelve 30-day months.] [If the Security is to bear interest at a floating rate prior to Maturity, insert — Interest shall be computed on the basis of the actual number of days in the relevant interest period and a 360-day year.]</w:t>
      </w:r>
    </w:p>
    <w:p>
      <w:pPr>
        <w:spacing w:after="0" w:line="106"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2"/>
          <w:szCs w:val="12"/>
          <w:color w:val="auto"/>
        </w:rPr>
        <w:t>[If the Security is to bear interest at a floating rate prior to Maturity, insert — The [insert Floating Rate] will be reset [insert period time as set forth in a Board Resolution of the Issuer] on each Interest Payment Date (each an “Interest Reset Date”), beginning on __________ __, ____. The interest rate for the period from and including the Original Issue Date to and excluding the first Interest Payment Date shall be _____ per annum (the “Initial</w:t>
      </w:r>
    </w:p>
    <w:p>
      <w:pPr>
        <w:spacing w:after="0"/>
        <w:rPr>
          <w:sz w:val="20"/>
          <w:szCs w:val="20"/>
          <w:color w:val="auto"/>
        </w:rPr>
      </w:pPr>
      <w:r>
        <w:rPr>
          <w:rFonts w:ascii="Times New Roman" w:cs="Times New Roman" w:eastAsia="Times New Roman" w:hAnsi="Times New Roman"/>
          <w:sz w:val="12"/>
          <w:szCs w:val="12"/>
          <w:color w:val="auto"/>
        </w:rPr>
        <w:t>Interest Rate”). The __________ Business Day preceding an Interest Reset Date will be the “Interest Determination Date” for that Interest Reset Date. The interest rate in effect on each day that is not an Interest Reset Date will be</w:t>
      </w:r>
    </w:p>
    <w:p>
      <w:pPr>
        <w:spacing w:after="0" w:line="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2"/>
          <w:szCs w:val="12"/>
          <w:color w:val="auto"/>
        </w:rPr>
        <w:t>the interest rate determined as of the Interest Determination Date pertaining to the immediately preceding Interest Reset Date or the Initial Interest Rate, as the case may be. The interest rate in effect on any day that is an Interest Reset Date will be the interest rate determined as of the Interest Determination Date pertaining to that Interest Reset Date.</w:t>
      </w:r>
    </w:p>
    <w:p>
      <w:pPr>
        <w:spacing w:after="0" w:line="118"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The Trustee shall act as calculation agent (together with its successors in that capacity, the “</w:t>
      </w:r>
      <w:r>
        <w:rPr>
          <w:rFonts w:ascii="Times New Roman" w:cs="Times New Roman" w:eastAsia="Times New Roman" w:hAnsi="Times New Roman"/>
          <w:sz w:val="12"/>
          <w:szCs w:val="12"/>
          <w:u w:val="single" w:color="auto"/>
          <w:color w:val="auto"/>
        </w:rPr>
        <w:t>Calculation Agent</w:t>
      </w:r>
      <w:r>
        <w:rPr>
          <w:rFonts w:ascii="Times New Roman" w:cs="Times New Roman" w:eastAsia="Times New Roman" w:hAnsi="Times New Roman"/>
          <w:sz w:val="12"/>
          <w:szCs w:val="12"/>
          <w:color w:val="auto"/>
        </w:rPr>
        <w:t>”) in connection with the Securities. The Calculation Agent shall serve as the calculation agent hereunder unless and until a successor calculation agent is appointed by the Issuer. The following definitions shall be used by the Calculation Agent in its determination of the interest rate: [insert definitions for floating rate determination].]</w:t>
      </w:r>
    </w:p>
    <w:p>
      <w:pPr>
        <w:spacing w:after="0" w:line="106"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of this Security shall bear interest at the rate of [yield to maturity]%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[yield to maturity]%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22"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 xml:space="preserve">Payment of the principal of (and premium, if any, on) and interest, if any, on this Security will be made at the office or agency of the Issuer maintained for that purpose in [the Borough of Manhattan, The City of New York], in [coin or currency],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at the option of the Issuer payment of interest may be made by check mailed to the address of or funds transferred to the person entitled thereto as such address shall appear in the Security Register.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0" w:name="page71"/>
    <w:bookmarkEnd w:id="70"/>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REFERENCE IS HEREBY MADE TO THE FURTHER PROVISIONS OF THIS SECURITY SET FORTH ON THE REVERSE HEREOF, WHICH FURTHER PROVISIONS SHALL FOR ALL PURPOSES HAVE THE SAME EFFECT AS IF SET FORTH AT THIS PLACE.</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Unless the certificate of authentication hereon has been executed by the Trustee referred to on the reverse hereof by manual or electronic signature, this Security shall not be entitled to any benefit under the Indenture or be valid or obligatory for any purpose.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 WITNESS WHEREOF, the Issuer has caused this instrument to be duly executed and delivered on 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[ISSUER]</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203.</w:t>
      </w:r>
      <w:r>
        <w:rPr>
          <w:sz w:val="20"/>
          <w:szCs w:val="20"/>
          <w:color w:val="auto"/>
        </w:rPr>
        <w:tab/>
      </w:r>
      <w:r>
        <w:rPr>
          <w:rFonts w:ascii="Times New Roman" w:cs="Times New Roman" w:eastAsia="Times New Roman" w:hAnsi="Times New Roman"/>
          <w:sz w:val="12"/>
          <w:szCs w:val="12"/>
          <w:u w:val="single" w:color="auto"/>
          <w:color w:val="auto"/>
        </w:rPr>
        <w:t>Form of Reverse of Security</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[ISSUER]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[Title of the Security]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This Security is one of a duly authorized issue of securities of the Issuer (herein called the “Securities”), issued and to be issued in one or more series under an Indenture, dated as of __________ (herein called the</w:t>
      </w:r>
    </w:p>
    <w:p>
      <w:pPr>
        <w:spacing w:after="0" w:line="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“Indenture”), among the Issuer, [GUARANTORS] (herein called the “Guarantors”, which term includes any successor guarantor under the Indenture) and Deutsche Bank Trust Company Americas,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Issuer, the Guarantors, the Trustee and the Holders of the Securities and of the terms upon which the Securities are, and are to be, authenticated and delivered. This Security is one of the series designated on the face hereof, limited in aggregate principal amount to __________.</w:t>
      </w:r>
    </w:p>
    <w:p>
      <w:pPr>
        <w:spacing w:after="0" w:line="124"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2"/>
          <w:szCs w:val="12"/>
          <w:color w:val="auto"/>
        </w:rPr>
        <w:t>[If applicable, insert – The Securities of this series are subject to redemption upon not less than 15 or more than 60 days’ notice by mail to the Holders of such Securities at their addresses in the Security Register for such series, [if applicable, insert – (1) on __________ in any year commencing with the year ____ and ending with the year ____ through operation of the sinking fund for this series at a Redemption Price equal to 100% of the principal</w:t>
      </w:r>
    </w:p>
    <w:p>
      <w:pPr>
        <w:spacing w:after="0"/>
        <w:rPr>
          <w:sz w:val="20"/>
          <w:szCs w:val="20"/>
          <w:color w:val="auto"/>
        </w:rPr>
      </w:pPr>
      <w:r>
        <w:rPr>
          <w:rFonts w:ascii="Times New Roman" w:cs="Times New Roman" w:eastAsia="Times New Roman" w:hAnsi="Times New Roman"/>
          <w:sz w:val="12"/>
          <w:szCs w:val="12"/>
          <w:color w:val="auto"/>
        </w:rPr>
        <w:t>amount, and (2)] at any time [on or after __________, 20__], as a whole or in part, at the election of the Issuer, at the following Redemption Prices (expressed as percentages of the principal amount):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804" w:right="29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2"/>
          <w:szCs w:val="12"/>
          <w:color w:val="auto"/>
        </w:rPr>
        <w:t>If redeemed [on or before __________, ____% and if redeemed] during the 12-month period beginning __________________:</w:t>
      </w:r>
    </w:p>
    <w:p>
      <w:pPr>
        <w:sectPr>
          <w:pgSz w:w="11900" w:h="16838" w:orient="portrait"/>
          <w:cols w:equalWidth="0" w:num="1">
            <w:col w:w="11300"/>
          </w:cols>
          <w:pgMar w:left="300" w:top="657" w:right="299" w:bottom="1440" w:gutter="0" w:footer="0" w:header="0"/>
        </w:sectPr>
      </w:pP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6852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22225</wp:posOffset>
            </wp:positionV>
            <wp:extent cx="18592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18592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1"/>
          <w:szCs w:val="11"/>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22225</wp:posOffset>
            </wp:positionV>
            <wp:extent cx="16389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63893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14605</wp:posOffset>
            </wp:positionV>
            <wp:extent cx="17081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70815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3060" w:space="720"/>
            <w:col w:w="2500" w:space="720"/>
            <w:col w:w="1700" w:space="720"/>
            <w:col w:w="1880"/>
          </w:cols>
          <w:pgMar w:left="300" w:top="657" w:right="29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thereafter at a Redemption Price equal to ____% of the principal amount, together in the case of any such redemption [if applicable, insert – (whether through operation of the sinking fund or otherwise)] with accrued and</w:t>
      </w:r>
    </w:p>
    <w:p>
      <w:pPr>
        <w:spacing w:after="0" w:line="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unpaid interest to, but excluding,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18"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2"/>
          <w:szCs w:val="12"/>
          <w:color w:val="auto"/>
        </w:rPr>
        <w:t>[If applicable, insert – The Securities of this series are subject to redemption upon not less than 15 or more than 60 days’ notice by mail to the Holders of such Securities at their addresses in the Security Register for such series, (1) on __________ in any year commencing with the year ____ and ending with the year through operation of the sinking fund for this series at the Redemption Prices for redemption through operation of the sinking fund</w:t>
      </w:r>
    </w:p>
    <w:p>
      <w:pPr>
        <w:spacing w:after="0"/>
        <w:rPr>
          <w:sz w:val="20"/>
          <w:szCs w:val="20"/>
          <w:color w:val="auto"/>
        </w:rPr>
      </w:pPr>
      <w:r>
        <w:rPr>
          <w:rFonts w:ascii="Times New Roman" w:cs="Times New Roman" w:eastAsia="Times New Roman" w:hAnsi="Times New Roman"/>
          <w:sz w:val="12"/>
          <w:szCs w:val="12"/>
          <w:color w:val="auto"/>
        </w:rPr>
        <w:t>(expressed as percentages of the principal amount) set forth in the table below, and (2) at any time [on or after __________], as a whole or in part, at the election of the Issuer, at the Redemption Prices for redemption otherwise than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through operation of the sinking fund (expressed as percentages of the principal amount) set forth in the table below:</w:t>
            </w: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281"/>
        </w:trPr>
        <w:tc>
          <w:tcPr>
            <w:tcW w:w="434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rPr>
              <w:t>If redeemed during the 12-month period beginning ___________________:</w:t>
            </w: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79"/>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Redemption Price For</w:t>
            </w:r>
          </w:p>
        </w:tc>
      </w:tr>
      <w:tr>
        <w:trPr>
          <w:trHeight w:val="146"/>
        </w:trPr>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60" w:type="dxa"/>
            <w:vAlign w:val="bottom"/>
          </w:tcPr>
          <w:p>
            <w:pPr>
              <w:jc w:val="center"/>
              <w:ind w:right="599"/>
              <w:spacing w:after="0"/>
              <w:rPr>
                <w:sz w:val="20"/>
                <w:szCs w:val="20"/>
                <w:color w:val="auto"/>
              </w:rPr>
            </w:pPr>
            <w:r>
              <w:rPr>
                <w:rFonts w:ascii="Times New Roman" w:cs="Times New Roman" w:eastAsia="Times New Roman" w:hAnsi="Times New Roman"/>
                <w:sz w:val="12"/>
                <w:szCs w:val="12"/>
                <w:b w:val="1"/>
                <w:bCs w:val="1"/>
                <w:color w:val="auto"/>
              </w:rPr>
              <w:t>Redemption Price</w:t>
            </w:r>
          </w:p>
        </w:tc>
        <w:tc>
          <w:tcPr>
            <w:tcW w:w="14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Redemption Otherwise Than</w:t>
            </w:r>
          </w:p>
        </w:tc>
      </w:tr>
      <w:tr>
        <w:trPr>
          <w:trHeight w:val="146"/>
        </w:trPr>
        <w:tc>
          <w:tcPr>
            <w:tcW w:w="3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60" w:type="dxa"/>
            <w:vAlign w:val="bottom"/>
          </w:tcPr>
          <w:p>
            <w:pPr>
              <w:jc w:val="center"/>
              <w:ind w:right="599"/>
              <w:spacing w:after="0"/>
              <w:rPr>
                <w:sz w:val="20"/>
                <w:szCs w:val="20"/>
                <w:color w:val="auto"/>
              </w:rPr>
            </w:pPr>
            <w:r>
              <w:rPr>
                <w:rFonts w:ascii="Times New Roman" w:cs="Times New Roman" w:eastAsia="Times New Roman" w:hAnsi="Times New Roman"/>
                <w:sz w:val="12"/>
                <w:szCs w:val="12"/>
                <w:b w:val="1"/>
                <w:bCs w:val="1"/>
                <w:color w:val="auto"/>
              </w:rPr>
              <w:t>For Redemption</w:t>
            </w:r>
          </w:p>
        </w:tc>
        <w:tc>
          <w:tcPr>
            <w:tcW w:w="14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Through Operation</w:t>
            </w:r>
          </w:p>
        </w:tc>
      </w:tr>
      <w:tr>
        <w:trPr>
          <w:trHeight w:val="170"/>
        </w:trPr>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b w:val="1"/>
                <w:bCs w:val="1"/>
                <w:color w:val="auto"/>
              </w:rPr>
              <w:t>Year</w:t>
            </w:r>
          </w:p>
        </w:tc>
        <w:tc>
          <w:tcPr>
            <w:tcW w:w="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jc w:val="center"/>
              <w:ind w:right="599"/>
              <w:spacing w:after="0"/>
              <w:rPr>
                <w:sz w:val="20"/>
                <w:szCs w:val="20"/>
                <w:color w:val="auto"/>
              </w:rPr>
            </w:pPr>
            <w:r>
              <w:rPr>
                <w:rFonts w:ascii="Times New Roman" w:cs="Times New Roman" w:eastAsia="Times New Roman" w:hAnsi="Times New Roman"/>
                <w:sz w:val="12"/>
                <w:szCs w:val="12"/>
                <w:b w:val="1"/>
                <w:bCs w:val="1"/>
                <w:color w:val="auto"/>
              </w:rPr>
              <w:t>Through Operation of the Sinking Fund</w:t>
            </w:r>
          </w:p>
        </w:tc>
        <w:tc>
          <w:tcPr>
            <w:tcW w:w="14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 the Sinking Fund</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thereafter at a Redemption Price equal to _____% of the principal amount, together in the case of any such redemption (whether through operation of the sinking fund or otherwise) with accrued and unpaid interest to, but</w:t>
      </w:r>
    </w:p>
    <w:p>
      <w:pPr>
        <w:spacing w:after="0" w:line="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excluding,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18"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2"/>
          <w:szCs w:val="12"/>
          <w:color w:val="auto"/>
        </w:rPr>
        <w:t>[If applicable, insert – The Securities of this series are subject to redemption upon not less than 15 or more than 60 days’ notice by mail to the Holders of such Securities at their addresses in the Security Register for such series, at any time, as a whole or in part, at the election of the Issuer, at a Redemption Price equal to the greater of:</w:t>
      </w:r>
    </w:p>
    <w:p>
      <w:pPr>
        <w:spacing w:after="0" w:line="106" w:lineRule="exact"/>
        <w:rPr>
          <w:sz w:val="20"/>
          <w:szCs w:val="20"/>
          <w:color w:val="auto"/>
        </w:rPr>
      </w:pPr>
    </w:p>
    <w:p>
      <w:pPr>
        <w:ind w:left="1380" w:hanging="508"/>
        <w:spacing w:after="0"/>
        <w:tabs>
          <w:tab w:leader="none" w:pos="138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principal amount of the Securities to be redeemed, or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type w:val="continuous"/>
        </w:sectPr>
      </w:pPr>
    </w:p>
    <w:bookmarkStart w:id="72" w:name="page73"/>
    <w:bookmarkEnd w:id="72"/>
    <w:p>
      <w:pPr>
        <w:ind w:left="1420" w:hanging="548"/>
        <w:spacing w:after="0"/>
        <w:tabs>
          <w:tab w:leader="none" w:pos="1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determined by the Quotation Agent (as defined below), the sum of the present values of the remaining scheduled payments of principal and interest on the notes to be redeemed that would be due if</w:t>
      </w:r>
    </w:p>
    <w:p>
      <w:pPr>
        <w:spacing w:after="0" w:line="2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series of notes matured on the Par Call Date (except that, if the redemption date is not an interest payment date, the amount of the next succeeding scheduled interest payment will be reduced (solely for the purpose of</w:t>
      </w:r>
    </w:p>
    <w:p>
      <w:pPr>
        <w:spacing w:after="0" w:line="155" w:lineRule="exact"/>
        <w:rPr>
          <w:sz w:val="20"/>
          <w:szCs w:val="20"/>
          <w:color w:val="auto"/>
        </w:rPr>
      </w:pPr>
    </w:p>
    <w:p>
      <w:pPr>
        <w:ind w:left="440" w:right="20"/>
        <w:spacing w:after="0" w:line="290" w:lineRule="auto"/>
        <w:rPr>
          <w:sz w:val="20"/>
          <w:szCs w:val="20"/>
          <w:color w:val="auto"/>
        </w:rPr>
      </w:pPr>
      <w:r>
        <w:rPr>
          <w:rFonts w:ascii="Times New Roman" w:cs="Times New Roman" w:eastAsia="Times New Roman" w:hAnsi="Times New Roman"/>
          <w:sz w:val="12"/>
          <w:szCs w:val="12"/>
          <w:color w:val="auto"/>
        </w:rPr>
        <w:t>this calculation) by the amount of interest accrued thereon to the redemption date), discounted to the redemption date on a semi-annual basis at a discount rate equal to the Adjusted Treasury Rate plus basis points in the case of the notes and basis points in the case of the notes.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Interest will cease to accrue on the Securities or portions of the Securities called for redemption on and after the Redemption Date.</w:t>
      </w:r>
    </w:p>
    <w:p>
      <w:pPr>
        <w:spacing w:after="0" w:line="155" w:lineRule="exact"/>
        <w:rPr>
          <w:sz w:val="20"/>
          <w:szCs w:val="20"/>
          <w:color w:val="auto"/>
        </w:rPr>
      </w:pPr>
    </w:p>
    <w:p>
      <w:pPr>
        <w:ind w:right="20"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Adjusted Treasury Rate</w:t>
      </w:r>
      <w:r>
        <w:rPr>
          <w:rFonts w:ascii="Times New Roman" w:cs="Times New Roman" w:eastAsia="Times New Roman" w:hAnsi="Times New Roman"/>
          <w:sz w:val="12"/>
          <w:szCs w:val="12"/>
          <w:color w:val="auto"/>
        </w:rPr>
        <w:t>” means, with respect to any Redemption Date, the rate per year equal to the semi-annual equivalent yield to maturity or interpolated (on a day count basis) of the Comparable Treasury Issue, assuming a price for the Comparable Treasury Issue (expressed as a percentage of its principal amount) equal to the Comparable Treasury Price for that Redemption Date.</w:t>
      </w:r>
    </w:p>
    <w:p>
      <w:pPr>
        <w:spacing w:after="0" w:line="106" w:lineRule="exact"/>
        <w:rPr>
          <w:sz w:val="20"/>
          <w:szCs w:val="20"/>
          <w:color w:val="auto"/>
        </w:rPr>
      </w:pPr>
    </w:p>
    <w:p>
      <w:pPr>
        <w:ind w:firstLine="43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Comparable Treasury Issue</w:t>
      </w:r>
      <w:r>
        <w:rPr>
          <w:rFonts w:ascii="Times New Roman" w:cs="Times New Roman" w:eastAsia="Times New Roman" w:hAnsi="Times New Roman"/>
          <w:sz w:val="12"/>
          <w:szCs w:val="12"/>
          <w:color w:val="auto"/>
        </w:rPr>
        <w:t>” means the United States Treasury security selected by the Quotation Agent as having an actual or interpolated maturity comparable to the remaining term of the Securities to be redeemed that would be used, at the time of selection and in accordance with customary financial practice, in pricing new issues of corporate debt securities of comparable maturity to the remaining term of such Securities (assuming, for purposes</w:t>
      </w:r>
    </w:p>
    <w:p>
      <w:pPr>
        <w:spacing w:after="0"/>
        <w:tabs>
          <w:tab w:leader="none" w:pos="2100" w:val="left"/>
          <w:tab w:leader="none" w:pos="6620" w:val="left"/>
        </w:tabs>
        <w:rPr>
          <w:sz w:val="20"/>
          <w:szCs w:val="20"/>
          <w:color w:val="auto"/>
        </w:rPr>
      </w:pPr>
      <w:r>
        <w:rPr>
          <w:rFonts w:ascii="Times New Roman" w:cs="Times New Roman" w:eastAsia="Times New Roman" w:hAnsi="Times New Roman"/>
          <w:sz w:val="12"/>
          <w:szCs w:val="12"/>
          <w:color w:val="auto"/>
        </w:rPr>
        <w:t>of this definition, in the case of the</w:t>
      </w:r>
      <w:r>
        <w:rPr>
          <w:sz w:val="20"/>
          <w:szCs w:val="20"/>
          <w:color w:val="auto"/>
        </w:rPr>
        <w:tab/>
      </w:r>
      <w:r>
        <w:rPr>
          <w:rFonts w:ascii="Times New Roman" w:cs="Times New Roman" w:eastAsia="Times New Roman" w:hAnsi="Times New Roman"/>
          <w:sz w:val="12"/>
          <w:szCs w:val="12"/>
          <w:color w:val="auto"/>
        </w:rPr>
        <w:t>notes, that such Securities matured on the maturity date and, in the case of the and</w:t>
      </w:r>
      <w:r>
        <w:rPr>
          <w:sz w:val="20"/>
          <w:szCs w:val="20"/>
          <w:color w:val="auto"/>
        </w:rPr>
        <w:tab/>
      </w:r>
      <w:r>
        <w:rPr>
          <w:rFonts w:ascii="Times New Roman" w:cs="Times New Roman" w:eastAsia="Times New Roman" w:hAnsi="Times New Roman"/>
          <w:sz w:val="12"/>
          <w:szCs w:val="12"/>
          <w:color w:val="auto"/>
        </w:rPr>
        <w:t>notes, that such Securities matured on the Par Call Date of such Securities).</w:t>
      </w:r>
    </w:p>
    <w:p>
      <w:pPr>
        <w:spacing w:after="0" w:line="143"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Comparable Treasury Price</w:t>
      </w:r>
      <w:r>
        <w:rPr>
          <w:rFonts w:ascii="Times New Roman" w:cs="Times New Roman" w:eastAsia="Times New Roman" w:hAnsi="Times New Roman"/>
          <w:sz w:val="12"/>
          <w:szCs w:val="12"/>
          <w:color w:val="auto"/>
        </w:rPr>
        <w:t>” means, with respect to any Redemption Date, (i) the average of the Reference Treasury Dealer Quotations for that Redemption Date, after excluding the highest and lowest of the Reference Treasury Dealer Quotations, or (ii) if the Quotation Agent obtains fewer than four Reference Treasury Dealer Quotations, the average of the Reference Treasury Dealer Quotations so received.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“Par Call Date” means, with respect to the</w:t>
            </w:r>
          </w:p>
        </w:tc>
        <w:tc>
          <w:tcPr>
            <w:tcW w:w="1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notes, the date that is</w:t>
            </w:r>
          </w:p>
        </w:tc>
        <w:tc>
          <w:tcPr>
            <w:tcW w:w="2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months prior to the maturity date of the</w:t>
            </w:r>
          </w:p>
        </w:tc>
        <w:tc>
          <w:tcPr>
            <w:tcW w:w="18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notes and, with respect to the</w:t>
            </w:r>
          </w:p>
        </w:tc>
        <w:tc>
          <w:tcPr>
            <w:tcW w:w="30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notes, the date that is months prior to the maturity date of</w:t>
            </w:r>
          </w:p>
        </w:tc>
      </w:tr>
      <w:tr>
        <w:trPr>
          <w:trHeight w:val="153"/>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the</w:t>
            </w:r>
          </w:p>
        </w:tc>
        <w:tc>
          <w:tcPr>
            <w:tcW w:w="200" w:type="dxa"/>
            <w:vAlign w:val="bottom"/>
          </w:tcPr>
          <w:p>
            <w:pPr>
              <w:spacing w:after="0"/>
              <w:rPr>
                <w:sz w:val="13"/>
                <w:szCs w:val="13"/>
                <w:color w:val="auto"/>
              </w:rPr>
            </w:pPr>
          </w:p>
        </w:tc>
        <w:tc>
          <w:tcPr>
            <w:tcW w:w="6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notes.</w:t>
            </w: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0" w:type="dxa"/>
            <w:vAlign w:val="bottom"/>
          </w:tcPr>
          <w:p>
            <w:pPr>
              <w:spacing w:after="0"/>
              <w:rPr>
                <w:sz w:val="13"/>
                <w:szCs w:val="13"/>
                <w:color w:val="auto"/>
              </w:rPr>
            </w:pPr>
          </w:p>
        </w:tc>
      </w:tr>
    </w:tbl>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Quotation Agent</w:t>
      </w:r>
      <w:r>
        <w:rPr>
          <w:rFonts w:ascii="Times New Roman" w:cs="Times New Roman" w:eastAsia="Times New Roman" w:hAnsi="Times New Roman"/>
          <w:sz w:val="12"/>
          <w:szCs w:val="12"/>
          <w:color w:val="auto"/>
        </w:rPr>
        <w:t>” means _______________________.</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Treasury Dealer</w:t>
      </w:r>
      <w:r>
        <w:rPr>
          <w:rFonts w:ascii="Times New Roman" w:cs="Times New Roman" w:eastAsia="Times New Roman" w:hAnsi="Times New Roman"/>
          <w:sz w:val="12"/>
          <w:szCs w:val="12"/>
          <w:color w:val="auto"/>
        </w:rPr>
        <w:t>” means (i) each of ________________, ________________ and ________________, and their respective successors, unless any of them ceases to be a primary U.S. Government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dealer in New York City (a “</w:t>
      </w:r>
      <w:r>
        <w:rPr>
          <w:rFonts w:ascii="Times New Roman" w:cs="Times New Roman" w:eastAsia="Times New Roman" w:hAnsi="Times New Roman"/>
          <w:sz w:val="12"/>
          <w:szCs w:val="12"/>
          <w:u w:val="single" w:color="auto"/>
          <w:color w:val="auto"/>
        </w:rPr>
        <w:t>Primary Treasury Dealer</w:t>
      </w:r>
      <w:r>
        <w:rPr>
          <w:rFonts w:ascii="Times New Roman" w:cs="Times New Roman" w:eastAsia="Times New Roman" w:hAnsi="Times New Roman"/>
          <w:sz w:val="12"/>
          <w:szCs w:val="12"/>
          <w:color w:val="auto"/>
        </w:rPr>
        <w:t>”), in which case the Issuer shall substitute another Primary Treasury Dealer, and (ii) any other Primary Treasury Dealers selected by the Quotation Agent.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3" w:name="page74"/>
    <w:bookmarkEnd w:id="73"/>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Treasury Dealer Quotations</w:t>
      </w:r>
      <w:r>
        <w:rPr>
          <w:rFonts w:ascii="Times New Roman" w:cs="Times New Roman" w:eastAsia="Times New Roman" w:hAnsi="Times New Roman"/>
          <w:sz w:val="12"/>
          <w:szCs w:val="12"/>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Issuer by that Reference Treasury Dealer at 5:00 p.m., New York City time, on the third Business Day preceding that Redemption Date.]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[Notwithstanding the foregoing, the Issuer may not prior to __________ redeem any Securities of this series as contemplated by [clause (2) of] the preceding paragraph as a part of, or in anticipation of, any refunding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operation by the application, directly or indirectly, of moneys borrowed having an interest cost to the Issuer (calculated in accordance with generally accepted financial practice) of less than ____% per annum.]</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sinking fund for this series provides for the redemption on __________ in each year beginning with the year ____ and ending with the year ____ of [not less than] __________ [(“mandatory sinking fund”) and, at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option of the Issuer, not more than _________] aggregate principal amount of Securities of this series. [Securities of this series acquired or redeemed by the Issuer otherwise than through [mandatory] sinking fund payments may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credited against subsequent [mandatory] sinking fund payments otherwise required to be made in the order in which they become due.]</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 the event of redemption of this Security in part only, a new Security or Securities of this series for the unredeemed portion hereof will be issued in the name of the Holder hereof upon the cancellation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Indenture contains provisions for defeasance of (a) the entire indebtedness of this Security and (b) certain restrictive covenants upon compliance by the Issuer with certain conditions set forth therein.</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06"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[If the Security is an Original Issue Discount Security, insert – If an Event of Default with respect to Securities of this series shall occur and be continuing, an amount of principal of the Securities of this series (the “Acceleration Amount”) may be declared due and payable in the manner and with the effect provided in the Indenture. In case of a declaration of acceleration on or before __________, __________ or on __________ in any year, the Acceleration Amount per principal amount at Stated Maturity of the Securities shall be equal to the amount set forth in respect of such date below:</w:t>
      </w:r>
    </w:p>
    <w:p>
      <w:pPr>
        <w:sectPr>
          <w:pgSz w:w="11900" w:h="16838" w:orient="portrait"/>
          <w:cols w:equalWidth="0" w:num="1">
            <w:col w:w="11300"/>
          </w:cols>
          <w:pgMar w:left="300" w:top="657" w:right="299" w:bottom="1440" w:gutter="0" w:footer="0" w:header="0"/>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Date of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481139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48113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Acceleration Amount per principal amount at Stated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14605</wp:posOffset>
            </wp:positionV>
            <wp:extent cx="22834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28346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500"/>
          </w:cols>
          <w:pgMar w:left="300" w:top="657" w:right="299" w:bottom="1440" w:gutter="0" w:footer="0" w:header="0"/>
          <w:type w:val="continuous"/>
        </w:sectPr>
      </w:pPr>
    </w:p>
    <w:p>
      <w:pPr>
        <w:spacing w:after="0" w:line="1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and in case of a declaration of acceleration on any other date, the Acceleration Amount shall be equal to the Acceleration Amount as of the next preceding date set forth in the table above, plus accrued original issue discount (computed in accordance with generally accepted accounting principles in effect on __________) from such next preceding date to the date of declaration at the yield to maturity. For the purpose of this computation the yield to</w:t>
      </w:r>
    </w:p>
    <w:p>
      <w:pPr>
        <w:spacing w:after="0"/>
        <w:rPr>
          <w:sz w:val="20"/>
          <w:szCs w:val="20"/>
          <w:color w:val="auto"/>
        </w:rPr>
      </w:pPr>
      <w:r>
        <w:rPr>
          <w:rFonts w:ascii="Times New Roman" w:cs="Times New Roman" w:eastAsia="Times New Roman" w:hAnsi="Times New Roman"/>
          <w:sz w:val="12"/>
          <w:szCs w:val="12"/>
          <w:color w:val="auto"/>
        </w:rPr>
        <w:t>maturity is ____%. Upon payment (i) of the Acceleration Amount so declared due and payable and (ii) of interest on any overdue principal and overdue interest (in each case to the extent that the payment of such interest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legally enforceable), all of the Issuer’s obligations in respect of the payment of the principal of and interest, if any, on the Securities of this series shall terminate.]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type w:val="continuous"/>
        </w:sectPr>
      </w:pPr>
    </w:p>
    <w:bookmarkStart w:id="74" w:name="page75"/>
    <w:bookmarkEnd w:id="74"/>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applicable, insert— Each Holder hereby consents to the Issuer or any Guarantor (or any additional or successor Guarantor) applying to a court of competent jurisdiction for an order sanctioning, approving, consenting to or confirming a reduction in any of its share capital accounts including, without limitation, by re-characterizing any sum standing to the credit of an undenominated capital account as a distributable reserve.]</w:t>
      </w:r>
    </w:p>
    <w:p>
      <w:pPr>
        <w:spacing w:after="0" w:line="106"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The Indenture permits, with certain exceptions as therein provided, the amendment thereof and the modification of the rights and obligations of the Issuer and the Guarantors and the rights of the Holders of the Securities of each series to be affected under the Indenture at any time by the Issuer, the Guarantors and the Trustee with the consent of the Holders of a majority in principal amount of the Securities at the time Outstanding of all series to be affected. The Indenture also contains provisions permitting the Holders of specified percentages in principal amount of the Securities at the time Outstanding of all series to be affected, on behalf of the Holders of all Securities of such series, to waive compliance by the Issuer and/or the Guarantors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The Holders shall provide the Trustee with written notice of any waiver pursuant to the Indenture.</w:t>
      </w:r>
    </w:p>
    <w:p>
      <w:pPr>
        <w:spacing w:after="0" w:line="12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No reference herein to the Indenture and no provision of this Security or of the Indenture shall alter or impair the obligation of the Issuer, which is absolute and unconditional, to pay the principal of (and premium, if any, on) and interest, if any, on this Security at the times, place and rate, and in the coin or currency, herein prescribed.</w:t>
      </w:r>
    </w:p>
    <w:p>
      <w:pPr>
        <w:spacing w:after="0" w:line="106"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As provided in the Indenture and subject to certain limitations therein set forth, the transfer of this Security is registrable in the Security Register, upon surrender of this Security for registration of transfer at the office or agency of the Issuer in any place where the principal of (and premium, if any, on) and interest, if any, on this Security are payable, duly endorsed by, or accompanied by a written instrument of transfer in form satisfactory to the Issuer and the Security Registrar duly executed by, the Holder hereof or his or her attorney duly authorized in writing, and thereupon one or more new Securities of this series, of authorized denominations and for the same aggregate principal amount, will be issued to the designated transferee or transferees.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Securities of this series are issuable only in registered form without coupons in denominations of __________ and any integral multiple thereof. As provided in the Indenture and subject to certain limitations therein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Securities of this series are exchangeable for a like aggregate principal amount of Securities of this series of a different authorized denomination, as requested by the Holder surrendering the same.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2"/>
          <w:szCs w:val="12"/>
          <w:color w:val="auto"/>
        </w:rPr>
        <w:t>No service charge shall be made for any such registration of transfer or exchange, but the Issuer may require payment of a sum sufficient to cover any tax or other governmental charge payable in connection therewith.</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Prior to due presentment of this Security for registration of transfer, the Issuer, the Guarantors, the Trustee and any agent of the Issuer, the Guarantors or the Trustee may treat the person in whose name this Security is registered as the owner hereof for all purposes, whether or not this Security be overdue, and none of the Issuer, the Guarantors, the Trustee or any such agent shall be affected by notice to the contrary.</w:t>
      </w:r>
    </w:p>
    <w:p>
      <w:pPr>
        <w:spacing w:after="0" w:line="106" w:lineRule="exact"/>
        <w:rPr>
          <w:sz w:val="20"/>
          <w:szCs w:val="20"/>
          <w:color w:val="auto"/>
        </w:rPr>
      </w:pPr>
    </w:p>
    <w:p>
      <w:pPr>
        <w:jc w:val="both"/>
        <w:ind w:right="20" w:firstLine="439"/>
        <w:spacing w:after="0" w:line="263" w:lineRule="auto"/>
        <w:rPr>
          <w:sz w:val="20"/>
          <w:szCs w:val="20"/>
          <w:color w:val="auto"/>
        </w:rPr>
      </w:pPr>
      <w:r>
        <w:rPr>
          <w:rFonts w:ascii="Times New Roman" w:cs="Times New Roman" w:eastAsia="Times New Roman" w:hAnsi="Times New Roman"/>
          <w:sz w:val="12"/>
          <w:szCs w:val="12"/>
          <w:color w:val="auto"/>
        </w:rPr>
        <w:t>No recourse for the payment of the principal of (and premium, if any, on) or interest, if any, on this Security or any Guarantee endorsed hereon, or for any claim based hereon or thereon or otherwise in respect hereof or thereof, and no recourse under or upon any obligation, covenant or agreement of the Issuer or any Guarantor in the Indenture or in any indenture supplemental thereto, or in any Security or in any Guarantee, or because of the creation of any indebtedness represented thereby, shall be had against any incorporator, shareholder, officer or director, as such, past, present or future, of the Issuer or any Guarantor or of any successor corporation, either directly or through the Issuer or any Guarantor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20" w:lineRule="exact"/>
        <w:rPr>
          <w:sz w:val="20"/>
          <w:szCs w:val="20"/>
          <w:color w:val="auto"/>
        </w:rPr>
      </w:pPr>
    </w:p>
    <w:p>
      <w:pPr>
        <w:jc w:val="both"/>
        <w:ind w:firstLine="439"/>
        <w:spacing w:after="0" w:line="294" w:lineRule="auto"/>
        <w:rPr>
          <w:sz w:val="20"/>
          <w:szCs w:val="20"/>
          <w:color w:val="auto"/>
        </w:rPr>
      </w:pPr>
      <w:r>
        <w:rPr>
          <w:rFonts w:ascii="Times New Roman" w:cs="Times New Roman" w:eastAsia="Times New Roman" w:hAnsi="Times New Roman"/>
          <w:sz w:val="12"/>
          <w:szCs w:val="12"/>
          <w:b w:val="1"/>
          <w:bCs w:val="1"/>
          <w:color w:val="auto"/>
        </w:rPr>
        <w:t>THIS SECURITY SHALL BE GOVERNED BY AND CONSTRUED IN ACCORDANCE WITH THE LAWS OF THE STATE OF NEW YORK, WITHOUT REFERENCE TO THE CONFLICT OF LAWS PROVISIONS THEREOF.</w:t>
      </w:r>
    </w:p>
    <w:p>
      <w:pPr>
        <w:spacing w:after="0" w:line="103"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All terms used in this Security which are defined in the Indenture shall have the meanings assigned to them in the Indenture. In the event that a provision of this Security conflicts with the Indenture, the terms of the Indenture will govern.</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204.</w:t>
      </w:r>
      <w:r>
        <w:rPr>
          <w:sz w:val="20"/>
          <w:szCs w:val="20"/>
          <w:color w:val="auto"/>
        </w:rPr>
        <w:tab/>
      </w:r>
      <w:r>
        <w:rPr>
          <w:rFonts w:ascii="Times New Roman" w:cs="Times New Roman" w:eastAsia="Times New Roman" w:hAnsi="Times New Roman"/>
          <w:sz w:val="12"/>
          <w:szCs w:val="12"/>
          <w:u w:val="single" w:color="auto"/>
          <w:color w:val="auto"/>
        </w:rPr>
        <w:t>Form of Trustee’s Certificate of Authentication</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therein referred to in the within-mentioned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DEUTSCHE BANK TRUST COMPANY AMERICAS, as Trustee</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6" w:name="page77"/>
    <w:bookmarkEnd w:id="76"/>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205.</w:t>
      </w:r>
      <w:r>
        <w:rPr>
          <w:sz w:val="20"/>
          <w:szCs w:val="20"/>
          <w:color w:val="auto"/>
        </w:rPr>
        <w:tab/>
      </w:r>
      <w:r>
        <w:rPr>
          <w:rFonts w:ascii="Times New Roman" w:cs="Times New Roman" w:eastAsia="Times New Roman" w:hAnsi="Times New Roman"/>
          <w:sz w:val="12"/>
          <w:szCs w:val="12"/>
          <w:u w:val="single" w:color="auto"/>
          <w:color w:val="auto"/>
        </w:rPr>
        <w:t>Securities in Global Form</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If any Security of a series is issuable in global form,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of Outstanding Securities represented thereby shall be made by the Trustee of such series of Securities and in such manner as shall be specified in such Global Security. Any instructions by the Issuer with respect to a Global Security, after its initial issuance, shall be in writing but need not comply with Section 102.</w:t>
      </w:r>
    </w:p>
    <w:p>
      <w:pPr>
        <w:spacing w:after="0" w:line="120"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None of the Issuer, the Guarantors, the Trustee of such series of Securities,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206.</w:t>
      </w:r>
      <w:r>
        <w:rPr>
          <w:sz w:val="20"/>
          <w:szCs w:val="20"/>
          <w:color w:val="auto"/>
        </w:rPr>
        <w:tab/>
      </w:r>
      <w:r>
        <w:rPr>
          <w:rFonts w:ascii="Times New Roman" w:cs="Times New Roman" w:eastAsia="Times New Roman" w:hAnsi="Times New Roman"/>
          <w:sz w:val="12"/>
          <w:szCs w:val="12"/>
          <w:u w:val="single" w:color="auto"/>
          <w:color w:val="auto"/>
        </w:rPr>
        <w:t>Guarantee; Form of Guarantee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Each Guarantor by its execution of this Indenture hereby agrees with each Holder of a Security of each series authenticated and delivered by the Trustee of such series of Securities and with such Trustee on behalf of each such Holder, to be unconditionally bound by the terms and provisions of the Guarantee set forth below and authorizes such Trustee to confirm such Guarantee to the Holder of each such Security by its execution and delivery of each such Security, with such Guarantee endorsed thereon, authenticated and delivered by such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Guarantee of each Guarantor to be endorsed on the Security shall, subject to Section 201, be in substantially the form set forth below: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GUARANTEE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[GUARANTOR]</w:t>
      </w:r>
    </w:p>
    <w:p>
      <w:pPr>
        <w:spacing w:after="0" w:line="143"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For value received, [GUARANTOR], a company duly organized and existing under the laws of [COUNTRY] (herein called the “Guarantor”, which term includes any successor Person under the Indenture referred to in the Security upon which this Guarantee is endorsed), hereby irrevocably and unconditionally guarantees to the Holder of the Security upon which this Guarantee is endorsed and to the Trustee for itself and on behalf of each such Holder the due and punctual payment of the principal of (and premium, if any, on) and interest on such Security and the due and punctual payment of the sinking fund or analogous payments referred to therein, if any, when and as the same shall become due and payable, whether at the Stated Maturity, by declaration of acceleration, call for redemption or otherwise, according to the terms thereof and of the Indenture referred to therein, and all other amounts owed under the Indenture, all in accordance with and subject to the terms and limitations of the Security on which this Guarantee is endorsed and Article Thirteen of the Indenture. In case of the failure of [ISSUER], a company duly organized under the laws of [COUNTRY] (herein called the “Issuer”, which term includes any successor Person under such Indenture), promptly to make any such payment of principal (and premium, if any) or interest or any such sinking fund or analogous payment, the Guarantor hereby agrees to cause any such payment to be made promptly when and as the same shall become due and payable, whether at the Stated Maturity or by declaration of acceleration, call for redemption or otherwise, and as if such payment were made by the Issuer, subject to the terms and limitations of Article Thirteen of the Indenture.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2"/>
          <w:szCs w:val="12"/>
          <w:color w:val="auto"/>
        </w:rPr>
        <w:t>This Guarantee shall not be valid or obligatory for any purpose until the certificate of authentication of such Security shall have been manually or electronically executed by or on behalf of the Trustee under such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All terms used in this Guarantee which are defined in such Indenture shall have the meanings assigned to them in such Indenture.</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THIS GUARANTEE SHALL BE GOVERNED BY AND CONSTRUED IN ACCORDANCE WITH THE LAWS OF THE STATE OF NEW YORK, WITHOUT REFERENCE TO THE CONFLICT OF LAWS PROVISIONS THEREOF.</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Executed and delivered on this __________ day of _________, 20___.</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[GUARANTOR]</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Reference is made to Article Thirteen for further provisions with respect to the Guarantees.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THREE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SECURITIES</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301.</w:t>
      </w:r>
      <w:r>
        <w:rPr>
          <w:sz w:val="20"/>
          <w:szCs w:val="20"/>
          <w:color w:val="auto"/>
        </w:rPr>
        <w:tab/>
      </w:r>
      <w:r>
        <w:rPr>
          <w:rFonts w:ascii="Times New Roman" w:cs="Times New Roman" w:eastAsia="Times New Roman" w:hAnsi="Times New Roman"/>
          <w:sz w:val="12"/>
          <w:szCs w:val="12"/>
          <w:u w:val="single" w:color="auto"/>
          <w:color w:val="auto"/>
        </w:rPr>
        <w:t>Amount Unlimited; Issuable in Series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aggregate principal amount of Securities which may be authenticated and delivered under this Indenture is unlimited.</w:t>
      </w:r>
    </w:p>
    <w:p>
      <w:pPr>
        <w:spacing w:after="0" w:line="155"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2"/>
          <w:szCs w:val="12"/>
          <w:color w:val="auto"/>
        </w:rPr>
        <w:t>The Securities may be issued in one or more series. The terms of each series of Securities shall be established either by a Board Resolution of the Issuer or by an Officer’s Certificate of the Issuer delivered pursuant to authority granted by a Board Resolution or by a supplemental indenture. If any of the terms of the series, including the form of Security of such series, are established by action taken pursuant to a Board Resolution of the Issuer, a copy of an appropriate record of such action shall be certified by the Secretary or an Assistant Secretary (or Persons performing similar functions) of the Issuer (or if the Issuer does not have a Secretary or Assistant Secretary, a director or manager of the Issuer) and delivered to the Trustee for the Securities of such series at or prior to the delivery of the Company Order contemplated by Section 303 for the authentication and delivery of such series of Securities. If the terms of a series of Securities are to be established pursuant to an Officer’s Certificate, one or more duly appointed officers of the Issuer shall execute and deliver to the Trustee such Officer’s Certificate, acting pursuant to authority granted to such officers by the Board of Directors of the Issuer. If the terms of a series of Securities are to be established pursuant to a supplemental indenture, such supplemental indenture shall be entered into in accordance with the provisions of Section 901 hereof.</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color w:val="auto"/>
        </w:rPr>
        <w:t>Such Board Resolution or Officer’s Certificate or supplemental indenture (including any exhibits thereto) shall establish:</w:t>
      </w:r>
    </w:p>
    <w:p>
      <w:pPr>
        <w:spacing w:after="0" w:line="155" w:lineRule="exact"/>
        <w:rPr>
          <w:sz w:val="20"/>
          <w:szCs w:val="20"/>
          <w:color w:val="auto"/>
        </w:rPr>
      </w:pPr>
    </w:p>
    <w:p>
      <w:pPr>
        <w:ind w:left="940" w:hanging="508"/>
        <w:spacing w:after="0"/>
        <w:tabs>
          <w:tab w:leader="none" w:pos="94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title of the Securities of that series (which shall distinguish the Securities of that series from all other series of Securities);</w:t>
      </w:r>
    </w:p>
    <w:p>
      <w:pPr>
        <w:spacing w:after="0" w:line="154" w:lineRule="exact"/>
        <w:rPr>
          <w:rFonts w:ascii="Times New Roman" w:cs="Times New Roman" w:eastAsia="Times New Roman" w:hAnsi="Times New Roman"/>
          <w:sz w:val="12"/>
          <w:szCs w:val="12"/>
          <w:color w:val="010000"/>
        </w:rPr>
      </w:pPr>
    </w:p>
    <w:p>
      <w:pPr>
        <w:ind w:right="20" w:firstLine="432"/>
        <w:spacing w:after="0" w:line="290" w:lineRule="auto"/>
        <w:tabs>
          <w:tab w:leader="none" w:pos="1048"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pursuant to Sections 304, 305, 306, 906, or 1107);</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whether the Securities of that series rank as senior Securities or subordinated Securities and the terms of any such subordination;</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date or dates on which the principal of the Securities of that series is payable;</w:t>
      </w:r>
    </w:p>
    <w:p>
      <w:pPr>
        <w:spacing w:after="0" w:line="154" w:lineRule="exact"/>
        <w:rPr>
          <w:rFonts w:ascii="Times New Roman" w:cs="Times New Roman" w:eastAsia="Times New Roman" w:hAnsi="Times New Roman"/>
          <w:sz w:val="12"/>
          <w:szCs w:val="12"/>
          <w:color w:val="010000"/>
        </w:rPr>
      </w:pPr>
    </w:p>
    <w:p>
      <w:pPr>
        <w:ind w:right="20" w:firstLine="432"/>
        <w:spacing w:after="0" w:line="290" w:lineRule="auto"/>
        <w:tabs>
          <w:tab w:leader="none" w:pos="956"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rate or rates (or the manner of calculation thereof) at which the Securities of that series shall bear interest, if any, the date or dates from which such interest shall accrue, the Interest Payment Dates on which such interest shall be payable and the Regular Record Date for the interest payable on any Interest Payment Date;</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place or places where the principal of (and premium, if any, on) and interest, if any, on Securities of that series shall be payable and where such Securities may be registered or transferred;</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period or periods within which, the price or prices at which and the terms and conditions upon which Securities of that series may be redeemed, in whole or in part, at the option of the Issuer;</w:t>
      </w:r>
    </w:p>
    <w:p>
      <w:pPr>
        <w:spacing w:after="0" w:line="154" w:lineRule="exact"/>
        <w:rPr>
          <w:rFonts w:ascii="Times New Roman" w:cs="Times New Roman" w:eastAsia="Times New Roman" w:hAnsi="Times New Roman"/>
          <w:sz w:val="12"/>
          <w:szCs w:val="12"/>
          <w:color w:val="010000"/>
        </w:rPr>
      </w:pPr>
    </w:p>
    <w:p>
      <w:pPr>
        <w:ind w:firstLine="432"/>
        <w:spacing w:after="0" w:line="290" w:lineRule="auto"/>
        <w:tabs>
          <w:tab w:leader="none" w:pos="1030"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obligation, if any, of the Issuer to redeem or purchase Securities of that series pursuant to any sinking fund or analogous provisions or at the option of a Holder thereof, and the period or periods within which, the price or prices at which and the terms and conditions upon which Securities of that series shall be redeemed or purchased, in whole or in part, pursuant to such obligation;</w:t>
      </w:r>
    </w:p>
    <w:p>
      <w:pPr>
        <w:spacing w:after="0" w:line="105" w:lineRule="exact"/>
        <w:rPr>
          <w:rFonts w:ascii="Times New Roman" w:cs="Times New Roman" w:eastAsia="Times New Roman" w:hAnsi="Times New Roman"/>
          <w:sz w:val="12"/>
          <w:szCs w:val="12"/>
          <w:color w:val="010000"/>
        </w:rPr>
      </w:pPr>
    </w:p>
    <w:p>
      <w:pPr>
        <w:ind w:right="20" w:firstLine="432"/>
        <w:spacing w:after="0" w:line="290" w:lineRule="auto"/>
        <w:tabs>
          <w:tab w:leader="none" w:pos="947"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right, if any, of the Issuer to redeem or purchase Securities of that series and the period or periods within which, the price or prices at which and the terms and conditions upon which Securities of that series shall be redeemed or purchased, in whole or in part, pursuant to such right;</w:t>
      </w: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717677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860"/>
          </w:cols>
          <w:pgMar w:left="740" w:top="657" w:right="299" w:bottom="1440" w:gutter="0" w:footer="0" w:header="0"/>
        </w:sectPr>
      </w:pPr>
    </w:p>
    <w:bookmarkStart w:id="79" w:name="page80"/>
    <w:bookmarkEnd w:id="79"/>
    <w:p>
      <w:pPr>
        <w:ind w:left="1000" w:hanging="568"/>
        <w:spacing w:after="0"/>
        <w:tabs>
          <w:tab w:leader="none" w:pos="1000"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other than denominations of $2,000 and integral multiples of $1,000 in excess thereof, the denominations in which Securities of that series shall be issuable;</w:t>
      </w:r>
    </w:p>
    <w:p>
      <w:pPr>
        <w:spacing w:after="0" w:line="154" w:lineRule="exact"/>
        <w:rPr>
          <w:rFonts w:ascii="Times New Roman" w:cs="Times New Roman" w:eastAsia="Times New Roman" w:hAnsi="Times New Roman"/>
          <w:sz w:val="12"/>
          <w:szCs w:val="12"/>
          <w:color w:val="010000"/>
        </w:rPr>
      </w:pPr>
    </w:p>
    <w:p>
      <w:pPr>
        <w:ind w:left="1080" w:hanging="648"/>
        <w:spacing w:after="0"/>
        <w:tabs>
          <w:tab w:leader="none" w:pos="1080"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other than the principal amount thereof, the portion of the principal amount of Securities of that series which shall be payable upon declaration of acceleration of the Maturity thereof pursuant to</w:t>
      </w:r>
    </w:p>
    <w:p>
      <w:pPr>
        <w:spacing w:after="0" w:line="20"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Section 502;</w:t>
      </w:r>
    </w:p>
    <w:p>
      <w:pPr>
        <w:spacing w:after="0" w:line="142" w:lineRule="exact"/>
        <w:rPr>
          <w:rFonts w:ascii="Times New Roman" w:cs="Times New Roman" w:eastAsia="Times New Roman" w:hAnsi="Times New Roman"/>
          <w:sz w:val="12"/>
          <w:szCs w:val="12"/>
          <w:color w:val="010000"/>
        </w:rPr>
      </w:pPr>
    </w:p>
    <w:p>
      <w:pPr>
        <w:ind w:firstLine="432"/>
        <w:spacing w:after="0" w:line="290" w:lineRule="auto"/>
        <w:tabs>
          <w:tab w:leader="none" w:pos="1008"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other than such coin or currency of the United States of America, the currency or currency unit in which payment of the principal of (or premium, if any, on) or interest, if any, on the Securities of that series shall be payable or in which the Securities of that series shall be denominated and the particular provisions applicable thereto;</w:t>
      </w:r>
    </w:p>
    <w:p>
      <w:pPr>
        <w:spacing w:after="0" w:line="105" w:lineRule="exact"/>
        <w:rPr>
          <w:rFonts w:ascii="Times New Roman" w:cs="Times New Roman" w:eastAsia="Times New Roman" w:hAnsi="Times New Roman"/>
          <w:sz w:val="12"/>
          <w:szCs w:val="12"/>
          <w:color w:val="010000"/>
        </w:rPr>
      </w:pPr>
    </w:p>
    <w:p>
      <w:pPr>
        <w:ind w:right="20" w:firstLine="432"/>
        <w:spacing w:after="0" w:line="290" w:lineRule="auto"/>
        <w:tabs>
          <w:tab w:leader="none" w:pos="1008"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principal of (and premium, if any, on) or interest, if any, on the Securities of that series are to be payable, at the election of the Issuer, the Guarantors or a Holder thereof, in a coin or currency other than that in which the Securities are stated to be payable, the period or periods within which, and the terms and conditions upon which, such election may be made;</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1008"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amount of payments of principal of (and premium, if any, on) or interest, if any, on the Securities of that series may be determined with reference to an index based on a coin or currency other than that in which the Securities are stated to be payable, the manner in which such amounts shall be determined;</w:t>
      </w:r>
    </w:p>
    <w:p>
      <w:pPr>
        <w:spacing w:after="0" w:line="105" w:lineRule="exact"/>
        <w:rPr>
          <w:rFonts w:ascii="Times New Roman" w:cs="Times New Roman" w:eastAsia="Times New Roman" w:hAnsi="Times New Roman"/>
          <w:sz w:val="12"/>
          <w:szCs w:val="12"/>
          <w:color w:val="010000"/>
        </w:rPr>
      </w:pPr>
    </w:p>
    <w:p>
      <w:pPr>
        <w:ind w:right="20" w:firstLine="432"/>
        <w:spacing w:after="0" w:line="290" w:lineRule="auto"/>
        <w:tabs>
          <w:tab w:leader="none" w:pos="1008"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provisions permitted by this Indenture relating to Events of Default or covenants of the Issuer or any Guarantor with respect to such series of Securities (including deletions therefrom, modifications thereof or additions thereto, whether or not consistent with the Events of Default or covenants set forth herein);</w:t>
      </w:r>
    </w:p>
    <w:p>
      <w:pPr>
        <w:spacing w:after="0" w:line="105" w:lineRule="exact"/>
        <w:rPr>
          <w:rFonts w:ascii="Times New Roman" w:cs="Times New Roman" w:eastAsia="Times New Roman" w:hAnsi="Times New Roman"/>
          <w:sz w:val="12"/>
          <w:szCs w:val="12"/>
          <w:color w:val="010000"/>
        </w:rPr>
      </w:pPr>
    </w:p>
    <w:p>
      <w:pPr>
        <w:jc w:val="both"/>
        <w:ind w:firstLine="432"/>
        <w:spacing w:after="0" w:line="272" w:lineRule="auto"/>
        <w:tabs>
          <w:tab w:leader="none" w:pos="1027"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Securities of that series shall be issued in whole or in part in the form of one or more Global Securities and, in such case, the U.S. Depositary for such Global Security or Securities; the manner in which and the circumstances under which Global Securities representing Securities of that series may be exchanged for Securities in definitive form, if other than, or in addition to, the manner and circumstances specified in Section 305;</w:t>
      </w:r>
    </w:p>
    <w:p>
      <w:pPr>
        <w:spacing w:after="0" w:line="116" w:lineRule="exact"/>
        <w:rPr>
          <w:rFonts w:ascii="Times New Roman" w:cs="Times New Roman" w:eastAsia="Times New Roman" w:hAnsi="Times New Roman"/>
          <w:sz w:val="12"/>
          <w:szCs w:val="12"/>
          <w:color w:val="010000"/>
        </w:rPr>
      </w:pPr>
    </w:p>
    <w:p>
      <w:pPr>
        <w:jc w:val="both"/>
        <w:ind w:firstLine="432"/>
        <w:spacing w:after="0" w:line="272" w:lineRule="auto"/>
        <w:tabs>
          <w:tab w:leader="none" w:pos="1036"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whether the Securities of that series will be convertible into common shares of the Issuer and/or exchangeable for other Securities, including ordinary shares of Weatherford Parent, and if so, the terms and conditions upon which such Securities will be so convertible or exchangeable, and any deletions from or modifications or additions to this Indenture to permit or to facilitate the issuance of such convertible or exchangeable Securities or the administration thereof;</w:t>
      </w:r>
    </w:p>
    <w:p>
      <w:pPr>
        <w:spacing w:after="0" w:line="116" w:lineRule="exact"/>
        <w:rPr>
          <w:rFonts w:ascii="Times New Roman" w:cs="Times New Roman" w:eastAsia="Times New Roman" w:hAnsi="Times New Roman"/>
          <w:sz w:val="12"/>
          <w:szCs w:val="12"/>
          <w:color w:val="010000"/>
        </w:rPr>
      </w:pPr>
    </w:p>
    <w:p>
      <w:pPr>
        <w:ind w:left="1000" w:hanging="568"/>
        <w:spacing w:after="0"/>
        <w:tabs>
          <w:tab w:leader="none" w:pos="1000"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applicability of any guarantees other than the Guarantee of Weatherford Parent in the case of Securities issued by Weatherford Bermuda and Weatherford Delaware as set forth herein;</w:t>
      </w:r>
    </w:p>
    <w:p>
      <w:pPr>
        <w:spacing w:after="0" w:line="154" w:lineRule="exact"/>
        <w:rPr>
          <w:rFonts w:ascii="Times New Roman" w:cs="Times New Roman" w:eastAsia="Times New Roman" w:hAnsi="Times New Roman"/>
          <w:sz w:val="12"/>
          <w:szCs w:val="12"/>
          <w:color w:val="010000"/>
        </w:rPr>
      </w:pPr>
    </w:p>
    <w:p>
      <w:pPr>
        <w:ind w:right="20" w:firstLine="432"/>
        <w:spacing w:after="0" w:line="290" w:lineRule="auto"/>
        <w:tabs>
          <w:tab w:leader="none" w:pos="1054"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whether the Securities of that series will be secured by any collateral and, if so, the terms and conditions upon which such Securities shall be secured and, if applicable, upon which such liens may be subordinated to other liens securing other indebtedness of the Issuer or any Guarantor of such Securities;</w:t>
      </w: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717677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860"/>
          </w:cols>
          <w:pgMar w:left="740" w:top="657" w:right="299" w:bottom="1440" w:gutter="0" w:footer="0" w:header="0"/>
        </w:sectPr>
      </w:pPr>
    </w:p>
    <w:bookmarkStart w:id="80" w:name="page81"/>
    <w:bookmarkEnd w:id="80"/>
    <w:p>
      <w:pPr>
        <w:ind w:left="1440" w:hanging="568"/>
        <w:spacing w:after="0"/>
        <w:tabs>
          <w:tab w:leader="none" w:pos="1440" w:val="left"/>
        </w:tabs>
        <w:numPr>
          <w:ilvl w:val="0"/>
          <w:numId w:val="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a Person other than Deutsche Bank Trust Company Americas is to act as Trustee for the Securities of that series, the name and location of the Corporate Trust Office of such Trustee;</w:t>
      </w:r>
    </w:p>
    <w:p>
      <w:pPr>
        <w:spacing w:after="0" w:line="154" w:lineRule="exact"/>
        <w:rPr>
          <w:rFonts w:ascii="Times New Roman" w:cs="Times New Roman" w:eastAsia="Times New Roman" w:hAnsi="Times New Roman"/>
          <w:sz w:val="12"/>
          <w:szCs w:val="12"/>
          <w:color w:val="010000"/>
        </w:rPr>
      </w:pPr>
    </w:p>
    <w:p>
      <w:pPr>
        <w:ind w:left="1440" w:hanging="568"/>
        <w:spacing w:after="0"/>
        <w:tabs>
          <w:tab w:leader="none" w:pos="1440" w:val="left"/>
        </w:tabs>
        <w:numPr>
          <w:ilvl w:val="0"/>
          <w:numId w:val="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of such series of Securities;</w:t>
      </w:r>
    </w:p>
    <w:p>
      <w:pPr>
        <w:spacing w:after="0" w:line="154" w:lineRule="exact"/>
        <w:rPr>
          <w:rFonts w:ascii="Times New Roman" w:cs="Times New Roman" w:eastAsia="Times New Roman" w:hAnsi="Times New Roman"/>
          <w:sz w:val="12"/>
          <w:szCs w:val="12"/>
          <w:color w:val="010000"/>
        </w:rPr>
      </w:pPr>
    </w:p>
    <w:p>
      <w:pPr>
        <w:ind w:left="1440" w:hanging="568"/>
        <w:spacing w:after="0"/>
        <w:tabs>
          <w:tab w:leader="none" w:pos="1440" w:val="left"/>
        </w:tabs>
        <w:numPr>
          <w:ilvl w:val="0"/>
          <w:numId w:val="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provisions for the transfer and legending of the Securities of that series; and</w:t>
      </w:r>
    </w:p>
    <w:p>
      <w:pPr>
        <w:spacing w:after="0" w:line="154" w:lineRule="exact"/>
        <w:rPr>
          <w:rFonts w:ascii="Times New Roman" w:cs="Times New Roman" w:eastAsia="Times New Roman" w:hAnsi="Times New Roman"/>
          <w:sz w:val="12"/>
          <w:szCs w:val="12"/>
          <w:color w:val="010000"/>
        </w:rPr>
      </w:pPr>
    </w:p>
    <w:p>
      <w:pPr>
        <w:ind w:left="1440" w:hanging="568"/>
        <w:spacing w:after="0"/>
        <w:tabs>
          <w:tab w:leader="none" w:pos="1440" w:val="left"/>
        </w:tabs>
        <w:numPr>
          <w:ilvl w:val="0"/>
          <w:numId w:val="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other terms of that series (which terms shall not be inconsistent with the provisions of this Indenture).</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All Securities of any particular series shall be substantially identical except as to denomination and except as may otherwise be provided in or pursuant to such Board Resolution of the Issuer or set forth in such Officer’s Certificate or in any such indenture supplemental hereto.</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302.</w:t>
      </w:r>
      <w:r>
        <w:rPr>
          <w:sz w:val="20"/>
          <w:szCs w:val="20"/>
          <w:color w:val="auto"/>
        </w:rPr>
        <w:tab/>
      </w:r>
      <w:r>
        <w:rPr>
          <w:rFonts w:ascii="Times New Roman" w:cs="Times New Roman" w:eastAsia="Times New Roman" w:hAnsi="Times New Roman"/>
          <w:sz w:val="12"/>
          <w:szCs w:val="12"/>
          <w:u w:val="single" w:color="auto"/>
          <w:color w:val="auto"/>
        </w:rPr>
        <w:t>Denominations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The Securities of each series shall be issuable in registered form without coupons in such denominations as shall be specified as contemplated by Section 301. In the absence of any such provisions with respect to the Securities of any series, the Securities of such series shall be issuable in denominations of $2,000 and integral multiples of $1,000 in excess thereof.</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303.</w:t>
      </w:r>
      <w:r>
        <w:rPr>
          <w:sz w:val="20"/>
          <w:szCs w:val="20"/>
          <w:color w:val="auto"/>
        </w:rPr>
        <w:tab/>
      </w:r>
      <w:r>
        <w:rPr>
          <w:rFonts w:ascii="Times New Roman" w:cs="Times New Roman" w:eastAsia="Times New Roman" w:hAnsi="Times New Roman"/>
          <w:sz w:val="12"/>
          <w:szCs w:val="12"/>
          <w:u w:val="single" w:color="auto"/>
          <w:color w:val="auto"/>
        </w:rPr>
        <w:t>Execution, Authentication, Delivery and Dating</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Securities shall be executed, manually, electronically or by facsimile, on behalf of the Issuer by an Officer of the Issuer, and need not be attested.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Each Guarantee endorsed on any of the Securities shall be executed, manually, electronically or by facsimile, on behalf of the applicable Guarantor by an Officer of such Guarantor, and need not be attested.</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Any Security or Guarantee bearing the manual, electronic or facsimile signatures of individuals who were at any time the proper Officers of the Issuer or the applicable Guarantor, as the case may be, shall bind the Issuer or such Guarantor, as the case may be, notwithstanding that such individuals or any of them have ceased to hold such offices prior to the authentication and delivery of such Security or Guarantee or did not hold such offices at the date of such Security or Guarantee.</w:t>
      </w:r>
    </w:p>
    <w:p>
      <w:pPr>
        <w:spacing w:after="0" w:line="117"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At any time and from time to time after the execution and delivery of this Indenture, the Issuer may deliver Securities of any series, together with the Guarantees of the Guarantors endorsed thereon, executed by the Issuer and such Guarantors to the Trustee for the Securities of such series for authentication, together with a Company Order for the authentication and delivery of such Securities, and such Trustee in accordance with the Company Order shall authenticate and deliver such Securities. If the form or terms of the Securities of the series have been established in or pursuant to one or more Board Resolutions of the Issuer, as permitted by Sections 201 and 301, in authenticating such Securities and accepting the additional responsibilities under this Indenture in relation to such Securities, such Trustee shall be entitled to receive, and (subject to Section 601) shall be fully protected in relying upon, an Opinion of Counsel of the Issuer, as the case may be, stating: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1" w:name="page82"/>
    <w:bookmarkEnd w:id="81"/>
    <w:p>
      <w:pPr>
        <w:ind w:left="1400" w:hanging="528"/>
        <w:spacing w:after="0"/>
        <w:tabs>
          <w:tab w:leader="none" w:pos="1400"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form of such Securities has been established by or pursuant to Board Resolution of the Issuer as permitted by Section 201, that such form has been established in conformity with the provisions of</w:t>
      </w:r>
    </w:p>
    <w:p>
      <w:pPr>
        <w:spacing w:after="0" w:line="20" w:lineRule="exact"/>
        <w:rPr>
          <w:rFonts w:ascii="Times New Roman" w:cs="Times New Roman" w:eastAsia="Times New Roman" w:hAnsi="Times New Roman"/>
          <w:sz w:val="12"/>
          <w:szCs w:val="12"/>
          <w:color w:val="010000"/>
        </w:rPr>
      </w:pPr>
    </w:p>
    <w:p>
      <w:pPr>
        <w:ind w:left="440"/>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this Indenture;</w:t>
      </w:r>
    </w:p>
    <w:p>
      <w:pPr>
        <w:spacing w:after="0" w:line="142"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terms of such Securities have been established by or pursuant to Board Resolution of the Issuer, as permitted by Section 301, that such terms have been established in conformity with the provisions</w:t>
      </w:r>
    </w:p>
    <w:p>
      <w:pPr>
        <w:spacing w:after="0" w:line="20" w:lineRule="exact"/>
        <w:rPr>
          <w:rFonts w:ascii="Times New Roman" w:cs="Times New Roman" w:eastAsia="Times New Roman" w:hAnsi="Times New Roman"/>
          <w:sz w:val="12"/>
          <w:szCs w:val="12"/>
          <w:color w:val="010000"/>
        </w:rPr>
      </w:pPr>
    </w:p>
    <w:p>
      <w:pPr>
        <w:ind w:left="440"/>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of this Indenture;</w:t>
      </w:r>
    </w:p>
    <w:p>
      <w:pPr>
        <w:spacing w:after="0" w:line="142" w:lineRule="exact"/>
        <w:rPr>
          <w:rFonts w:ascii="Times New Roman" w:cs="Times New Roman" w:eastAsia="Times New Roman" w:hAnsi="Times New Roman"/>
          <w:sz w:val="12"/>
          <w:szCs w:val="12"/>
          <w:color w:val="010000"/>
        </w:rPr>
      </w:pPr>
    </w:p>
    <w:p>
      <w:pPr>
        <w:jc w:val="both"/>
        <w:ind w:left="440" w:firstLine="432"/>
        <w:spacing w:after="0" w:line="272" w:lineRule="auto"/>
        <w:tabs>
          <w:tab w:leader="none" w:pos="1380"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that such Securities and the Guarantees endorsed thereon, when authenticated and delivered by such Trustee and issued by the Issuer and such Guarantors, as the case may be, in the manner and subject to any conditions specified in such Opinion of Counsel, will constitute valid and legally binding obligations of the Issuer and such Guarantors, as the case may be, respectively, enforceable in accordance with their terms, subject to bankruptcy, insolvency, reorganization and other laws of general applicability relating to or affecting the enforcement of creditors’ rights and to general equity principles; and</w:t>
      </w:r>
    </w:p>
    <w:p>
      <w:pPr>
        <w:spacing w:after="0" w:line="116"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that all laws and requirements in respect of the execution and delivery by the Issuer of such Securities and by such Guarantors of their respective Guarantees have been complied with.</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such form or terms have been so established, the Trustee for the Securities of such series shall not be required to authenticate such Securities if such Trustee, being advised by counsel, determines that the issue of such Securities pursuant to this Indenture will affect such Trustee’s own rights, duties or immunities under the Securities and this Indenture or otherwise in a manner which is not reasonably acceptable to such Trustee.</w:t>
      </w:r>
    </w:p>
    <w:p>
      <w:pPr>
        <w:spacing w:after="0" w:line="106"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 xml:space="preserve">Notwithstanding the foregoing, if not all the Securities of any series are to be issued at one time, it shall not be necessary to deliver the Officer’s Certificate otherwise required pursuant to the foregoing or the Company Order and Opinion of Counsel otherwise required pursuant to the foregoing prior to or at the time of issuance of each Security, but such documents shall be delivered prior to or at the time of issuance of the first Security of such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Trustee shall receive an Officer’s Certificate and an Opinion of Counsel covering the provisions set forth in Section 102 of the Indenture.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Each Security shall be dated the date of its authentication.</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No Security or Guarantee endorsed thereon shall be entitled to any benefit under this Indenture or be valid or obligatory for any purpose unless there appears on such Security a certificate of authentication substantially in the form provided for herein executed by the Trustee for the Securities of such series by manual or electronic signature, and such certificate upon any Security shall be conclusive evidence, and the only evidence, that such Security has been duly authenticated and delivered hereunder and, together with Guarantees, if any, endorsed thereon, is entitled to the benefits of this Indenture.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2" w:name="page83"/>
    <w:bookmarkEnd w:id="82"/>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304.</w:t>
      </w:r>
      <w:r>
        <w:rPr>
          <w:sz w:val="20"/>
          <w:szCs w:val="20"/>
          <w:color w:val="auto"/>
        </w:rPr>
        <w:tab/>
      </w:r>
      <w:r>
        <w:rPr>
          <w:rFonts w:ascii="Times New Roman" w:cs="Times New Roman" w:eastAsia="Times New Roman" w:hAnsi="Times New Roman"/>
          <w:sz w:val="11"/>
          <w:szCs w:val="11"/>
          <w:u w:val="single" w:color="auto"/>
          <w:color w:val="auto"/>
        </w:rPr>
        <w:t>Temporary Securities</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Pending the preparation of definitive Securities of any particular series, the Issuer may execute, and upon delivery of the Company Order the Trustee for the Securities of such series shall authenticate and deliver temporary Securities which are printed, lithographed, typewritten, mimeographed or otherwise produced, in any authorized denomination, substantially of the tenor of the definitive Securities in lieu of which they are issued and having endorsed thereon Guarantees executed by the Guarantors of the tenor of the definitive Guarantees, and with such appropriate insertions, omissions, substitutions and other variations as the officer executing such Securities may determine, as evidenced by his or her execution of such Securities.</w:t>
      </w:r>
    </w:p>
    <w:p>
      <w:pPr>
        <w:spacing w:after="0" w:line="120"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If temporary Securities of any series are issued, the Issuer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Issuer in a Place of Payment for that series, without charge to the Holder. Upon surrender for cancellation of any one or more temporary Securities of any series the Issuer shall execute and the Trustee for the Securities of such series shall authenticate and deliver in exchange therefor a like principal amount of definitive Securities of the same series of authorized denominations and having endorsed thereon the Guarantees by the Guarantors. Until so exchanged the temporary Securities of any series shall in all respects be entitled to the same benefits under this Indenture as definitive Securities of such series.</w:t>
      </w:r>
    </w:p>
    <w:p>
      <w:pPr>
        <w:spacing w:after="0" w:line="122"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305.</w:t>
      </w:r>
      <w:r>
        <w:rPr>
          <w:sz w:val="20"/>
          <w:szCs w:val="20"/>
          <w:color w:val="auto"/>
        </w:rPr>
        <w:tab/>
      </w:r>
      <w:r>
        <w:rPr>
          <w:rFonts w:ascii="Times New Roman" w:cs="Times New Roman" w:eastAsia="Times New Roman" w:hAnsi="Times New Roman"/>
          <w:sz w:val="12"/>
          <w:szCs w:val="12"/>
          <w:u w:val="single" w:color="auto"/>
          <w:color w:val="auto"/>
        </w:rPr>
        <w:t>Registration, Registration of Transfer and Exchange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The Issuer shall cause to be kept at the Corporate Trust Office of the Trustee for the Securities of each series a register (the register maintained at such office and in any other office or agency of the Issuer in a Place of Payment being herein sometimes collectively referred to as the “</w:t>
      </w:r>
      <w:r>
        <w:rPr>
          <w:rFonts w:ascii="Times New Roman" w:cs="Times New Roman" w:eastAsia="Times New Roman" w:hAnsi="Times New Roman"/>
          <w:sz w:val="12"/>
          <w:szCs w:val="12"/>
          <w:u w:val="single" w:color="auto"/>
          <w:color w:val="auto"/>
        </w:rPr>
        <w:t>Security Register</w:t>
      </w:r>
      <w:r>
        <w:rPr>
          <w:rFonts w:ascii="Times New Roman" w:cs="Times New Roman" w:eastAsia="Times New Roman" w:hAnsi="Times New Roman"/>
          <w:sz w:val="12"/>
          <w:szCs w:val="12"/>
          <w:color w:val="auto"/>
        </w:rPr>
        <w:t>”) in which, subject to such reasonable regulations as it may prescribe, the Issuer shall provide for the registration of Securities and of transfers of Securities. The Trustee for the Securities of each series is hereby appointed “</w:t>
      </w:r>
      <w:r>
        <w:rPr>
          <w:rFonts w:ascii="Times New Roman" w:cs="Times New Roman" w:eastAsia="Times New Roman" w:hAnsi="Times New Roman"/>
          <w:sz w:val="12"/>
          <w:szCs w:val="12"/>
          <w:u w:val="single" w:color="auto"/>
          <w:color w:val="auto"/>
        </w:rPr>
        <w:t>Security Registrar</w:t>
      </w:r>
      <w:r>
        <w:rPr>
          <w:rFonts w:ascii="Times New Roman" w:cs="Times New Roman" w:eastAsia="Times New Roman" w:hAnsi="Times New Roman"/>
          <w:sz w:val="12"/>
          <w:szCs w:val="12"/>
          <w:color w:val="auto"/>
        </w:rPr>
        <w:t>” for the purpose of registering Securities and transfers of Securities as herein provided.</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Upon surrender for registration of transfer of any Security of any series at the office or agency in a Place of Payment for that series, the Issuer shall execute, and the Trustee for the Securities of each series shall authenticate and deliver, in the name of the designated transferee or transferees, one or more new Securities of the same series, of any authorized denominations and of a like aggregate principal amount, and having endorsed thereon the Guarantees executed by the Guarantors.</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At the option of the Holder, Securities of any series may be exchanged for other Securities of the same series, of any authorized denominations and of a like aggregate principal amount, upon surrender of the Securities to be exchanged at such office or agency. Whenever any Securities are so surrendered for exchange, the Issuer shall execute, and the Trustee for the Securities of such series shall authenticate and deliver, the Securities which the Holder making the exchange is entitled to receive, and having endorsed thereon the Guarantees executed by the Guarantors.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3" w:name="page84"/>
    <w:bookmarkEnd w:id="83"/>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All Securities and the Guarantees endorsed thereon issued upon any registration of transfer or exchange of Securities and such Guarantees endorsed thereon, shall be the valid obligations of the Issuer and the Guarantors, respectively evidencing the same debt, and entitled to the same benefits under this Indenture, as the Securities and such Guarantees endorsed thereon surrendered upon such registration of transfer or exchange.</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Every Security presented or surrendered for registration of transfer or for exchange shall (if so required by the Issuer or the Trustee for the Securities of such series) be duly endorsed, or be accompanied by a written instrument of transfer in form satisfactory to the Issuer and the Security Registrar duly executed, by the Holder thereof or his or her attorney duly authorized in writing.</w:t>
      </w:r>
    </w:p>
    <w:p>
      <w:pPr>
        <w:spacing w:after="0" w:line="106"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No service charge shall be made for any registration of transfer or exchange of Securities, but the Issuer may require payment of a sum sufficient to cover any tax or other governmental charge that may be imposed in connection with any registration of transfer or exchange of Securities, other than exchanges pursuant to Sections 304, 906 or 1107 not involving any transfer.</w:t>
      </w:r>
    </w:p>
    <w:p>
      <w:pPr>
        <w:spacing w:after="0" w:line="106"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The Issuer shall not be required (i) to issue, register the transfer of or exchange Securities of any series during a period beginning at 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17"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2"/>
          <w:szCs w:val="12"/>
          <w:color w:val="auto"/>
        </w:rPr>
        <w:t>If the Issuer shall establish pursuant to Section 301 that the Securities of a series are to be issued in whole or in part in the form of one or more Global Securities, then the Issuer shall execute (along with the Guarantees executed by the Guarantors endorsed thereon) and the Trustee for the Securities of such series shall, in accordance with Section 303 and the Company Order with respect to such series, authenticate and deliver one or more Global Securities in temporary or permanent form that (i) shall represent and shall be denominated in an amount equal to the aggregate principal amount of the Outstanding Securities of such series to be represented by one or more Global Securities, (ii) shall be registered in the name of the U.S. Depositary for such Global Security or Securities or the nominee of such depositary, and (iii) shall bear a legend substantially to the following effect: “This Security (and the related Guarantees)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Security is exchanged in whole or in part for Securities in definitive form” and such other legend as may be required by the U.S. Depositary.</w:t>
      </w:r>
    </w:p>
    <w:p>
      <w:pPr>
        <w:spacing w:after="0" w:line="12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Notwithstanding any other provision of this Section, unless and until it is exchanged in whole or in part for Securities in definitive form, a Global Security (and the related Guarantees) representing all or a portion of the Securities of a series may not be transferred except as a whole by the U.S. Depositary for such series to a nominee of such depositary or by a nominee of such depositary to such depositary or another nominee of such depositary or by such depositary or any such nominee to a successor U.S. Depositary for such series or a nominee of such successor depositary.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4" w:name="page85"/>
    <w:bookmarkEnd w:id="84"/>
    <w:p>
      <w:pPr>
        <w:jc w:val="both"/>
        <w:ind w:firstLine="439"/>
        <w:spacing w:after="0" w:line="262" w:lineRule="auto"/>
        <w:rPr>
          <w:sz w:val="20"/>
          <w:szCs w:val="20"/>
          <w:color w:val="auto"/>
        </w:rPr>
      </w:pPr>
      <w:r>
        <w:rPr>
          <w:rFonts w:ascii="Times New Roman" w:cs="Times New Roman" w:eastAsia="Times New Roman" w:hAnsi="Times New Roman"/>
          <w:sz w:val="12"/>
          <w:szCs w:val="12"/>
          <w:color w:val="auto"/>
        </w:rPr>
        <w:t>If at any time the U.S. Depositary for the Securities of a series notifies the Issuer that it is unwilling or unable to continue as U.S. Depositary for the Securities of such series or if any time the U.S. Depositary for Securities of a series shall no longer be a clearing agency registered and in good standing under the Exchange Act, or other applicable statute or regulation, the Issuer shall appoint a successor U.S. Depositary with respect to the Securities of such series. If a successor U.S. Depositary for the Securities of such series is not appointed by the Issuer within 90 days after the Issuer receives such notice or becomes aware of such condition, the Issuer will execute, and the Trustee for the Securities of such series, upon receipt of a Company Order for the authentication and delivery of definitive Securities of such series, will authenticate and deliver, Securities of such series in definitive form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272"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The Issuer may at any time and in its sole discretion determine that the Securities of any series issued in the form of one or more Global Securities shall no longer be represented by such Global Security or Securities. In such event, the Issuer will execute, and the Trustee for the Securities of such series, upon receipt of a Company Order for the authentication and delivery of definitive Securities of such series, will authenticate and deliver, Securities of such Series in definitive form and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120"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If the Securities of any series shall have been issued in the form of one or more Global Securities and if an Event of Default with respect to the Securities of such series shall have occurred and be continuing, the Issuer will promptly execute, and the Trustee for the Securities of such series, upon receipt of a Company Order for the authentication and delivery of definitive Securities of such series, will authenticate and deliver Securities of such series in definitive form and in an aggregate principal amount equal to the principal amount of the Global Security or Securities representing such series in exchange for such Global Security or Securities and having endorsed thereon the Guarantees executed by the Guarantors.</w:t>
      </w:r>
    </w:p>
    <w:p>
      <w:pPr>
        <w:spacing w:after="0" w:line="120"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If specified by the Issuer pursuant to Section 301 with respect to Securities of a series, the U.S. Depositary for such series of Securities may surrender a Global Security for such series of Securities in exchange in whole or in part for Securities of such series in definitive form on such terms as are acceptable to the Issuer and such depositary. Thereupon, the Issuer shall execute and the Trustee for the Securities of such series shall authenticate and deliver, without charge:</w:t>
      </w:r>
    </w:p>
    <w:p>
      <w:pPr>
        <w:spacing w:after="0" w:line="117" w:lineRule="exact"/>
        <w:rPr>
          <w:sz w:val="20"/>
          <w:szCs w:val="20"/>
          <w:color w:val="auto"/>
        </w:rPr>
      </w:pPr>
    </w:p>
    <w:p>
      <w:pPr>
        <w:ind w:left="440" w:firstLine="432"/>
        <w:spacing w:after="0" w:line="290" w:lineRule="auto"/>
        <w:tabs>
          <w:tab w:leader="none" w:pos="1415" w:val="left"/>
        </w:tabs>
        <w:numPr>
          <w:ilvl w:val="0"/>
          <w:numId w:val="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each Person specified by the U.S. Depositary a new registered Security or Securities of the same series, of an authorized denomination as requested by such Person in an aggregate principal amount equal to and in exchange for such Person’s beneficial interest in the Global Security and having endorsed thereon the Guarantees executed by the Guarantors;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5" w:name="page86"/>
    <w:bookmarkEnd w:id="85"/>
    <w:p>
      <w:pPr>
        <w:ind w:left="440" w:right="20" w:firstLine="432"/>
        <w:spacing w:after="0" w:line="290" w:lineRule="auto"/>
        <w:tabs>
          <w:tab w:leader="none" w:pos="1449" w:val="left"/>
        </w:tabs>
        <w:numPr>
          <w:ilvl w:val="0"/>
          <w:numId w:val="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the U.S. Depositary a new Global Security in a denomination equal to the difference, if any, between the principal amount of the surrendered Global Security and the aggregate principal amount of Securities delivered to Holders thereof and having endorsed thereon the Guarantees executed by the Guarantors.</w:t>
      </w:r>
    </w:p>
    <w:p>
      <w:pPr>
        <w:spacing w:after="0" w:line="106"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Upon the exchange of a Global Security in whole for Securities in definitive form, such Global Security shall be canceled by the Trustee for the Securities of such series. Securities issued in exchange for a Global Security shall be registered in such names and in such authorized denominations as the U.S. Depositary for such Global Security, pursuant to instructions from its direct or indirect participants or otherwise, shall instruct the Trustee for the Securities of such series. Such Trustee shall deliver such Securities to the Persons in whose names such Securities are so registered.</w:t>
      </w:r>
    </w:p>
    <w:p>
      <w:pPr>
        <w:spacing w:after="0" w:line="117"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transferor of any Security shall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Neither the Trustee nor any Agent shall have any responsibility or liability for any actions taken or not taken by the Depositary.</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306.</w:t>
      </w:r>
      <w:r>
        <w:rPr>
          <w:sz w:val="20"/>
          <w:szCs w:val="20"/>
          <w:color w:val="auto"/>
        </w:rPr>
        <w:tab/>
      </w:r>
      <w:r>
        <w:rPr>
          <w:rFonts w:ascii="Times New Roman" w:cs="Times New Roman" w:eastAsia="Times New Roman" w:hAnsi="Times New Roman"/>
          <w:sz w:val="12"/>
          <w:szCs w:val="12"/>
          <w:u w:val="single" w:color="auto"/>
          <w:color w:val="auto"/>
        </w:rPr>
        <w:t>Mutilated, Destroyed, Lost and Stolen Securities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any mutilated Security is surrendered to the Trustee for the series of such Securities, the Issuer shall execute and such Trustee shall authenticate and deliver in exchange therefor a new Security of the same series and of like tenor and principal amount and bearing a number not contemporaneously outstanding, and having endorsed thereon the Guarantees executed by the Guarantors.</w:t>
      </w:r>
    </w:p>
    <w:p>
      <w:pPr>
        <w:spacing w:after="0" w:line="106"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If there shall be delivered to the Issuer and the Trustee for the series of such Securities (i) evidence to their satisfaction of the destruction, loss or theft of any Security and (ii) such security or indemnity as may be required by them to save each of them and any agent of either of them harmless, then, in the absence of notice to the Issuer or such Trustee that such Security has been acquired by a bona fide purchaser, the Issuer shall execute and upon its request such Trustee shall authenticate and deliver, in lieu of any such destroyed, lost or stolen Security, a new Security of the same series and of like tenor and principal amount and bearing a number not contemporaneously outstanding, and having endorsed thereon the Guarantees executed by the Guarantors.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804" w:right="29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2"/>
          <w:szCs w:val="12"/>
          <w:color w:val="auto"/>
        </w:rPr>
        <w:t>In case any such mutilated, destroyed, lost or stolen Security has become or is about to become due and payable, the Issuer in its discretion may, instead of issuing a new Security, pay such Security.</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Upon the issuance of any new Security under this Section, the Issuer may require the payment of a sum sufficient to cover any tax or other governmental charge that may be imposed in relation thereto and any other expenses (including the fees and expenses of the Trustee for the series of such Securities) connected therewith.</w:t>
      </w:r>
    </w:p>
    <w:p>
      <w:pPr>
        <w:spacing w:after="0" w:line="106"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Every new Security of any series and the Guarantees endorsed thereon, issued pursuant to this Section in lieu of any destroyed, lost or stolen Security shall constitute an original additional contractual obligation of the Issuer and the Guarantors, respectively,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provisions of this Section are exclusive and shall preclude (to the extent lawful) all other rights and remedies with respect to the replacement or payment of mutilated, destroyed, lost or stolen Securities.</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307.</w:t>
      </w:r>
      <w:r>
        <w:rPr>
          <w:sz w:val="20"/>
          <w:szCs w:val="20"/>
          <w:color w:val="auto"/>
        </w:rPr>
        <w:tab/>
      </w:r>
      <w:r>
        <w:rPr>
          <w:rFonts w:ascii="Times New Roman" w:cs="Times New Roman" w:eastAsia="Times New Roman" w:hAnsi="Times New Roman"/>
          <w:sz w:val="12"/>
          <w:szCs w:val="12"/>
          <w:u w:val="single" w:color="auto"/>
          <w:color w:val="auto"/>
        </w:rPr>
        <w:t>Payment of Interest; Interest Rights Preserved</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right="420" w:firstLine="439"/>
        <w:spacing w:after="0" w:line="290" w:lineRule="auto"/>
        <w:rPr>
          <w:sz w:val="20"/>
          <w:szCs w:val="20"/>
          <w:color w:val="auto"/>
        </w:rPr>
      </w:pPr>
      <w:r>
        <w:rPr>
          <w:rFonts w:ascii="Times New Roman" w:cs="Times New Roman" w:eastAsia="Times New Roman" w:hAnsi="Times New Roman"/>
          <w:sz w:val="12"/>
          <w:szCs w:val="12"/>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06" w:lineRule="exact"/>
        <w:rPr>
          <w:sz w:val="20"/>
          <w:szCs w:val="20"/>
          <w:color w:val="auto"/>
        </w:rPr>
      </w:pPr>
    </w:p>
    <w:p>
      <w:pPr>
        <w:ind w:right="20" w:firstLine="439"/>
        <w:spacing w:after="0" w:line="290" w:lineRule="auto"/>
        <w:rPr>
          <w:sz w:val="20"/>
          <w:szCs w:val="20"/>
          <w:color w:val="auto"/>
        </w:rPr>
      </w:pPr>
      <w:r>
        <w:rPr>
          <w:rFonts w:ascii="Times New Roman" w:cs="Times New Roman" w:eastAsia="Times New Roman" w:hAnsi="Times New Roman"/>
          <w:sz w:val="12"/>
          <w:szCs w:val="12"/>
          <w:color w:val="auto"/>
        </w:rPr>
        <w:t>Any interest on any Security of any series which is payable, but is not punctually paid or duly provided for, on any Interest Payment Date (herein called “</w:t>
      </w:r>
      <w:r>
        <w:rPr>
          <w:rFonts w:ascii="Times New Roman" w:cs="Times New Roman" w:eastAsia="Times New Roman" w:hAnsi="Times New Roman"/>
          <w:sz w:val="12"/>
          <w:szCs w:val="12"/>
          <w:u w:val="single" w:color="auto"/>
          <w:color w:val="auto"/>
        </w:rPr>
        <w:t>Defaulted Interest</w:t>
      </w:r>
      <w:r>
        <w:rPr>
          <w:rFonts w:ascii="Times New Roman" w:cs="Times New Roman" w:eastAsia="Times New Roman" w:hAnsi="Times New Roman"/>
          <w:sz w:val="12"/>
          <w:szCs w:val="12"/>
          <w:color w:val="auto"/>
        </w:rPr>
        <w:t>”) shall forthwith cease to be payable to the Holder on the relevant Regular Record Date by virtue of having been such Holder, and such Defaulted Interest may be paid by the Issuer, at its election in each case, as provided in clause (1) or (2) below:</w:t>
      </w:r>
    </w:p>
    <w:p>
      <w:pPr>
        <w:spacing w:after="0" w:line="106" w:lineRule="exact"/>
        <w:rPr>
          <w:sz w:val="20"/>
          <w:szCs w:val="20"/>
          <w:color w:val="auto"/>
        </w:rPr>
      </w:pPr>
    </w:p>
    <w:p>
      <w:pPr>
        <w:jc w:val="both"/>
        <w:ind w:left="440" w:firstLine="432"/>
        <w:spacing w:after="0" w:line="258" w:lineRule="auto"/>
        <w:tabs>
          <w:tab w:leader="none" w:pos="1479" w:val="left"/>
        </w:tabs>
        <w:numPr>
          <w:ilvl w:val="0"/>
          <w:numId w:val="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Issuer shall notify the Trustee for the Securities of such series in writing of the amount of Defaulted Interest proposed to be paid on each Security of such series and the date of the proposed payment, and at the same time the Issuer shall deposit with such Trustee an amount of money equal to the aggregate amount proposed to be paid in respect of such Defaulted Interest or shall make arrangements reasonably satisfactory to such Trustee for such deposit prior to the date of the proposed payment, such money when deposited to be held in trust for the benefit of the persons entitled to such Defaulted Interest as in this clause provided. Thereupon such Trustee shall fix a Special Record Date for the payment of such Defaulted Interest which shall be not more than 15 days and not less than 10 days prior to the date of the proposed payment and not less than 10 days after the receipt by such Trustee of the notice of the proposed payment. Such Trustee shall promptly notify the Issuer of such Special Record Date and, in the name and at the expense of the Issuer, shall cause notice of the proposed payment of such Defaulted Interest and the Special Record Date therefor to be mailed, first-class postage prepaid, to each Holder of Securities of such series at his or her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7" w:name="page88"/>
    <w:bookmarkEnd w:id="87"/>
    <w:p>
      <w:pPr>
        <w:jc w:val="both"/>
        <w:ind w:left="440" w:right="20" w:firstLine="432"/>
        <w:spacing w:after="0" w:line="272" w:lineRule="auto"/>
        <w:tabs>
          <w:tab w:leader="none" w:pos="1488" w:val="left"/>
        </w:tabs>
        <w:numPr>
          <w:ilvl w:val="0"/>
          <w:numId w:val="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Issuer to the Trustee for the Securities of such series of the proposed payment pursuant to this clause, such manner of payment shall be deemed practicable by such Trustee.</w:t>
      </w:r>
    </w:p>
    <w:p>
      <w:pPr>
        <w:spacing w:after="0" w:line="117"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308.</w:t>
      </w:r>
      <w:r>
        <w:rPr>
          <w:sz w:val="20"/>
          <w:szCs w:val="20"/>
          <w:color w:val="auto"/>
        </w:rPr>
        <w:tab/>
      </w:r>
      <w:r>
        <w:rPr>
          <w:rFonts w:ascii="Times New Roman" w:cs="Times New Roman" w:eastAsia="Times New Roman" w:hAnsi="Times New Roman"/>
          <w:sz w:val="12"/>
          <w:szCs w:val="12"/>
          <w:u w:val="single" w:color="auto"/>
          <w:color w:val="auto"/>
        </w:rPr>
        <w:t>Persons Deemed Owners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Prior to due presentment of a Security for registration of transfer, the Issuer, the Guarantors, the Trustee for such Security and any agent of the Issuer, such Guarantors or such Trustee may treat the person in whose name such Security is registered as the owner of such Security for the purpose of receiving payment of principal of (and premium, if any, on) and (subject to Section 307) interest, if any, on such Security and for all other purposes whatsoever, whether or not such Security be overdue, and none of the Issuer, such Guarantors, such Trustee or any agent of the Issuer, such Guarantors or such Trustee shall be affected by notice to the contrary.</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Notwithstanding the foregoing, with respect to any Global Security, nothing herein shall prevent the Issuer, the Guarantors, the Trustee for such Security, or any agent of any of the foregoing,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309.</w:t>
      </w:r>
      <w:r>
        <w:rPr>
          <w:sz w:val="20"/>
          <w:szCs w:val="20"/>
          <w:color w:val="auto"/>
        </w:rPr>
        <w:tab/>
      </w:r>
      <w:r>
        <w:rPr>
          <w:rFonts w:ascii="Times New Roman" w:cs="Times New Roman" w:eastAsia="Times New Roman" w:hAnsi="Times New Roman"/>
          <w:sz w:val="12"/>
          <w:szCs w:val="12"/>
          <w:u w:val="single" w:color="auto"/>
          <w:color w:val="auto"/>
        </w:rPr>
        <w:t>Cancellation</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All Securities surrendered for payment, redemption, registration of transfer or exchange or for credit against any sinking fund payment shall, if surrendered to any person other than the Trustee for such Securities, be delivered to such Trustee and shall be promptly cancelled by it. The Issuer or the Guarantors may at any time deliver to such Trustee for cancellation any Securities previously authenticated and delivered hereunder which the Issuer or such Guarantors may have acquired in any manner whatsoever, and all Securities so delivered shall be promptly cancelled by such Trustee. No Securities shall be authenticated in lieu of or in exchange for any Securities cancelled as provided in this Section, except as expressly permitted by this Indenture. All cancelled Securities held by such Trustee shall be disposed of in accordance with such Trustee’s customary practices.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8" w:name="page89"/>
    <w:bookmarkEnd w:id="88"/>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310.</w:t>
      </w:r>
      <w:r>
        <w:rPr>
          <w:sz w:val="20"/>
          <w:szCs w:val="20"/>
          <w:color w:val="auto"/>
        </w:rPr>
        <w:tab/>
      </w:r>
      <w:r>
        <w:rPr>
          <w:rFonts w:ascii="Times New Roman" w:cs="Times New Roman" w:eastAsia="Times New Roman" w:hAnsi="Times New Roman"/>
          <w:sz w:val="12"/>
          <w:szCs w:val="12"/>
          <w:u w:val="single" w:color="auto"/>
          <w:color w:val="auto"/>
        </w:rPr>
        <w:t>Computation of Interest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Except as otherwise specified as contemplated by Section 301 for Securities of any particular series, interest, if any, on the Securities of each series shall be computed on the basis of a year of twelve 30-day months.</w:t>
      </w:r>
    </w:p>
    <w:p>
      <w:pPr>
        <w:spacing w:after="0" w:line="155"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311.</w:t>
      </w:r>
      <w:r>
        <w:rPr>
          <w:sz w:val="20"/>
          <w:szCs w:val="20"/>
          <w:color w:val="auto"/>
        </w:rPr>
        <w:tab/>
      </w:r>
      <w:r>
        <w:rPr>
          <w:rFonts w:ascii="Times New Roman" w:cs="Times New Roman" w:eastAsia="Times New Roman" w:hAnsi="Times New Roman"/>
          <w:sz w:val="12"/>
          <w:szCs w:val="12"/>
          <w:u w:val="single" w:color="auto"/>
          <w:color w:val="auto"/>
        </w:rPr>
        <w:t>CUSIP Numbers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 xml:space="preserve">The Issuer in issuing the Securities may use “CUSIP” numbers (if then generally in use), and, if so, the Trustee for such Securities shall use “CUSIP” numbers in notices of redemption as a convenience to Holders of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FOUR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SATISFACTION AND DISCHARGE</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401.</w:t>
      </w:r>
      <w:r>
        <w:rPr>
          <w:sz w:val="20"/>
          <w:szCs w:val="20"/>
          <w:color w:val="auto"/>
        </w:rPr>
        <w:tab/>
      </w:r>
      <w:r>
        <w:rPr>
          <w:rFonts w:ascii="Times New Roman" w:cs="Times New Roman" w:eastAsia="Times New Roman" w:hAnsi="Times New Roman"/>
          <w:sz w:val="12"/>
          <w:szCs w:val="12"/>
          <w:u w:val="single" w:color="auto"/>
          <w:color w:val="auto"/>
        </w:rPr>
        <w:t>Satisfaction and Discharge of Indenture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This Indenture shall upon Company Request cease to be of further effect with respect to any series of Securities specified therein (except as to any surviving rights of registration of transfer or exchange of Securities herein expressly provided for), and the Trustee for the Securities of such series, at the expense of the Issuer, shall execute proper instruments acknowledging satisfaction and discharge of this Indenture, when:</w:t>
      </w:r>
    </w:p>
    <w:p>
      <w:pPr>
        <w:spacing w:after="0" w:line="106" w:lineRule="exact"/>
        <w:rPr>
          <w:sz w:val="20"/>
          <w:szCs w:val="20"/>
          <w:color w:val="auto"/>
        </w:rPr>
      </w:pPr>
    </w:p>
    <w:p>
      <w:pPr>
        <w:ind w:left="1380" w:hanging="508"/>
        <w:spacing w:after="0"/>
        <w:tabs>
          <w:tab w:leader="none" w:pos="1380" w:val="left"/>
        </w:tabs>
        <w:numPr>
          <w:ilvl w:val="0"/>
          <w:numId w:val="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either:</w:t>
      </w:r>
    </w:p>
    <w:p>
      <w:pPr>
        <w:spacing w:after="0" w:line="154" w:lineRule="exact"/>
        <w:rPr>
          <w:rFonts w:ascii="Times New Roman" w:cs="Times New Roman" w:eastAsia="Times New Roman" w:hAnsi="Times New Roman"/>
          <w:sz w:val="12"/>
          <w:szCs w:val="12"/>
          <w:color w:val="010000"/>
        </w:rPr>
      </w:pPr>
    </w:p>
    <w:p>
      <w:pPr>
        <w:jc w:val="both"/>
        <w:ind w:left="880" w:firstLine="431"/>
        <w:spacing w:after="0" w:line="272" w:lineRule="auto"/>
        <w:tabs>
          <w:tab w:leader="none" w:pos="1946" w:val="left"/>
        </w:tabs>
        <w:numPr>
          <w:ilvl w:val="1"/>
          <w:numId w:val="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Securities of such series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Issuer and thereafter repaid to the Issuer, or discharged from such trust, as provided in Section 1003) have been delivered to the Trustee for the Securities of such series for cancellation; or</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89" w:name="page90"/>
    <w:bookmarkEnd w:id="89"/>
    <w:p>
      <w:pPr>
        <w:ind w:left="1840" w:hanging="529"/>
        <w:spacing w:after="0"/>
        <w:tabs>
          <w:tab w:leader="none" w:pos="1840" w:val="left"/>
        </w:tabs>
        <w:numPr>
          <w:ilvl w:val="0"/>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such Securities not theretofore delivered to the Trustee for the Securities of such series for cancellation:</w:t>
      </w:r>
    </w:p>
    <w:p>
      <w:pPr>
        <w:spacing w:after="0" w:line="154" w:lineRule="exact"/>
        <w:rPr>
          <w:rFonts w:ascii="Times New Roman" w:cs="Times New Roman" w:eastAsia="Times New Roman" w:hAnsi="Times New Roman"/>
          <w:sz w:val="12"/>
          <w:szCs w:val="12"/>
          <w:color w:val="010000"/>
        </w:rPr>
      </w:pPr>
    </w:p>
    <w:p>
      <w:pPr>
        <w:ind w:left="2240" w:hanging="490"/>
        <w:spacing w:after="0"/>
        <w:tabs>
          <w:tab w:leader="none" w:pos="2240" w:val="left"/>
        </w:tabs>
        <w:numPr>
          <w:ilvl w:val="1"/>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have become due and payable; or</w:t>
      </w:r>
    </w:p>
    <w:p>
      <w:pPr>
        <w:spacing w:after="0" w:line="154" w:lineRule="exact"/>
        <w:rPr>
          <w:rFonts w:ascii="Times New Roman" w:cs="Times New Roman" w:eastAsia="Times New Roman" w:hAnsi="Times New Roman"/>
          <w:sz w:val="12"/>
          <w:szCs w:val="12"/>
          <w:color w:val="010000"/>
        </w:rPr>
      </w:pPr>
    </w:p>
    <w:p>
      <w:pPr>
        <w:ind w:left="2260" w:hanging="510"/>
        <w:spacing w:after="0"/>
        <w:tabs>
          <w:tab w:leader="none" w:pos="2260" w:val="left"/>
        </w:tabs>
        <w:numPr>
          <w:ilvl w:val="1"/>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will become due and payable at their Stated Maturity within one year; or</w:t>
      </w:r>
    </w:p>
    <w:p>
      <w:pPr>
        <w:spacing w:after="0" w:line="154" w:lineRule="exact"/>
        <w:rPr>
          <w:rFonts w:ascii="Times New Roman" w:cs="Times New Roman" w:eastAsia="Times New Roman" w:hAnsi="Times New Roman"/>
          <w:sz w:val="12"/>
          <w:szCs w:val="12"/>
          <w:color w:val="010000"/>
        </w:rPr>
      </w:pPr>
    </w:p>
    <w:p>
      <w:pPr>
        <w:ind w:left="1320" w:right="20" w:firstLine="430"/>
        <w:spacing w:after="0" w:line="290" w:lineRule="auto"/>
        <w:tabs>
          <w:tab w:leader="none" w:pos="2354" w:val="left"/>
        </w:tabs>
        <w:numPr>
          <w:ilvl w:val="1"/>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are to be called for redemption within one year under arrangements reasonably satisfactory to such Trustee for the giving of notice of redemption by such Trustee in the name, and at the expense, of the Issuer; or</w:t>
      </w:r>
    </w:p>
    <w:p>
      <w:pPr>
        <w:spacing w:after="0" w:line="105" w:lineRule="exact"/>
        <w:rPr>
          <w:rFonts w:ascii="Times New Roman" w:cs="Times New Roman" w:eastAsia="Times New Roman" w:hAnsi="Times New Roman"/>
          <w:sz w:val="12"/>
          <w:szCs w:val="12"/>
          <w:color w:val="010000"/>
        </w:rPr>
      </w:pPr>
    </w:p>
    <w:p>
      <w:pPr>
        <w:ind w:left="2300" w:hanging="550"/>
        <w:spacing w:after="0"/>
        <w:tabs>
          <w:tab w:leader="none" w:pos="2300" w:val="left"/>
        </w:tabs>
        <w:numPr>
          <w:ilvl w:val="1"/>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are deemed paid and discharged pursuant to Section 403, as applicable,</w:t>
      </w:r>
    </w:p>
    <w:p>
      <w:pPr>
        <w:spacing w:after="0" w:line="155"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2"/>
          <w:szCs w:val="12"/>
          <w:color w:val="auto"/>
        </w:rPr>
        <w:t>and the Issuer, in the case of (i), (ii) or (iii) above, has deposited or caused to be deposited with the Trustee for the Securities of such series as trust funds in trust for the purpose an amount of (a) money, or (b) in the case of (ii) or (iii) above and (except as provided in an indenture supplemental hereto) if no Securities of any series Outstanding are subject to repurchase at the option of Holders, (I) U.S.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U.S. Government Obligations as provided in (I) above, in each case sufficient (if U.S. Government Obligations, as certified in the opinion of a nationally recognized firm of independent certified public accountants) to pay and discharge the entire indebtedness on such Securities not theretofore delivered to such Trustee for cancellation, for principal (and premium, if any) and interest, if any, to the date of such deposit (in the case of Securities which have become due and payable) or to the Stated Maturity or Redemption Date, as the case may be;</w:t>
      </w:r>
    </w:p>
    <w:p>
      <w:pPr>
        <w:spacing w:after="0" w:line="125" w:lineRule="exact"/>
        <w:rPr>
          <w:sz w:val="20"/>
          <w:szCs w:val="20"/>
          <w:color w:val="auto"/>
        </w:rPr>
      </w:pPr>
    </w:p>
    <w:p>
      <w:pPr>
        <w:ind w:left="1380" w:hanging="508"/>
        <w:spacing w:after="0"/>
        <w:tabs>
          <w:tab w:leader="none" w:pos="1380" w:val="left"/>
        </w:tabs>
        <w:numPr>
          <w:ilvl w:val="0"/>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paid or caused to be paid all other sums payable hereunder by the Issuer; and</w:t>
      </w:r>
    </w:p>
    <w:p>
      <w:pPr>
        <w:spacing w:after="0" w:line="154"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61" w:val="left"/>
        </w:tabs>
        <w:numPr>
          <w:ilvl w:val="0"/>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delivered to the Trustee for the Securities of such series an Officer’s Certificate and an Opinion of Counsel, each stating that all conditions precedent herein provided for relating to the satisfaction and discharge of this Indenture have been complied with.</w:t>
      </w:r>
    </w:p>
    <w:p>
      <w:pPr>
        <w:spacing w:after="0" w:line="106" w:lineRule="exact"/>
        <w:rPr>
          <w:sz w:val="20"/>
          <w:szCs w:val="20"/>
          <w:color w:val="auto"/>
        </w:rPr>
      </w:pPr>
    </w:p>
    <w:p>
      <w:pPr>
        <w:jc w:val="both"/>
        <w:ind w:firstLine="439"/>
        <w:spacing w:after="0" w:line="269" w:lineRule="auto"/>
        <w:rPr>
          <w:sz w:val="20"/>
          <w:szCs w:val="20"/>
          <w:color w:val="auto"/>
        </w:rPr>
      </w:pPr>
      <w:r>
        <w:rPr>
          <w:rFonts w:ascii="Times New Roman" w:cs="Times New Roman" w:eastAsia="Times New Roman" w:hAnsi="Times New Roman"/>
          <w:sz w:val="12"/>
          <w:szCs w:val="12"/>
          <w:color w:val="auto"/>
        </w:rPr>
        <w:t>Notwithstanding the satisfaction and discharge of this Indenture, the obligations of the Issuer to the Trustee of the Securities of each series under Section 607, the obligations of the Issuer to any Authenticating Agent under Section 614 and, if money or U.S. Government Obligations shall have been deposited with the Trustee of the Securities of any series pursuant to subclause (B) of clause (1) of this Section or if money or U.S. Government Obligations shall have been deposited with or received by the Trustee of the Securities of any series pursuant to Section 403, the rights and obligations of such Trustee under Section 402 and the last paragraph of Section 1003 shall survive.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0" w:name="page91"/>
    <w:bookmarkEnd w:id="90"/>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402.</w:t>
      </w:r>
      <w:r>
        <w:rPr>
          <w:sz w:val="20"/>
          <w:szCs w:val="20"/>
          <w:color w:val="auto"/>
        </w:rPr>
        <w:tab/>
      </w:r>
      <w:r>
        <w:rPr>
          <w:rFonts w:ascii="Times New Roman" w:cs="Times New Roman" w:eastAsia="Times New Roman" w:hAnsi="Times New Roman"/>
          <w:sz w:val="12"/>
          <w:szCs w:val="12"/>
          <w:u w:val="single" w:color="auto"/>
          <w:color w:val="auto"/>
        </w:rPr>
        <w:t>Application of Trust Money</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63" w:lineRule="auto"/>
        <w:tabs>
          <w:tab w:leader="none" w:pos="968" w:val="left"/>
        </w:tabs>
        <w:numPr>
          <w:ilvl w:val="0"/>
          <w:numId w:val="5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Subject to the provisions of the last paragraph of Section 1003, all money or U.S. Government Obligations deposited with the Trustee of a particular series of Securities pursuant to Section 401, 403 or 1006 and all money received by the Trustee of a particular series of Securities in respect of U.S. Government Obligations deposited with the Trustee of that series of Securities pursuant to Section 401, 403 or 1006, shall be held in trust and applied by it, in accordance with the provisions of the Securities and this Indenture, to the payment, either directly or through any Paying Agent (including the Issuer acting as its own Paying Agent) as such Trustee may determine, to the persons entitled thereto, of the principal (and premium, if any) and interest, if any, for whose payment such money has been deposited with or received by such Trustee or to make mandatory sinking fund payments or analogous payments as contemplated by Section 401, 403 or 1006.</w:t>
      </w:r>
    </w:p>
    <w:p>
      <w:pPr>
        <w:spacing w:after="0" w:line="122" w:lineRule="exact"/>
        <w:rPr>
          <w:rFonts w:ascii="Times New Roman" w:cs="Times New Roman" w:eastAsia="Times New Roman" w:hAnsi="Times New Roman"/>
          <w:sz w:val="12"/>
          <w:szCs w:val="12"/>
          <w:color w:val="010000"/>
        </w:rPr>
      </w:pPr>
    </w:p>
    <w:p>
      <w:pPr>
        <w:ind w:firstLine="432"/>
        <w:spacing w:after="0" w:line="290" w:lineRule="auto"/>
        <w:tabs>
          <w:tab w:leader="none" w:pos="1103" w:val="left"/>
        </w:tabs>
        <w:numPr>
          <w:ilvl w:val="0"/>
          <w:numId w:val="5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shall pay and shall indemnify the Trustee of each series of Securities against any tax, fee, or other charge imposed on or assessed against U.S. Government Obligations deposited pursuant to Section 401, 403 or 1006 or the interest and principal received in respect of such obligations other than any payable by or on behalf of Holders.</w:t>
      </w:r>
    </w:p>
    <w:p>
      <w:pPr>
        <w:spacing w:after="0" w:line="105" w:lineRule="exact"/>
        <w:rPr>
          <w:rFonts w:ascii="Times New Roman" w:cs="Times New Roman" w:eastAsia="Times New Roman" w:hAnsi="Times New Roman"/>
          <w:sz w:val="12"/>
          <w:szCs w:val="12"/>
          <w:color w:val="010000"/>
        </w:rPr>
      </w:pPr>
    </w:p>
    <w:p>
      <w:pPr>
        <w:jc w:val="both"/>
        <w:ind w:firstLine="432"/>
        <w:spacing w:after="0" w:line="266" w:lineRule="auto"/>
        <w:tabs>
          <w:tab w:leader="none" w:pos="959" w:val="left"/>
        </w:tabs>
        <w:numPr>
          <w:ilvl w:val="0"/>
          <w:numId w:val="5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of each series of Securities shall deliver or pay to the Issuer from time to time upon Company Request any U.S. Government Obligations or money held by it as provided in Section 401, 403 or 1006 which, in the opinion of a nationally recognized firm of independent certified public accountants expressed in a written certification thereof delivered to such Trustee, are then in excess of the amount thereof which then would have been required to be deposited for the purpose for which such U.S. Government Obligations or money was deposited or received. This provision shall not authorize the sale by such Trustee of any U.S. Government Obligations held under this Indenture.</w:t>
      </w:r>
    </w:p>
    <w:p>
      <w:pPr>
        <w:spacing w:after="0" w:line="120"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403.</w:t>
      </w:r>
      <w:r>
        <w:rPr>
          <w:sz w:val="20"/>
          <w:szCs w:val="20"/>
          <w:color w:val="auto"/>
        </w:rPr>
        <w:tab/>
      </w:r>
      <w:r>
        <w:rPr>
          <w:rFonts w:ascii="Times New Roman" w:cs="Times New Roman" w:eastAsia="Times New Roman" w:hAnsi="Times New Roman"/>
          <w:sz w:val="12"/>
          <w:szCs w:val="12"/>
          <w:u w:val="single" w:color="auto"/>
          <w:color w:val="auto"/>
        </w:rPr>
        <w:t>Satisfaction, Discharge and Defeasance of Securities of any Series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The Issuer and the Guarantors shall be deemed to have paid and discharged the entire indebtedness on all the Outstanding Securities of any series and the Guarantees, respectively, on the 91st day after the date of the deposit referred to in subparagraph (a) to the proviso hereof, and the provisions of this Indenture, as it relates to such Outstanding Securities of such series and the Guarantees, respectively, shall no longer be in effect (and the Trustee for the Securities of such series, at the expense of the Issuer or the Guarantors, shall at Company Request execute proper instruments acknowledging the same), except as to:</w:t>
      </w:r>
    </w:p>
    <w:p>
      <w:pPr>
        <w:spacing w:after="0" w:line="117" w:lineRule="exact"/>
        <w:rPr>
          <w:sz w:val="20"/>
          <w:szCs w:val="20"/>
          <w:color w:val="auto"/>
        </w:rPr>
      </w:pPr>
    </w:p>
    <w:p>
      <w:pPr>
        <w:jc w:val="both"/>
        <w:ind w:left="440" w:firstLine="432"/>
        <w:spacing w:after="0" w:line="266" w:lineRule="auto"/>
        <w:tabs>
          <w:tab w:leader="none" w:pos="1442" w:val="left"/>
        </w:tabs>
        <w:numPr>
          <w:ilvl w:val="0"/>
          <w:numId w:val="5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rights of Holders of Securities of such series to receive, from the trust funds described in subparagraph (a) to the proviso hereof, (i) payment of the principal of (and premium, if any, on) and each installment of principal of (and premium, if any, on) or interest, if any, on the Outstanding Securities of such series on the Stated Maturity of such principal or installment of principal or interest or to, but excluding, the Redemption Date irrevocably designated by the Issuer pursuant to subparagraph (e) to the proviso hereof and (ii) the benefit of any mandatory sinking fund payments applicable to the Securities of such series on the day on which such payments are due and payable in accordance with the terms of this Indenture and the Securities of such series;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1" w:name="page92"/>
    <w:bookmarkEnd w:id="91"/>
    <w:p>
      <w:pPr>
        <w:ind w:left="1400" w:hanging="528"/>
        <w:spacing w:after="0"/>
        <w:tabs>
          <w:tab w:leader="none" w:pos="1400" w:val="left"/>
        </w:tabs>
        <w:numPr>
          <w:ilvl w:val="1"/>
          <w:numId w:val="5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Issuer’s obligations with respect to such Securities of such series under Sections 305, 306, and 1002 and, if the Issuer shall have irrevocably designated a Redemption Date pursuant to subparagraph</w:t>
      </w:r>
    </w:p>
    <w:p>
      <w:pPr>
        <w:spacing w:after="0" w:line="20" w:lineRule="exact"/>
        <w:rPr>
          <w:rFonts w:ascii="Times New Roman" w:cs="Times New Roman" w:eastAsia="Times New Roman" w:hAnsi="Times New Roman"/>
          <w:sz w:val="12"/>
          <w:szCs w:val="12"/>
          <w:color w:val="010000"/>
        </w:rPr>
      </w:pPr>
    </w:p>
    <w:p>
      <w:pPr>
        <w:ind w:left="600" w:hanging="168"/>
        <w:spacing w:after="0"/>
        <w:tabs>
          <w:tab w:leader="none" w:pos="6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proviso hereof, Sections 1101, 1104 and 1106 as they apply to such Redemption Date;</w:t>
      </w:r>
    </w:p>
    <w:p>
      <w:pPr>
        <w:spacing w:after="0" w:line="142" w:lineRule="exact"/>
        <w:rPr>
          <w:rFonts w:ascii="Times New Roman" w:cs="Times New Roman" w:eastAsia="Times New Roman" w:hAnsi="Times New Roman"/>
          <w:sz w:val="12"/>
          <w:szCs w:val="12"/>
          <w:color w:val="auto"/>
        </w:rPr>
      </w:pPr>
    </w:p>
    <w:p>
      <w:pPr>
        <w:ind w:left="1380" w:hanging="508"/>
        <w:spacing w:after="0"/>
        <w:tabs>
          <w:tab w:leader="none" w:pos="1380" w:val="left"/>
        </w:tabs>
        <w:numPr>
          <w:ilvl w:val="1"/>
          <w:numId w:val="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Issuer’s obligations with respect to the Trustee for Securities of such series under Section 607; and</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51" w:val="left"/>
        </w:tabs>
        <w:numPr>
          <w:ilvl w:val="1"/>
          <w:numId w:val="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rights, powers, trust and immunities of such Trustee hereunder and the duties of such Trustee under Section 402 and, if the Issuer shall have irrevocably designated a Redemption Date pursuant to subparagraph (e) to the proviso hereof, Article Eleven and the duty of such Trustee to authenticate Securities of such series on registration of transfer or exchange;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following conditions shall have been satisfied:</w:t>
      </w:r>
    </w:p>
    <w:p>
      <w:pPr>
        <w:spacing w:after="0" w:line="155" w:lineRule="exact"/>
        <w:rPr>
          <w:sz w:val="20"/>
          <w:szCs w:val="20"/>
          <w:color w:val="auto"/>
        </w:rPr>
      </w:pPr>
    </w:p>
    <w:p>
      <w:pPr>
        <w:jc w:val="both"/>
        <w:ind w:left="440" w:firstLine="432"/>
        <w:spacing w:after="0" w:line="259" w:lineRule="auto"/>
        <w:tabs>
          <w:tab w:leader="none" w:pos="1408" w:val="left"/>
        </w:tabs>
        <w:numPr>
          <w:ilvl w:val="0"/>
          <w:numId w:val="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deposited or caused to be irrevocably deposited (except as provided in Section 402(c) and the last paragraph of Section 1003) with such Trustee as trust funds in trust, specifically pledged as security for, and dedicated solely to, the benefit of the Trustee and the Holders of the Securities of such series, (i) money in an amount, or (ii) (except as provided in a supplemental indenture with respect to such series) if Securities of such series are not subject to repurchase at the option of Holders, (A) U.S. Government Obligations which through the payment of interest and principal in respect thereof in accordance with their terms will provide not later than one day before the due date of any payment referred to in clause (x) or (y) of this subparagraph (a) money in an amount or (B) a combination thereof, sufficient, in the opinion of a nationally recognized firm of independent certified public accountants expressed in a written certification thereof delivered to such Trustee, to pay and discharge (x) the principal of (and premium, if any, on) and each installment of principal of (and premium, if any, on) and interest, if any, on the Outstanding Securities of such series on the Stated Maturity of such principal or installment of principal or interest or to, but excluding, the Redemption Date irrevocably designated by the Issuer pursuant to subparagraph (e) hereof, (y) any mandatory sinking fund payments applicable to the Securities of such series on the day on which such payments are due and payable in accordance with the terms of the Indenture and of the Securities of such series and (z) the obligations owing to such Trustee;</w:t>
      </w:r>
    </w:p>
    <w:p>
      <w:pPr>
        <w:spacing w:after="0" w:line="126" w:lineRule="exact"/>
        <w:rPr>
          <w:rFonts w:ascii="Times New Roman" w:cs="Times New Roman" w:eastAsia="Times New Roman" w:hAnsi="Times New Roman"/>
          <w:sz w:val="12"/>
          <w:szCs w:val="12"/>
          <w:color w:val="010000"/>
        </w:rPr>
      </w:pPr>
    </w:p>
    <w:p>
      <w:pPr>
        <w:ind w:left="440" w:firstLine="432"/>
        <w:spacing w:after="0" w:line="290" w:lineRule="auto"/>
        <w:tabs>
          <w:tab w:leader="none" w:pos="1387" w:val="left"/>
        </w:tabs>
        <w:numPr>
          <w:ilvl w:val="0"/>
          <w:numId w:val="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delivered to such Trustee an Opinion of Counsel to the effect that such provision would not cause any Outstanding Securities of such series then listed on any national securities exchange to be delisted as a result thereof;</w:t>
      </w:r>
    </w:p>
    <w:p>
      <w:pPr>
        <w:spacing w:after="0" w:line="105"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17" w:val="left"/>
        </w:tabs>
        <w:numPr>
          <w:ilvl w:val="0"/>
          <w:numId w:val="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Event of Default or event which with notice or lapse of time would become an Event of Default (including by reason of such deposit) with respect to the Securities of such series shall have occurred and be continuing on the date of such deposit or during the period ending on the 91st day after such date;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2" w:name="page93"/>
    <w:bookmarkEnd w:id="92"/>
    <w:p>
      <w:pPr>
        <w:ind w:left="1480" w:hanging="608"/>
        <w:spacing w:after="0"/>
        <w:tabs>
          <w:tab w:leader="none" w:pos="1480" w:val="left"/>
        </w:tabs>
        <w:numPr>
          <w:ilvl w:val="1"/>
          <w:numId w:val="5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delivered to such Trustee an Opinion of Counsel in the U.S. to the effect that (i) the Issuer has received from, or there has been published by the Internal Revenue Service a ruling, or</w:t>
      </w:r>
    </w:p>
    <w:p>
      <w:pPr>
        <w:spacing w:after="0" w:line="20" w:lineRule="exact"/>
        <w:rPr>
          <w:rFonts w:ascii="Times New Roman" w:cs="Times New Roman" w:eastAsia="Times New Roman" w:hAnsi="Times New Roman"/>
          <w:sz w:val="12"/>
          <w:szCs w:val="12"/>
          <w:color w:val="010000"/>
        </w:rPr>
      </w:pPr>
    </w:p>
    <w:p>
      <w:pPr>
        <w:jc w:val="both"/>
        <w:ind w:left="440" w:hanging="8"/>
        <w:spacing w:after="0" w:line="261" w:lineRule="auto"/>
        <w:tabs>
          <w:tab w:leader="none" w:pos="62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date of this Indenture, there has been a change in the applicable U.S. federal income tax law, in either case, to the effect that, and based thereon such Opinion of Counsel shall confirm that, Holders of the Securities of such series will not recognize income, gain or loss for U.S. federal income tax purposes as a result of such deposit, defeasance and discharge and will be subject to U.S. federal income tax law on the same amounts, in the same manner and at the same time as would have been the case if such deposit, defeasance and discharge had not occurred and that no event of default or default shall have occurred and be continuing; and</w:t>
      </w:r>
    </w:p>
    <w:p>
      <w:pPr>
        <w:spacing w:after="0" w:line="123" w:lineRule="exact"/>
        <w:rPr>
          <w:rFonts w:ascii="Times New Roman" w:cs="Times New Roman" w:eastAsia="Times New Roman" w:hAnsi="Times New Roman"/>
          <w:sz w:val="12"/>
          <w:szCs w:val="12"/>
          <w:color w:val="auto"/>
        </w:rPr>
      </w:pPr>
    </w:p>
    <w:p>
      <w:pPr>
        <w:jc w:val="both"/>
        <w:ind w:left="440" w:firstLine="432"/>
        <w:spacing w:after="0" w:line="266" w:lineRule="auto"/>
        <w:tabs>
          <w:tab w:leader="none" w:pos="1499" w:val="left"/>
        </w:tabs>
        <w:numPr>
          <w:ilvl w:val="1"/>
          <w:numId w:val="6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Issuer has deposited or caused to be deposited money or U.S. Government Obligations to pay or discharge the principal of (and premium, if any, on) and interest, if any, on the Outstanding Securities of a series to, but excluding, a Redemption Date on which all of the Outstanding Securities of such series are to be redeemed, such Redemption Date shall be irrevocably designated by a Board Resolution of the Issuer delivered to such Trustee on or prior to the date of deposit of such money or U.S. Government Obligations, and such Board Resolution shall be accompanied by an irrevocable Company Request that such Trustee give notice of such redemption in the name and at the expense of the Issuer and not less than 15 nor more than 60 days prior to such Redemption Date in accordance with Section 1104.</w:t>
      </w:r>
    </w:p>
    <w:p>
      <w:pPr>
        <w:spacing w:after="0" w:line="120"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404.</w:t>
      </w:r>
      <w:r>
        <w:rPr>
          <w:sz w:val="20"/>
          <w:szCs w:val="20"/>
          <w:color w:val="auto"/>
        </w:rPr>
        <w:tab/>
      </w:r>
      <w:r>
        <w:rPr>
          <w:rFonts w:ascii="Times New Roman" w:cs="Times New Roman" w:eastAsia="Times New Roman" w:hAnsi="Times New Roman"/>
          <w:sz w:val="12"/>
          <w:szCs w:val="12"/>
          <w:u w:val="single" w:color="auto"/>
          <w:color w:val="auto"/>
        </w:rPr>
        <w:t>Reinstatement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 xml:space="preserve">If the Trustee of the Securities of any series or any Paying Agent is unable to apply any money in accordance with Section 402 by reason of any order or judgment of any court or governmental authority enjoining, restraining or otherwise prohibiting such application, then the obligations of the Issuer and the Guarantors under this Indenture and such Securities and any related coupons and the Guarantees shall be revived and reinstated as though no deposit had occurred pursuant to Section 403 or Section 1006, as the case may be, until such time as such Trustee or Paying Agent is permitted to apply all such money in accordance with Section 402;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 Issuer makes any payment of principal of (or premium, if any, on) or interest, if any, on any such Security or any related coupon following the reinstatement of its obligations, the Issuer shall be subrogated to the rights of the Holders of such Securities and any related coupons to receive such payment from the money held by such Trustee or Paying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FIVE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REMEDIES</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501.</w:t>
      </w:r>
      <w:r>
        <w:rPr>
          <w:sz w:val="20"/>
          <w:szCs w:val="20"/>
          <w:color w:val="auto"/>
        </w:rPr>
        <w:tab/>
      </w:r>
      <w:r>
        <w:rPr>
          <w:rFonts w:ascii="Times New Roman" w:cs="Times New Roman" w:eastAsia="Times New Roman" w:hAnsi="Times New Roman"/>
          <w:sz w:val="12"/>
          <w:szCs w:val="12"/>
          <w:u w:val="single" w:color="auto"/>
          <w:color w:val="auto"/>
        </w:rPr>
        <w:t>Events of Default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Unless otherwise indicated for a particular series of Securities, supplemental indenture or provided in or pursuant to a Board Resolution or Officer’s Certificate, “</w:t>
      </w:r>
      <w:r>
        <w:rPr>
          <w:rFonts w:ascii="Times New Roman" w:cs="Times New Roman" w:eastAsia="Times New Roman" w:hAnsi="Times New Roman"/>
          <w:sz w:val="12"/>
          <w:szCs w:val="12"/>
          <w:u w:val="single" w:color="auto"/>
          <w:color w:val="auto"/>
        </w:rPr>
        <w:t>Event of Default</w:t>
      </w:r>
      <w:r>
        <w:rPr>
          <w:rFonts w:ascii="Times New Roman" w:cs="Times New Roman" w:eastAsia="Times New Roman" w:hAnsi="Times New Roman"/>
          <w:sz w:val="12"/>
          <w:szCs w:val="12"/>
          <w:color w:val="auto"/>
        </w:rPr>
        <w:t>”, wherever used herein with respect to Securities of a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17" w:lineRule="exact"/>
        <w:rPr>
          <w:sz w:val="20"/>
          <w:szCs w:val="20"/>
          <w:color w:val="auto"/>
        </w:rPr>
      </w:pPr>
    </w:p>
    <w:p>
      <w:pPr>
        <w:ind w:left="440" w:right="20" w:firstLine="432"/>
        <w:spacing w:after="0" w:line="290" w:lineRule="auto"/>
        <w:tabs>
          <w:tab w:leader="none" w:pos="1479" w:val="left"/>
        </w:tabs>
        <w:numPr>
          <w:ilvl w:val="0"/>
          <w:numId w:val="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in the payment of any interest on any Security of that series when it becomes due and payable and continuance of such default for a period of 30 days (subject to the deferral of any interest payment in the case of an extension period); 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3" w:name="page94"/>
    <w:bookmarkEnd w:id="93"/>
    <w:p>
      <w:pPr>
        <w:ind w:left="940" w:hanging="508"/>
        <w:spacing w:after="0"/>
        <w:tabs>
          <w:tab w:leader="none" w:pos="940" w:val="left"/>
        </w:tabs>
        <w:numPr>
          <w:ilvl w:val="0"/>
          <w:numId w:val="6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in the payment of the principal of (or premium, if any, on) any Security of that series when due either at its Maturity, upon redemption, upon acceleration or otherwise; or</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6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in the payment of any sinking fund installment, when and as due by the terms of a Security of that series, and continuance of such default for a period of 30 days; or</w:t>
      </w:r>
    </w:p>
    <w:p>
      <w:pPr>
        <w:spacing w:after="0" w:line="154" w:lineRule="exact"/>
        <w:rPr>
          <w:rFonts w:ascii="Times New Roman" w:cs="Times New Roman" w:eastAsia="Times New Roman" w:hAnsi="Times New Roman"/>
          <w:sz w:val="12"/>
          <w:szCs w:val="12"/>
          <w:color w:val="010000"/>
        </w:rPr>
      </w:pPr>
    </w:p>
    <w:p>
      <w:pPr>
        <w:jc w:val="both"/>
        <w:ind w:firstLine="432"/>
        <w:spacing w:after="0" w:line="263" w:lineRule="auto"/>
        <w:tabs>
          <w:tab w:leader="none" w:pos="993" w:val="left"/>
        </w:tabs>
        <w:numPr>
          <w:ilvl w:val="0"/>
          <w:numId w:val="6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in the performance, or breach, of any covenant or warranty of the Issuer or any Guarantor of the Securities of such series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90 days after there has been given, by registered or certified mail, to the Issuer or such Guarantor by the Trustee for the Securities of such series or to the Issuer or such Guarantor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22" w:lineRule="exact"/>
        <w:rPr>
          <w:rFonts w:ascii="Times New Roman" w:cs="Times New Roman" w:eastAsia="Times New Roman" w:hAnsi="Times New Roman"/>
          <w:sz w:val="12"/>
          <w:szCs w:val="12"/>
          <w:color w:val="010000"/>
        </w:rPr>
      </w:pPr>
    </w:p>
    <w:p>
      <w:pPr>
        <w:jc w:val="both"/>
        <w:ind w:firstLine="432"/>
        <w:spacing w:after="0" w:line="261" w:lineRule="auto"/>
        <w:tabs>
          <w:tab w:leader="none" w:pos="1011" w:val="left"/>
        </w:tabs>
        <w:numPr>
          <w:ilvl w:val="0"/>
          <w:numId w:val="6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entry by a court having jurisdiction in the premises of (A) a decree or order for relief in respect of the Issuer or any Guarantor of the Securities of such series in an involuntary case or proceeding under any applicable United States federal or state, Bermuda or Irish bankruptcy, insolvency, reorganization, examinership or other similar law or (B) a decree or order adjudging the Issuer or any Guarantor of the Securities of such series as bankrupt or insolvent, or approving as properly filed a petition seeking reorganization, arrangement, adjustment, examinership or composition of or in respect of the Issuer or any such Guarantor under any applicable United States federal or state, Bermuda or Irish law, or appointing a custodian, receiver, liquidator, assignee, trustee, sequestrator or other similar official of the Issuer or any such Guarantor or of any substantial part of their respective properties, or ordering the winding up or liquidation of its affairs, and the continuance of any such decree or order for relief or any such other decree or order unstayed and in effect for a period of 90 consecutive days; or</w:t>
      </w:r>
    </w:p>
    <w:p>
      <w:pPr>
        <w:spacing w:after="0" w:line="124" w:lineRule="exact"/>
        <w:rPr>
          <w:rFonts w:ascii="Times New Roman" w:cs="Times New Roman" w:eastAsia="Times New Roman" w:hAnsi="Times New Roman"/>
          <w:sz w:val="12"/>
          <w:szCs w:val="12"/>
          <w:color w:val="010000"/>
        </w:rPr>
      </w:pPr>
    </w:p>
    <w:p>
      <w:pPr>
        <w:jc w:val="both"/>
        <w:ind w:firstLine="432"/>
        <w:spacing w:after="0" w:line="259" w:lineRule="auto"/>
        <w:tabs>
          <w:tab w:leader="none" w:pos="1021" w:val="left"/>
        </w:tabs>
        <w:numPr>
          <w:ilvl w:val="0"/>
          <w:numId w:val="6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commencement by the Issuer or any Guarantor of the Securities of such series of a voluntary case or proceeding under any applicable United States federal or state, Bermuda or Irish bankruptcy, insolvency, reorganization, examinership or other similar law or of any other case or proceeding to be adjudicated as bankrupt or insolvent, or the consent by such Issuer or such Guarantor to the entry of a decree or order for relief in respect of such Issuer or such Guarantor, respectively, in an involuntary case or proceeding under any applicable United States federal or state, Bermuda or Irish bankruptcy, insolvency, reorganization, examinership or other similar law or to the commencement of any bankruptcy or insolvency case or proceeding against such Issuer or such Guarantor, or the filing by such Issuer or such Guarantor of a petition or answer or consent seeking reorganization or relief under any applicable United States federal or state, Bermuda or Irish law, or the consent by such Issuer or such Guarantor to the filing of such petition or to the appointment of or taking possession by a custodian, receiver, liquidator, assignee, trustee, sequestrator or similar official of such Issuer or such Guarantor or of any substantial part of their respective properties, or the making by such Issuer or such Guarantor of an assignment for the benefit of creditors, or the admission by such Issuer or such Guarantor in writing of its inability to pay its debts generally as they become due, or the taking of corporate action by such Issuer or such Guarantor in furtherance of any such action; or</w:t>
      </w: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71767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860"/>
          </w:cols>
          <w:pgMar w:left="740" w:top="657" w:right="299" w:bottom="1440" w:gutter="0" w:footer="0" w:header="0"/>
        </w:sectPr>
      </w:pPr>
    </w:p>
    <w:bookmarkStart w:id="94" w:name="page95"/>
    <w:bookmarkEnd w:id="94"/>
    <w:p>
      <w:pPr>
        <w:ind w:left="440" w:firstLine="432"/>
        <w:spacing w:after="0" w:line="290" w:lineRule="auto"/>
        <w:tabs>
          <w:tab w:leader="none" w:pos="1442" w:val="left"/>
        </w:tabs>
        <w:numPr>
          <w:ilvl w:val="0"/>
          <w:numId w:val="6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guarantee of the Securities of that series shall for any reason cease to be, or shall for any reason be asserted in writing by the Issuer or any Guarantor of the Securities of such series not to be, in full force and effect and enforceable in accordance with its terms except to the extent contemplated by this Indenture and such Guarantee; or</w:t>
      </w:r>
    </w:p>
    <w:p>
      <w:pPr>
        <w:spacing w:after="0" w:line="105" w:lineRule="exact"/>
        <w:rPr>
          <w:rFonts w:ascii="Times New Roman" w:cs="Times New Roman" w:eastAsia="Times New Roman" w:hAnsi="Times New Roman"/>
          <w:sz w:val="12"/>
          <w:szCs w:val="12"/>
          <w:color w:val="010000"/>
        </w:rPr>
      </w:pPr>
    </w:p>
    <w:p>
      <w:pPr>
        <w:ind w:left="440" w:firstLine="432"/>
        <w:spacing w:after="0" w:line="290" w:lineRule="auto"/>
        <w:tabs>
          <w:tab w:leader="none" w:pos="1396" w:val="left"/>
        </w:tabs>
        <w:numPr>
          <w:ilvl w:val="0"/>
          <w:numId w:val="6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other Event of Default provided in the supplemental indenture or provided in or pursuant to a Board Resolution or Officer’s Certificate of the Issuer, under which such series of Securities is issued or in the form of Security for such series.</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502.</w:t>
      </w:r>
      <w:r>
        <w:rPr>
          <w:sz w:val="20"/>
          <w:szCs w:val="20"/>
          <w:color w:val="auto"/>
        </w:rPr>
        <w:tab/>
      </w:r>
      <w:r>
        <w:rPr>
          <w:rFonts w:ascii="Times New Roman" w:cs="Times New Roman" w:eastAsia="Times New Roman" w:hAnsi="Times New Roman"/>
          <w:sz w:val="12"/>
          <w:szCs w:val="12"/>
          <w:u w:val="single" w:color="auto"/>
          <w:color w:val="auto"/>
        </w:rPr>
        <w:t>Acceleration of Maturity; Rescission and Annulment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If an Event of Default (other than an Event of Default specified in Section 501(5) or 501(6)) with respect to Securities of any series at the time Outstanding occurs and is continuing, then in every such case the Trustee for the Securities of such series or the Holders of not less than 25% in aggregate principal amount of the Outstanding Securities of that series may declare the principal amount (or, if the Securities of that series are Original Issue Discount Securities, such portion of the principal amount as may be specified in the terms of that series) of all of the Securities of that series to be due and payable immediately, by a notice in writing to the Issuer (and to such Trustee if given by Holders), and upon any such declaration such principal amount (or specified amount) shall become immediately due and payable. If an Event of Default specified in Section 501(5) or 501(6)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such Trustee or any Holder, become immediately due and payable.</w:t>
      </w:r>
    </w:p>
    <w:p>
      <w:pPr>
        <w:spacing w:after="0" w:line="12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At any time after such a declaration of acceleration with respect to Securities of any series has been made and before a judgment or decree for payment of the money due has been obtained by the Trustee for the Securities of such series as hereinafter in this Article Five provided, the Holders of a majority in aggregate principal amount of the Outstanding Securities of that series, by written notice to the Issuer and such Trustee, may rescind and annul such declaration and its consequences if:</w:t>
      </w:r>
    </w:p>
    <w:p>
      <w:pPr>
        <w:spacing w:after="0" w:line="117" w:lineRule="exact"/>
        <w:rPr>
          <w:sz w:val="20"/>
          <w:szCs w:val="20"/>
          <w:color w:val="auto"/>
        </w:rPr>
      </w:pPr>
    </w:p>
    <w:p>
      <w:pPr>
        <w:ind w:left="1380" w:hanging="508"/>
        <w:spacing w:after="0"/>
        <w:tabs>
          <w:tab w:leader="none" w:pos="1380" w:val="left"/>
        </w:tabs>
        <w:numPr>
          <w:ilvl w:val="0"/>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paid or deposited with such Trustee a sum sufficient to pay,</w:t>
      </w:r>
    </w:p>
    <w:p>
      <w:pPr>
        <w:spacing w:after="0" w:line="154" w:lineRule="exact"/>
        <w:rPr>
          <w:rFonts w:ascii="Times New Roman" w:cs="Times New Roman" w:eastAsia="Times New Roman" w:hAnsi="Times New Roman"/>
          <w:sz w:val="12"/>
          <w:szCs w:val="12"/>
          <w:color w:val="010000"/>
        </w:rPr>
      </w:pPr>
    </w:p>
    <w:p>
      <w:pPr>
        <w:ind w:left="1840" w:hanging="529"/>
        <w:spacing w:after="0"/>
        <w:tabs>
          <w:tab w:leader="none" w:pos="1840" w:val="left"/>
        </w:tabs>
        <w:numPr>
          <w:ilvl w:val="1"/>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overdue interest, if any, on all Securities of that series,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5" w:name="page96"/>
    <w:bookmarkEnd w:id="95"/>
    <w:p>
      <w:pPr>
        <w:ind w:left="880" w:right="20" w:firstLine="431"/>
        <w:spacing w:after="0" w:line="290" w:lineRule="auto"/>
        <w:tabs>
          <w:tab w:leader="none" w:pos="1967" w:val="left"/>
        </w:tabs>
        <w:numPr>
          <w:ilvl w:val="1"/>
          <w:numId w:val="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principal of (and premium, if any, on) any Securities, of that series which have become due otherwise than by such declaration of acceleration and interest thereon at the rate or rates prescribed therefor in such Securities,</w:t>
      </w:r>
    </w:p>
    <w:p>
      <w:pPr>
        <w:spacing w:after="0" w:line="105" w:lineRule="exact"/>
        <w:rPr>
          <w:rFonts w:ascii="Times New Roman" w:cs="Times New Roman" w:eastAsia="Times New Roman" w:hAnsi="Times New Roman"/>
          <w:sz w:val="12"/>
          <w:szCs w:val="12"/>
          <w:color w:val="010000"/>
        </w:rPr>
      </w:pPr>
    </w:p>
    <w:p>
      <w:pPr>
        <w:ind w:left="1840" w:hanging="529"/>
        <w:spacing w:after="0"/>
        <w:tabs>
          <w:tab w:leader="none" w:pos="1840" w:val="left"/>
        </w:tabs>
        <w:numPr>
          <w:ilvl w:val="1"/>
          <w:numId w:val="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the extent that payment of such interest is lawful, interest upon overdue interest at the rate or rates prescribed therefor in such Securities, and</w:t>
      </w:r>
    </w:p>
    <w:p>
      <w:pPr>
        <w:spacing w:after="0" w:line="154" w:lineRule="exact"/>
        <w:rPr>
          <w:rFonts w:ascii="Times New Roman" w:cs="Times New Roman" w:eastAsia="Times New Roman" w:hAnsi="Times New Roman"/>
          <w:sz w:val="12"/>
          <w:szCs w:val="12"/>
          <w:color w:val="010000"/>
        </w:rPr>
      </w:pPr>
    </w:p>
    <w:p>
      <w:pPr>
        <w:ind w:left="1840" w:hanging="529"/>
        <w:spacing w:after="0"/>
        <w:tabs>
          <w:tab w:leader="none" w:pos="1840" w:val="left"/>
        </w:tabs>
        <w:numPr>
          <w:ilvl w:val="1"/>
          <w:numId w:val="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sums paid or advanced by such Trustee hereunder and the compensation, expenses, disbursements and advances of such Trustee, its agents and counsel; and</w:t>
      </w:r>
    </w:p>
    <w:p>
      <w:pPr>
        <w:spacing w:after="0" w:line="154"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97" w:val="left"/>
        </w:tabs>
        <w:numPr>
          <w:ilvl w:val="0"/>
          <w:numId w:val="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Events of Default with respect to Securities of that series, other than the non-payment of the principal of and accrued interest on Securities of that series which have become due solely by such declaration of acceleration, have been cured or waived as provided in Section 513.</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such rescission shall affect any subsequent default or impair any right consequent thereon.</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20"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503.</w:t>
      </w:r>
      <w:r>
        <w:rPr>
          <w:sz w:val="20"/>
          <w:szCs w:val="20"/>
          <w:color w:val="auto"/>
        </w:rPr>
        <w:tab/>
      </w:r>
      <w:r>
        <w:rPr>
          <w:rFonts w:ascii="Times New Roman" w:cs="Times New Roman" w:eastAsia="Times New Roman" w:hAnsi="Times New Roman"/>
          <w:sz w:val="12"/>
          <w:szCs w:val="12"/>
          <w:u w:val="single" w:color="auto"/>
          <w:color w:val="auto"/>
        </w:rPr>
        <w:t>Collection of Indebtedness and Suits for Enforcement by Trustee</w:t>
      </w:r>
      <w:r>
        <w:rPr>
          <w:rFonts w:ascii="Times New Roman" w:cs="Times New Roman" w:eastAsia="Times New Roman" w:hAnsi="Times New Roman"/>
          <w:sz w:val="12"/>
          <w:szCs w:val="12"/>
          <w:color w:val="auto"/>
        </w:rPr>
        <w:t>. The Issuer covenants that if:</w:t>
      </w:r>
    </w:p>
    <w:p>
      <w:pPr>
        <w:spacing w:after="0" w:line="155" w:lineRule="exact"/>
        <w:rPr>
          <w:sz w:val="20"/>
          <w:szCs w:val="20"/>
          <w:color w:val="auto"/>
        </w:rPr>
      </w:pPr>
    </w:p>
    <w:p>
      <w:pPr>
        <w:ind w:left="1380" w:hanging="508"/>
        <w:spacing w:after="0"/>
        <w:tabs>
          <w:tab w:leader="none" w:pos="1380" w:val="left"/>
        </w:tabs>
        <w:numPr>
          <w:ilvl w:val="0"/>
          <w:numId w:val="6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is made in the payment of any interest on any Security of a series when such interest becomes due and payable and such default continues for a period of 30 days, or</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6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default is made in the payment of the principal of (or premium, if any, on) any Security of a series at the Maturity thereof,</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the Issuer will, upon demand of the Trustee for the Securities of such series, pay to it, for the benefit of the Holders of such Securities, the whole amount then due and payable on such Securities for principal (and premium, if any) and interest, if any, and, to the extent that payment of such interest shall be legally enforceable, interest on any overdue principal (and premium, if any) and on any overdue interest, at the rate or rates prescribed therefor in such Securities, and, in addition thereto, such further amount as shall be sufficient to cover the costs and expenses of collection, including the compensation, expenses, disbursements and advances of such Trustee, its agents and counsel.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6" w:name="page97"/>
    <w:bookmarkEnd w:id="96"/>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If the Issuer fails to pay such amounts forthwith upon such demand, such Trustee, in its own name and as trustee of an express trust, may institute a judicial proceeding for the collection of the sums so due and unpaid, may prosecute such proceeding to judgment or final decree and may enforce the same against the Issuer, the Guarantors or any other obligor upon such Securities and collect the moneys adjudged or decreed to be payable in the manner provided by law out of the property of the Issuer, the Guarantors or any other obligor upon such Securities, wherever situated.</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If an Event of Default with respect to Securities of any series occurs and is continuing, the Trustee for the Securities of such series may in its discretion proceed to protect and enforce its rights and the rights of the Holders of Securities of such series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504.</w:t>
      </w:r>
      <w:r>
        <w:rPr>
          <w:sz w:val="20"/>
          <w:szCs w:val="20"/>
          <w:color w:val="auto"/>
        </w:rPr>
        <w:tab/>
      </w:r>
      <w:r>
        <w:rPr>
          <w:rFonts w:ascii="Times New Roman" w:cs="Times New Roman" w:eastAsia="Times New Roman" w:hAnsi="Times New Roman"/>
          <w:sz w:val="12"/>
          <w:szCs w:val="12"/>
          <w:u w:val="single" w:color="auto"/>
          <w:color w:val="auto"/>
        </w:rPr>
        <w:t>Trustee May File Proofs of Claim</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In any case of the pendency of any receivership, insolvency, liquidation, bankruptcy, reorganization, arrangement, adjustment, composition or other judicial proceeding relative to the Issuer, any of the Guarantors or any other obligor upon the Securities a series or the property of the Issuer, such Guarantors or such other obligor or their creditors, the Trustee for the Securities of such series (irrespective of whether the principal of the Securities shall then be due and payable as therein expressed or by declaration or otherwise and irrespective of whether such Trustee shall have made any demand on the Issuer or the Guarantors for the payment of overdue principal or interest) shall be entitled and empowered, by intervention in such proceeding or otherwise:</w:t>
      </w:r>
    </w:p>
    <w:p>
      <w:pPr>
        <w:spacing w:after="0" w:line="120" w:lineRule="exact"/>
        <w:rPr>
          <w:sz w:val="20"/>
          <w:szCs w:val="20"/>
          <w:color w:val="auto"/>
        </w:rPr>
      </w:pPr>
    </w:p>
    <w:p>
      <w:pPr>
        <w:jc w:val="both"/>
        <w:ind w:left="440" w:firstLine="432"/>
        <w:spacing w:after="0" w:line="272" w:lineRule="auto"/>
        <w:tabs>
          <w:tab w:leader="none" w:pos="147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file and prove a claim for the whole amount of principal (and premium, if any) and interest owing and unpaid in respect of such Securities and to file such other papers or documents as may be necessary or advisable in order to have the claims of such Trustee (including any claim for the compensation, expenses, disbursements and advances of such Trustee, its agents and counsel and any indemnification claims of such Trustee) and of the Holders of such Securities allowed in such judicial proceeding; and</w:t>
      </w:r>
    </w:p>
    <w:p>
      <w:pPr>
        <w:spacing w:after="0" w:line="116"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collect and receive any moneys or other property payable or deliverable on any such claims and to distribute the same;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and any custodian, receiver, assignee, trustee, liquidator, sequestrator or other similar official in any such judicial proceeding is hereby authorized by each Holder of such Securities to make such payments to such Trustee and, in the event that such Trustee shall consent to the making of such payments directly to such Holders, to pay to such Trustee any amount due it for the reasonable compensation, expenses, disbursements and advances of such Trustee, its agents and counsel, and any other amounts due such Trustee under Section 607.</w:t>
      </w:r>
    </w:p>
    <w:p>
      <w:pPr>
        <w:spacing w:after="0" w:line="117"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Nothing herein contained shall be deemed to authorize the Trustee for the Securities of any series to authorize or consent to or accept or adopt on behalf of any Holder any plan of reorganization, arrangement, adjustment or composition affecting the Securities, the Guarantees or the rights of any Holder thereof or to authorize such Trustee to vote in respect of the claim of any Holder in any such proceeding.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7" w:name="page98"/>
    <w:bookmarkEnd w:id="97"/>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505.</w:t>
      </w:r>
      <w:r>
        <w:rPr>
          <w:sz w:val="20"/>
          <w:szCs w:val="20"/>
          <w:color w:val="auto"/>
        </w:rPr>
        <w:tab/>
      </w:r>
      <w:r>
        <w:rPr>
          <w:rFonts w:ascii="Times New Roman" w:cs="Times New Roman" w:eastAsia="Times New Roman" w:hAnsi="Times New Roman"/>
          <w:sz w:val="12"/>
          <w:szCs w:val="12"/>
          <w:u w:val="single" w:color="auto"/>
          <w:color w:val="auto"/>
        </w:rPr>
        <w:t>Trustee May Enforce Claims Without Possession of Securities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All rights of action and claims under this Indenture or the Securities may be prosecuted and enforced by the Trustee for any series of Securities without the possession of any of the Securities or the production thereof in any proceeding relating thereto, and any such proceeding instituted by such Trustee shall be brought in its own name for itself and as trustee of an express trust, and any recovery of judgment shall, after provision for the payment of the compensation, expenses, disbursements and advances of such Trustee, its agents and counsel, be for the ratable benefit of the Holders of the Securities in respect of which such judgment has been recovered.</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506.</w:t>
      </w:r>
      <w:r>
        <w:rPr>
          <w:sz w:val="20"/>
          <w:szCs w:val="20"/>
          <w:color w:val="auto"/>
        </w:rPr>
        <w:tab/>
      </w:r>
      <w:r>
        <w:rPr>
          <w:rFonts w:ascii="Times New Roman" w:cs="Times New Roman" w:eastAsia="Times New Roman" w:hAnsi="Times New Roman"/>
          <w:sz w:val="12"/>
          <w:szCs w:val="12"/>
          <w:u w:val="single" w:color="auto"/>
          <w:color w:val="auto"/>
        </w:rPr>
        <w:t>Application of Money Collected</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Any money collected by the Trustee for any series of Securities pursuant to this Article Five shall be applied in the following order, at the date or dates fixed by such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FIRST: to the payment of all amounts due such Trustee under Section 607;</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SECOND: In case the principal of the Securities of such series in respect of which moneys have been collected shall not have become and be then due and payable, to the payment of interest, if any, on the Securities of such series in default in the order of the maturity of the installments of such interest, with interest (to the extent that such interest has been collected by such Trustee and to the extent permitted by law) upon the overdue installments of interest at the rate prescribed therefor in such Securities, such payments to be made ratably to the persons entitled thereto, without discrimination or preference;</w:t>
      </w:r>
    </w:p>
    <w:p>
      <w:pPr>
        <w:spacing w:after="0" w:line="117"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if any, with interest upon the overdue principal, and (to the extent that such interest has been collected by such Trustee and to the extent permitted by law) upon overdue installments of interest at the rate prescribed therefor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FOURTH: To the payment of the remainder, if any, to the Issuer or as a court of competent jurisdiction may direct.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8" w:name="page99"/>
    <w:bookmarkEnd w:id="98"/>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507.</w:t>
      </w:r>
      <w:r>
        <w:rPr>
          <w:sz w:val="20"/>
          <w:szCs w:val="20"/>
          <w:color w:val="auto"/>
        </w:rPr>
        <w:tab/>
      </w:r>
      <w:r>
        <w:rPr>
          <w:rFonts w:ascii="Times New Roman" w:cs="Times New Roman" w:eastAsia="Times New Roman" w:hAnsi="Times New Roman"/>
          <w:sz w:val="12"/>
          <w:szCs w:val="12"/>
          <w:u w:val="single" w:color="auto"/>
          <w:color w:val="auto"/>
        </w:rPr>
        <w:t>Limitation on Suits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Holder of any Security of any series shall have any right to institute any proceeding, judicial or otherwise, with respect to this Indenture, or for the appointment of a receiver or trustee, or for any other remedy 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unless:</w:t>
      </w:r>
    </w:p>
    <w:p>
      <w:pPr>
        <w:spacing w:after="0" w:line="143" w:lineRule="exact"/>
        <w:rPr>
          <w:sz w:val="20"/>
          <w:szCs w:val="20"/>
          <w:color w:val="auto"/>
        </w:rPr>
      </w:pPr>
    </w:p>
    <w:p>
      <w:pPr>
        <w:ind w:left="1380" w:hanging="508"/>
        <w:spacing w:after="0"/>
        <w:tabs>
          <w:tab w:leader="none" w:pos="1380"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Holder has previously given written notice to the Trustee for the Securities of such series of a continuing Event of Default with respect to the Securities of that series;</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88"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Holders of not less than 25% in principal amount of the Outstanding Securities of that series shall have made written request to such Trustee to institute proceedings in respect of such Event of Default in its own name as Trustee hereunder;</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Holder or Holders have offered to such Trustee security and/or indemnity reasonably satisfactory to it against the costs, expenses and liabilities to be incurred in compliance with such request;</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for 60 days after its receipt of such notice, request and offer of indemnity has failed to institute any such proceeding; and</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direction inconsistent with such written request has been given to such Trustee during such 60-day period by the Holders of a majority in principal amount of the Outstanding Securities of that series,</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it being understood and intended that no one or more of such Holders shall have any right in any manner whatsoever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(it being understood that the Trustee does not have an affirmative duty to ascertain whether or not such actions or forbearances are unduly prejudicial to such Holders).</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508.</w:t>
      </w:r>
      <w:r>
        <w:rPr>
          <w:sz w:val="20"/>
          <w:szCs w:val="20"/>
          <w:color w:val="auto"/>
        </w:rPr>
        <w:tab/>
      </w:r>
      <w:r>
        <w:rPr>
          <w:rFonts w:ascii="Times New Roman" w:cs="Times New Roman" w:eastAsia="Times New Roman" w:hAnsi="Times New Roman"/>
          <w:sz w:val="12"/>
          <w:szCs w:val="12"/>
          <w:u w:val="single" w:color="auto"/>
          <w:color w:val="auto"/>
        </w:rPr>
        <w:t>Unconditional Right of Holders to Receive Principal, Premium and Interest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Notwithstanding any other provision in this Indenture, the Holder of any Security shall have the right, which is absolute and unconditional, to receive payment of the principal of (and premium, if any, on) and (subject to Section 307) interest, if any, on such Security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509.</w:t>
      </w:r>
      <w:r>
        <w:rPr>
          <w:sz w:val="20"/>
          <w:szCs w:val="20"/>
          <w:color w:val="auto"/>
        </w:rPr>
        <w:tab/>
      </w:r>
      <w:r>
        <w:rPr>
          <w:rFonts w:ascii="Times New Roman" w:cs="Times New Roman" w:eastAsia="Times New Roman" w:hAnsi="Times New Roman"/>
          <w:sz w:val="12"/>
          <w:szCs w:val="12"/>
          <w:u w:val="single" w:color="auto"/>
          <w:color w:val="auto"/>
        </w:rPr>
        <w:t>Restoration of Rights and Remedies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If the Trustee for the Securities of any series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Issuer, the Guarantors, such Trustee and the Holders shall be restored severally and respectively to their former positions hereunder and thereafter all rights and remedies of such Trustee and the Holders shall continue as though no such proceeding had been instituted.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99" w:name="page100"/>
    <w:bookmarkEnd w:id="99"/>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510.</w:t>
      </w:r>
      <w:r>
        <w:rPr>
          <w:sz w:val="20"/>
          <w:szCs w:val="20"/>
          <w:color w:val="auto"/>
        </w:rPr>
        <w:tab/>
      </w:r>
      <w:r>
        <w:rPr>
          <w:rFonts w:ascii="Times New Roman" w:cs="Times New Roman" w:eastAsia="Times New Roman" w:hAnsi="Times New Roman"/>
          <w:sz w:val="12"/>
          <w:szCs w:val="12"/>
          <w:u w:val="single" w:color="auto"/>
          <w:color w:val="auto"/>
        </w:rPr>
        <w:t>Rights and Remedies Cumulative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Except as otherwise provided with respect to the replacement or payment of mutilated, destroyed, lost or stolen Securities in the last paragraph of Section 306, no right or remedy herein conferred upon or reserved to the Trustee for the Securities of any series or to any Holder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0"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511.</w:t>
      </w:r>
      <w:r>
        <w:rPr>
          <w:sz w:val="20"/>
          <w:szCs w:val="20"/>
          <w:color w:val="auto"/>
        </w:rPr>
        <w:tab/>
      </w:r>
      <w:r>
        <w:rPr>
          <w:rFonts w:ascii="Times New Roman" w:cs="Times New Roman" w:eastAsia="Times New Roman" w:hAnsi="Times New Roman"/>
          <w:sz w:val="12"/>
          <w:szCs w:val="12"/>
          <w:u w:val="single" w:color="auto"/>
          <w:color w:val="auto"/>
        </w:rPr>
        <w:t>Delay or Omission Not Waiver</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No delay or omission of the Trustee for the Securities of any series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such Trustee or to the Holders may be exercised from time to time, and as often as may be deemed expedient, by such Trustee or by the Holders, as the case may be.</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512.</w:t>
      </w:r>
      <w:r>
        <w:rPr>
          <w:sz w:val="20"/>
          <w:szCs w:val="20"/>
          <w:color w:val="auto"/>
        </w:rPr>
        <w:tab/>
      </w:r>
      <w:r>
        <w:rPr>
          <w:rFonts w:ascii="Times New Roman" w:cs="Times New Roman" w:eastAsia="Times New Roman" w:hAnsi="Times New Roman"/>
          <w:sz w:val="12"/>
          <w:szCs w:val="12"/>
          <w:u w:val="single" w:color="auto"/>
          <w:color w:val="auto"/>
        </w:rPr>
        <w:t>Control by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Holders of a majority in aggregate principal amount of the Outstanding Securities of any series shall have the right to direct the time, method and place of conducting any proceeding for any remedy available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Trustee for the Securities of such series, or exercising any trust or power conferred on such Trustee, with respect to the Securities of such series;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w:t>
      </w:r>
    </w:p>
    <w:p>
      <w:pPr>
        <w:spacing w:after="0" w:line="143" w:lineRule="exact"/>
        <w:rPr>
          <w:sz w:val="20"/>
          <w:szCs w:val="20"/>
          <w:color w:val="auto"/>
        </w:rPr>
      </w:pPr>
    </w:p>
    <w:p>
      <w:pPr>
        <w:ind w:left="1380" w:hanging="508"/>
        <w:spacing w:after="0"/>
        <w:tabs>
          <w:tab w:leader="none" w:pos="1380" w:val="left"/>
        </w:tabs>
        <w:numPr>
          <w:ilvl w:val="0"/>
          <w:numId w:val="7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direction shall not be in conflict with any rule of law or with this Indenture; and</w:t>
      </w:r>
    </w:p>
    <w:p>
      <w:pPr>
        <w:spacing w:after="0" w:line="154" w:lineRule="exact"/>
        <w:rPr>
          <w:rFonts w:ascii="Times New Roman" w:cs="Times New Roman" w:eastAsia="Times New Roman" w:hAnsi="Times New Roman"/>
          <w:sz w:val="12"/>
          <w:szCs w:val="12"/>
          <w:color w:val="010000"/>
        </w:rPr>
      </w:pPr>
    </w:p>
    <w:p>
      <w:pPr>
        <w:ind w:left="440" w:right="4220" w:firstLine="432"/>
        <w:spacing w:after="0" w:line="509" w:lineRule="auto"/>
        <w:tabs>
          <w:tab w:leader="none" w:pos="1387" w:val="left"/>
        </w:tabs>
        <w:numPr>
          <w:ilvl w:val="0"/>
          <w:numId w:val="7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such Trustee may take any other action deemed proper by such Trustee which is not inconsistent with such direction. </w:t>
      </w:r>
      <w:r>
        <w:rPr>
          <w:rFonts w:ascii="Times New Roman" w:cs="Times New Roman" w:eastAsia="Times New Roman" w:hAnsi="Times New Roman"/>
          <w:sz w:val="12"/>
          <w:szCs w:val="12"/>
          <w:color w:val="010000"/>
        </w:rPr>
        <w:t xml:space="preserve">SECTION 513. </w:t>
      </w:r>
      <w:r>
        <w:rPr>
          <w:rFonts w:ascii="Times New Roman" w:cs="Times New Roman" w:eastAsia="Times New Roman" w:hAnsi="Times New Roman"/>
          <w:sz w:val="12"/>
          <w:szCs w:val="12"/>
          <w:u w:val="single" w:color="auto"/>
          <w:color w:val="000000"/>
        </w:rPr>
        <w:t>Waiver of Past Defaults</w:t>
      </w:r>
      <w:r>
        <w:rPr>
          <w:rFonts w:ascii="Times New Roman" w:cs="Times New Roman" w:eastAsia="Times New Roman" w:hAnsi="Times New Roman"/>
          <w:sz w:val="12"/>
          <w:szCs w:val="12"/>
          <w:color w:val="000000"/>
        </w:rPr>
        <w:t>.</w:t>
      </w:r>
    </w:p>
    <w:p>
      <w:pPr>
        <w:ind w:firstLine="439"/>
        <w:spacing w:after="0" w:line="290" w:lineRule="auto"/>
        <w:rPr>
          <w:sz w:val="20"/>
          <w:szCs w:val="20"/>
          <w:color w:val="auto"/>
        </w:rPr>
      </w:pPr>
      <w:r>
        <w:rPr>
          <w:rFonts w:ascii="Times New Roman" w:cs="Times New Roman" w:eastAsia="Times New Roman" w:hAnsi="Times New Roman"/>
          <w:sz w:val="12"/>
          <w:szCs w:val="12"/>
          <w:color w:val="auto"/>
        </w:rPr>
        <w:t>The Holders of not less than a majority in aggregate principal amount of the Outstanding Securities of any series may on behalf of the Holders of all of the Securities of such series waive any past default hereunder with respect to such series and its consequences, except a default:</w:t>
      </w:r>
    </w:p>
    <w:p>
      <w:pPr>
        <w:spacing w:after="0" w:line="106" w:lineRule="exact"/>
        <w:rPr>
          <w:sz w:val="20"/>
          <w:szCs w:val="20"/>
          <w:color w:val="auto"/>
        </w:rPr>
      </w:pPr>
    </w:p>
    <w:p>
      <w:pPr>
        <w:ind w:left="1380" w:hanging="508"/>
        <w:spacing w:after="0"/>
        <w:tabs>
          <w:tab w:leader="none" w:pos="1380" w:val="left"/>
        </w:tabs>
        <w:numPr>
          <w:ilvl w:val="0"/>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the payment of the principal of (or premium, if any, on) or interest, if any, on any Security of such series; or</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respect of a covenant or provision hereof which under Article Nine cannot be modified or amended without the consent of the Holder of each Outstanding Security of such series affected.</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0" w:name="page101"/>
    <w:bookmarkEnd w:id="100"/>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514.</w:t>
      </w:r>
      <w:r>
        <w:rPr>
          <w:sz w:val="20"/>
          <w:szCs w:val="20"/>
          <w:color w:val="auto"/>
        </w:rPr>
        <w:tab/>
      </w:r>
      <w:r>
        <w:rPr>
          <w:rFonts w:ascii="Times New Roman" w:cs="Times New Roman" w:eastAsia="Times New Roman" w:hAnsi="Times New Roman"/>
          <w:sz w:val="12"/>
          <w:szCs w:val="12"/>
          <w:u w:val="single" w:color="auto"/>
          <w:color w:val="auto"/>
        </w:rPr>
        <w:t>Undertaking for Costs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the Securities of any series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for the Securities of any series, to any suit instituted by any Holder, or group of Holders, holding in the aggregate more than 10% in principal amount of the Outstanding Securities of any series, or to any suit instituted by any Holder for the enforcement against the Issuer or any Guarantors of the payment of the principal of (or premium, if any, on) or interest, if any, on any Security on or after the Stated Maturity or Maturities expressed in such Security (or, in the case of redemption, on or after the Redemption Date).</w:t>
      </w:r>
    </w:p>
    <w:p>
      <w:pPr>
        <w:spacing w:after="0" w:line="12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515.</w:t>
      </w:r>
      <w:r>
        <w:rPr>
          <w:sz w:val="20"/>
          <w:szCs w:val="20"/>
          <w:color w:val="auto"/>
        </w:rPr>
        <w:tab/>
      </w:r>
      <w:r>
        <w:rPr>
          <w:rFonts w:ascii="Times New Roman" w:cs="Times New Roman" w:eastAsia="Times New Roman" w:hAnsi="Times New Roman"/>
          <w:sz w:val="12"/>
          <w:szCs w:val="12"/>
          <w:u w:val="single" w:color="auto"/>
          <w:color w:val="auto"/>
        </w:rPr>
        <w:t>Waiver of Stay or Extension Laws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Each of the Issuer and the Guarantors of each series of Securities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and the Guarantors of each series of Securities (to the extent that it may lawfully do so) hereby expressly waives all benefit or advantage of any such law and covenants that it will not hinder, delay or impede the execution of any power herein granted to the Trustee for the Securities of any such series, but will suffer and permit the execution of every such power as though no such law had been enacted.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SIX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TRUSTEE</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601.</w:t>
      </w:r>
      <w:r>
        <w:rPr>
          <w:sz w:val="20"/>
          <w:szCs w:val="20"/>
          <w:color w:val="auto"/>
        </w:rPr>
        <w:tab/>
      </w:r>
      <w:r>
        <w:rPr>
          <w:rFonts w:ascii="Times New Roman" w:cs="Times New Roman" w:eastAsia="Times New Roman" w:hAnsi="Times New Roman"/>
          <w:sz w:val="12"/>
          <w:szCs w:val="12"/>
          <w:u w:val="single" w:color="auto"/>
          <w:color w:val="auto"/>
        </w:rPr>
        <w:t>Certain Duties and Responsibilities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940" w:hanging="508"/>
        <w:spacing w:after="0"/>
        <w:tabs>
          <w:tab w:leader="none" w:pos="94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during the continuance of an Event of Default with respect to the Securities of any series for which the Trustee is serving as such:</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42" w:val="left"/>
        </w:tabs>
        <w:numPr>
          <w:ilvl w:val="1"/>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undertakes to perform such duties and only such duties as are specifically set forth in this Indenture, and no implied covenants or obligations shall be read into this Indenture against such Trustee, whose duties and obligations shall be determined solely by the express provisions of this Indenture;</w:t>
      </w:r>
    </w:p>
    <w:p>
      <w:pPr>
        <w:spacing w:after="0" w:line="105" w:lineRule="exact"/>
        <w:rPr>
          <w:rFonts w:ascii="Times New Roman" w:cs="Times New Roman" w:eastAsia="Times New Roman" w:hAnsi="Times New Roman"/>
          <w:sz w:val="12"/>
          <w:szCs w:val="12"/>
          <w:color w:val="010000"/>
        </w:rPr>
      </w:pPr>
    </w:p>
    <w:p>
      <w:pPr>
        <w:jc w:val="both"/>
        <w:ind w:left="440" w:firstLine="432"/>
        <w:spacing w:after="0" w:line="269" w:lineRule="auto"/>
        <w:tabs>
          <w:tab w:leader="none" w:pos="1406" w:val="left"/>
        </w:tabs>
        <w:numPr>
          <w:ilvl w:val="1"/>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the absence of bad faith on its part, such Trustee may conclusively rely, as to the truth of the statements and the correctness of the opinions expressed therein, upon certificates or opinions furnished to such Trustee and conforming to the requirements of this Indenture; but in the case of any such certificates or opinions which by any provision hereof are specifically required to be furnished to such Trustee, such Trustee shall be under a duty to examine the same to determine whether or not they conform to the requirements of this Indenture (but need not confirm or investigate the accuracy of mathematical calculations or other facts stated therein).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1" w:name="page102"/>
    <w:bookmarkEnd w:id="101"/>
    <w:p>
      <w:pPr>
        <w:ind w:firstLine="432"/>
        <w:spacing w:after="0" w:line="290" w:lineRule="auto"/>
        <w:tabs>
          <w:tab w:leader="none" w:pos="1057" w:val="left"/>
        </w:tabs>
        <w:numPr>
          <w:ilvl w:val="0"/>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case an Event of Default with respect to a series of Securities has occurred and is continuing, the Trustee for the Securities of such series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05" w:lineRule="exact"/>
        <w:rPr>
          <w:rFonts w:ascii="Times New Roman" w:cs="Times New Roman" w:eastAsia="Times New Roman" w:hAnsi="Times New Roman"/>
          <w:sz w:val="12"/>
          <w:szCs w:val="12"/>
          <w:color w:val="010000"/>
        </w:rPr>
      </w:pPr>
    </w:p>
    <w:p>
      <w:pPr>
        <w:ind w:left="1000" w:hanging="568"/>
        <w:spacing w:after="0"/>
        <w:tabs>
          <w:tab w:leader="none" w:pos="1000" w:val="left"/>
        </w:tabs>
        <w:numPr>
          <w:ilvl w:val="0"/>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provision of this Indenture shall be construed to relieve the Trustee for the Securities of any series from liability for its own negligent action, its own negligent failure to act, or its own willful misconduct,</w:t>
      </w:r>
    </w:p>
    <w:p>
      <w:pPr>
        <w:spacing w:after="0" w:line="20"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that:</w:t>
      </w:r>
    </w:p>
    <w:p>
      <w:pPr>
        <w:spacing w:after="0" w:line="142"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1"/>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this subsection shall not be construed to limit the effect of subsection (a) of this Section;</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1"/>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not be liable for any error of judgment made in good faith by a Responsible Officer, unless it shall be proved that such Trustee was negligent in ascertaining the pertinent facts;</w:t>
      </w:r>
    </w:p>
    <w:p>
      <w:pPr>
        <w:spacing w:after="0" w:line="154" w:lineRule="exact"/>
        <w:rPr>
          <w:rFonts w:ascii="Times New Roman" w:cs="Times New Roman" w:eastAsia="Times New Roman" w:hAnsi="Times New Roman"/>
          <w:sz w:val="12"/>
          <w:szCs w:val="12"/>
          <w:color w:val="010000"/>
        </w:rPr>
      </w:pPr>
    </w:p>
    <w:p>
      <w:pPr>
        <w:jc w:val="both"/>
        <w:ind w:left="440" w:firstLine="432"/>
        <w:spacing w:after="0" w:line="272" w:lineRule="auto"/>
        <w:tabs>
          <w:tab w:leader="none" w:pos="1406" w:val="left"/>
        </w:tabs>
        <w:numPr>
          <w:ilvl w:val="1"/>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not be liable with respect to any action taken, suffered or omitted to be taken by it in good faith in accordance with the direction of the Holders of a majority in principal amount of the Outstanding Securities of any particular series, determined as provided in Section 512, relating to the time, method and place of conducting any proceeding for any remedy available to such Trustee, or exercising any trust or power conferred upon such Trustee, under this Indenture with respect to the Securities of that series; and</w:t>
      </w:r>
    </w:p>
    <w:p>
      <w:pPr>
        <w:spacing w:after="0" w:line="116" w:lineRule="exact"/>
        <w:rPr>
          <w:rFonts w:ascii="Times New Roman" w:cs="Times New Roman" w:eastAsia="Times New Roman" w:hAnsi="Times New Roman"/>
          <w:sz w:val="12"/>
          <w:szCs w:val="12"/>
          <w:color w:val="010000"/>
        </w:rPr>
      </w:pPr>
    </w:p>
    <w:p>
      <w:pPr>
        <w:ind w:left="440" w:firstLine="432"/>
        <w:spacing w:after="0" w:line="290" w:lineRule="auto"/>
        <w:tabs>
          <w:tab w:leader="none" w:pos="1515" w:val="left"/>
        </w:tabs>
        <w:numPr>
          <w:ilvl w:val="1"/>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provision of this Indenture shall require the Trustee for any series of Securities to expend or risk its own funds or otherwise incur any financial liability in the performance of any of its duties hereunder, or in the exercise of any of its rights or powers.</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66" w:val="left"/>
        </w:tabs>
        <w:numPr>
          <w:ilvl w:val="0"/>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Whether or not therein expressly so provided, every provision of this Indenture relating to the conduct or affecting the liability of or affording protection to the Trustee for any series of Securities shall be subject to the provisions of this Section.</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602.</w:t>
      </w:r>
      <w:r>
        <w:rPr>
          <w:sz w:val="20"/>
          <w:szCs w:val="20"/>
          <w:color w:val="auto"/>
        </w:rPr>
        <w:tab/>
      </w:r>
      <w:r>
        <w:rPr>
          <w:rFonts w:ascii="Times New Roman" w:cs="Times New Roman" w:eastAsia="Times New Roman" w:hAnsi="Times New Roman"/>
          <w:sz w:val="12"/>
          <w:szCs w:val="12"/>
          <w:u w:val="single" w:color="auto"/>
          <w:color w:val="auto"/>
        </w:rPr>
        <w:t>Notice of Defaults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0" w:lineRule="auto"/>
        <w:rPr>
          <w:sz w:val="20"/>
          <w:szCs w:val="20"/>
          <w:color w:val="auto"/>
        </w:rPr>
      </w:pPr>
      <w:r>
        <w:rPr>
          <w:rFonts w:ascii="Times New Roman" w:cs="Times New Roman" w:eastAsia="Times New Roman" w:hAnsi="Times New Roman"/>
          <w:sz w:val="12"/>
          <w:szCs w:val="12"/>
          <w:color w:val="auto"/>
        </w:rPr>
        <w:t xml:space="preserve">Within 90 days after the occurrence of any default hereunder of which a Responsible Officer of the Trustee has actual written knowledge with respect to the Securities of any particular series, the Trustee for the Securities of such series shall deliver electronically or transmit by mail to all Holders of Securities of that series, as their names and addresses appear in the Security Register for that series or otherwise in accordance with the procedures of the U.S. Depositary, notice of such default hereunder known to such Trustee, unless such default shall have been cured or waived;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except in the case of a default in the payment of the principal of (or premium, if any, on) or interest, if any, on any Security of that series or in the payment of any sinking fund installment with respect to Securities of that series, such Trustee shall be protected in withholding such notice if and so long as it in good faith determines that the withholding of such notice is in the interest of the Holders of Securities of that series;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in the case of any default of the character specified in Section 501(4) with respect to Securities of that series, no such notice to Holders shall be given until at least 30 days after the occurrence thereof. For the purpose of this Section, the term “default” means any event which is, or after notice or lapse of time or both would become, an Event of Default with respect to Securities of that series.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2" w:name="page103"/>
    <w:bookmarkEnd w:id="102"/>
    <w:p>
      <w:pPr>
        <w:ind w:firstLine="439"/>
        <w:spacing w:after="0" w:line="290" w:lineRule="auto"/>
        <w:rPr>
          <w:sz w:val="20"/>
          <w:szCs w:val="20"/>
          <w:color w:val="auto"/>
        </w:rPr>
      </w:pPr>
      <w:r>
        <w:rPr>
          <w:rFonts w:ascii="Times New Roman" w:cs="Times New Roman" w:eastAsia="Times New Roman" w:hAnsi="Times New Roman"/>
          <w:sz w:val="12"/>
          <w:szCs w:val="12"/>
          <w:color w:val="auto"/>
        </w:rPr>
        <w:t>Promptly (and in any event within 5 Business Days) upon the Issuer or any of the Guarantors becoming aware of any default hereunder with respect to the Securities of any particular series, such party is required to deliver to the Trustee a statement specifying such default hereunder and the actions which the Issuer or such Guarantors, as the case may be, propose to take with respect to such default hereunder.</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603.</w:t>
      </w:r>
      <w:r>
        <w:rPr>
          <w:sz w:val="20"/>
          <w:szCs w:val="20"/>
          <w:color w:val="auto"/>
        </w:rPr>
        <w:tab/>
      </w:r>
      <w:r>
        <w:rPr>
          <w:rFonts w:ascii="Times New Roman" w:cs="Times New Roman" w:eastAsia="Times New Roman" w:hAnsi="Times New Roman"/>
          <w:sz w:val="12"/>
          <w:szCs w:val="12"/>
          <w:u w:val="single" w:color="auto"/>
          <w:color w:val="auto"/>
        </w:rPr>
        <w:t>Certain Rights of Trustee</w:t>
      </w:r>
      <w:r>
        <w:rPr>
          <w:rFonts w:ascii="Times New Roman" w:cs="Times New Roman" w:eastAsia="Times New Roman" w:hAnsi="Times New Roman"/>
          <w:sz w:val="12"/>
          <w:szCs w:val="12"/>
          <w:color w:val="auto"/>
        </w:rPr>
        <w:t>. Subject to the provisions of Section 601:</w:t>
      </w:r>
    </w:p>
    <w:p>
      <w:pPr>
        <w:spacing w:after="0" w:line="155" w:lineRule="exact"/>
        <w:rPr>
          <w:sz w:val="20"/>
          <w:szCs w:val="20"/>
          <w:color w:val="auto"/>
        </w:rPr>
      </w:pPr>
    </w:p>
    <w:p>
      <w:pPr>
        <w:ind w:right="20" w:firstLine="432"/>
        <w:spacing w:after="0" w:line="290" w:lineRule="auto"/>
        <w:tabs>
          <w:tab w:leader="none" w:pos="1041"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any series of Securities may conclusively rely and shall be protected in acting or refraining from acting upon any resolution, certificate, statement, instrument, opinion, report, notice, request, direction, electronic instruction, consent, order, bond, debenture, note, other evidence of indebtedness or other paper or document believed by it to be genuine and to have been signed or presented by the proper party or parties;</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66"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request or direction of the Issuer or any Guarantor mentioned herein shall be sufficiently evidenced by a Company Request or Company Order of the Issuer or such Guarantor and any resolution of the Board of Directors may be sufficiently evidenced by a Board Resolution of the Issuer or such Guarantor;</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86"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whenever in the administration of this Indenture such Trustee shall deem it desirable that a matter be proved or established prior to taking, suffering or omitting any action hereunder, such Trustee (unless other evidence be herein specifically prescribed) may, in the absence of bad faith on its part, conclusively rely upon an Officer’s Certificate;</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75"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05" w:lineRule="exact"/>
        <w:rPr>
          <w:rFonts w:ascii="Times New Roman" w:cs="Times New Roman" w:eastAsia="Times New Roman" w:hAnsi="Times New Roman"/>
          <w:sz w:val="12"/>
          <w:szCs w:val="12"/>
          <w:color w:val="010000"/>
        </w:rPr>
      </w:pPr>
    </w:p>
    <w:p>
      <w:pPr>
        <w:jc w:val="both"/>
        <w:ind w:firstLine="432"/>
        <w:spacing w:after="0" w:line="272" w:lineRule="auto"/>
        <w:tabs>
          <w:tab w:leader="none" w:pos="968"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be under no obligation to exercise any of the rights or powers vested in it by this Indenture at the request or direction of any of the Holders of Securities of any series pursuant to this Indenture for which it is acting as Trustee, unless such Holders shall have offered to such Trustee security and/or indemnity, satisfactory to it, against the costs, expenses and liabilities which might be incurred by it in compliance with such request or direction;</w:t>
      </w:r>
    </w:p>
    <w:p>
      <w:pPr>
        <w:spacing w:after="0" w:line="116" w:lineRule="exact"/>
        <w:rPr>
          <w:rFonts w:ascii="Times New Roman" w:cs="Times New Roman" w:eastAsia="Times New Roman" w:hAnsi="Times New Roman"/>
          <w:sz w:val="12"/>
          <w:szCs w:val="12"/>
          <w:color w:val="010000"/>
        </w:rPr>
      </w:pPr>
    </w:p>
    <w:p>
      <w:pPr>
        <w:jc w:val="both"/>
        <w:ind w:firstLine="432"/>
        <w:spacing w:after="0" w:line="266" w:lineRule="auto"/>
        <w:tabs>
          <w:tab w:leader="none" w:pos="1037" w:val="left"/>
        </w:tabs>
        <w:numPr>
          <w:ilvl w:val="0"/>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not be bound to make any investigation into the facts or matters stated in any resolution, certificate, statement, instrument, opinion, report, notice, request, direction, consent, order, bond, debenture, note, other evidence of indebtedness or other paper or document and the delivery of such information shall not constitute actual or constructive knowledge or notice on the part of the Trustee, but such Trustee, in its discretion, may make such further inquiry or investigation into such facts or matters as it may see fit, and, if such Trustee shall determine to make such further inquiry or investigation, it shall be entitled upon reasonable request to examine the books, records and premises of the Issuer, personally or by agent or attorney, at the sole cost of the Issuer and shall incur no liability or additional liability of any kind by reason of such inquiry or investigation;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3" w:name="page104"/>
    <w:bookmarkEnd w:id="103"/>
    <w:p>
      <w:pPr>
        <w:ind w:right="20" w:firstLine="432"/>
        <w:spacing w:after="0" w:line="290" w:lineRule="auto"/>
        <w:tabs>
          <w:tab w:leader="none" w:pos="947"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may execute any of the trusts or powers hereunder or perform any duties hereunder either directly or by or through agents or attorneys and such Trustee shall not be responsible for any misconduct or negligence on the part of any agent or attorney appointed with due care by it hereunder;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shall not be liable for any action taken, suffered, or omitted to be taken by it in good faith and reasonably believed by it to be authorized or within the discretion or rights or powers conferred upon it by</w:t>
      </w:r>
    </w:p>
    <w:p>
      <w:pPr>
        <w:spacing w:after="0" w:line="20"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this Indenture;</w:t>
      </w:r>
    </w:p>
    <w:p>
      <w:pPr>
        <w:spacing w:after="0" w:line="142" w:lineRule="exact"/>
        <w:rPr>
          <w:rFonts w:ascii="Times New Roman" w:cs="Times New Roman" w:eastAsia="Times New Roman" w:hAnsi="Times New Roman"/>
          <w:sz w:val="12"/>
          <w:szCs w:val="12"/>
          <w:color w:val="010000"/>
        </w:rPr>
      </w:pPr>
    </w:p>
    <w:p>
      <w:pPr>
        <w:ind w:right="20" w:firstLine="432"/>
        <w:spacing w:after="0" w:line="290" w:lineRule="auto"/>
        <w:tabs>
          <w:tab w:leader="none" w:pos="957"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2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shall not be deemed to have notice of any default or Event of Default unless a Responsible Officer of the Trustee has actual written knowledge of any event which is in fact such a default is received by the Trustee at the Corporate Trust Office of the Trustee, and such notice references the Securities and this Indenture;</w:t>
      </w:r>
    </w:p>
    <w:p>
      <w:pPr>
        <w:spacing w:after="0" w:line="105" w:lineRule="exact"/>
        <w:rPr>
          <w:rFonts w:ascii="Times New Roman" w:cs="Times New Roman" w:eastAsia="Times New Roman" w:hAnsi="Times New Roman"/>
          <w:sz w:val="12"/>
          <w:szCs w:val="12"/>
          <w:color w:val="010000"/>
        </w:rPr>
      </w:pPr>
    </w:p>
    <w:p>
      <w:pPr>
        <w:ind w:right="20" w:firstLine="432"/>
        <w:spacing w:after="0" w:line="290" w:lineRule="auto"/>
        <w:tabs>
          <w:tab w:leader="none" w:pos="102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05" w:lineRule="exact"/>
        <w:rPr>
          <w:rFonts w:ascii="Times New Roman" w:cs="Times New Roman" w:eastAsia="Times New Roman" w:hAnsi="Times New Roman"/>
          <w:sz w:val="12"/>
          <w:szCs w:val="12"/>
          <w:color w:val="010000"/>
        </w:rPr>
      </w:pPr>
    </w:p>
    <w:p>
      <w:pPr>
        <w:ind w:left="920" w:hanging="488"/>
        <w:spacing w:after="0"/>
        <w:tabs>
          <w:tab w:leader="none" w:pos="92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shall not be required to give any bond or surety in respect of the performance of its powers and duties hereunder;</w:t>
      </w:r>
    </w:p>
    <w:p>
      <w:pPr>
        <w:spacing w:after="0" w:line="154" w:lineRule="exact"/>
        <w:rPr>
          <w:rFonts w:ascii="Times New Roman" w:cs="Times New Roman" w:eastAsia="Times New Roman" w:hAnsi="Times New Roman"/>
          <w:sz w:val="12"/>
          <w:szCs w:val="12"/>
          <w:color w:val="010000"/>
        </w:rPr>
      </w:pPr>
    </w:p>
    <w:p>
      <w:pPr>
        <w:ind w:left="1040" w:hanging="608"/>
        <w:spacing w:after="0"/>
        <w:tabs>
          <w:tab w:leader="none" w:pos="104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may request that any of the Issuer or Guarantors deliver a certificate setting forth the names of individuals and/or titles of officers authorized at such time to take specified actions pursuant to this</w:t>
      </w:r>
    </w:p>
    <w:p>
      <w:pPr>
        <w:spacing w:after="0" w:line="20"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Indenture;</w:t>
      </w:r>
    </w:p>
    <w:p>
      <w:pPr>
        <w:spacing w:after="0" w:line="142" w:lineRule="exact"/>
        <w:rPr>
          <w:rFonts w:ascii="Times New Roman" w:cs="Times New Roman" w:eastAsia="Times New Roman" w:hAnsi="Times New Roman"/>
          <w:sz w:val="12"/>
          <w:szCs w:val="12"/>
          <w:color w:val="010000"/>
        </w:rPr>
      </w:pPr>
    </w:p>
    <w:p>
      <w:pPr>
        <w:ind w:right="20" w:firstLine="432"/>
        <w:spacing w:after="0" w:line="290" w:lineRule="auto"/>
        <w:tabs>
          <w:tab w:leader="none" w:pos="102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permissive rights of the Trustee to do things enumerated in this Indenture shall not be construed as a duty and, with respect to such permissive rights, the Trustee shall not be answerable other than for its negligence or willful misconduct;</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56"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may refrain from taking any action in any jurisdiction if the taking of such action in that jurisdiction would, in its opinion based upon legal advice in the relevant jurisdiction, be contrary to any law of that jurisdiction or, to the extent applicable, the State of New York;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4" w:name="page105"/>
    <w:bookmarkEnd w:id="104"/>
    <w:p>
      <w:pPr>
        <w:jc w:val="both"/>
        <w:ind w:firstLine="432"/>
        <w:spacing w:after="0" w:line="272" w:lineRule="auto"/>
        <w:tabs>
          <w:tab w:leader="none" w:pos="947"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Trustee receives inconsistent or conflicting requests and security and/or indemnity from two or more groups of Holders, each representing less than the requisite majority in aggregate principal amount of the Securities of any series then outstanding, pursuant to the provisions of this Indenture, the Trustee for any series of Securities, in its sole discretion, may determine what action, if any, shall be taken and shall be held harmless and shall not incur any liability for its failure to act until such inconsistency or conflict is, in its opinion, resolved;</w:t>
      </w:r>
    </w:p>
    <w:p>
      <w:pPr>
        <w:spacing w:after="0" w:line="116" w:lineRule="exact"/>
        <w:rPr>
          <w:rFonts w:ascii="Times New Roman" w:cs="Times New Roman" w:eastAsia="Times New Roman" w:hAnsi="Times New Roman"/>
          <w:sz w:val="12"/>
          <w:szCs w:val="12"/>
          <w:color w:val="010000"/>
        </w:rPr>
      </w:pPr>
    </w:p>
    <w:p>
      <w:pPr>
        <w:jc w:val="both"/>
        <w:ind w:firstLine="432"/>
        <w:spacing w:after="0" w:line="272" w:lineRule="auto"/>
        <w:tabs>
          <w:tab w:leader="none" w:pos="947"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shall not have any obligation or duty to monitor, determine or inquire as to compliance, and shall not be responsible or liable for compliance with restrictions on transfer, exchange, redemption, sinking fund payments, purchase or repurchase, as applicable, of minimum denominations imposed under this Indenture or under applicable law or regulation with respect to any transfer, exchange, redemption, sinking fund payments, purchase or repurchase, as applicable, of any interest in any Securities;</w:t>
      </w:r>
    </w:p>
    <w:p>
      <w:pPr>
        <w:spacing w:after="0" w:line="116" w:lineRule="exact"/>
        <w:rPr>
          <w:rFonts w:ascii="Times New Roman" w:cs="Times New Roman" w:eastAsia="Times New Roman" w:hAnsi="Times New Roman"/>
          <w:sz w:val="12"/>
          <w:szCs w:val="12"/>
          <w:color w:val="010000"/>
        </w:rPr>
      </w:pPr>
    </w:p>
    <w:p>
      <w:pPr>
        <w:ind w:firstLine="432"/>
        <w:spacing w:after="0" w:line="290" w:lineRule="auto"/>
        <w:tabs>
          <w:tab w:leader="none" w:pos="954"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may assume without inquiry in the absence of actual knowledge that the Issuer and any Guarantors are each duly complying with their respective obligations contained in this Indenture required to be performed and observed by them, and that no Default or Event of Default or other event which would require repayment of any series of Securities has occurred; and</w:t>
      </w:r>
    </w:p>
    <w:p>
      <w:pPr>
        <w:spacing w:after="0" w:line="105" w:lineRule="exact"/>
        <w:rPr>
          <w:rFonts w:ascii="Times New Roman" w:cs="Times New Roman" w:eastAsia="Times New Roman" w:hAnsi="Times New Roman"/>
          <w:sz w:val="12"/>
          <w:szCs w:val="12"/>
          <w:color w:val="010000"/>
        </w:rPr>
      </w:pPr>
    </w:p>
    <w:p>
      <w:pPr>
        <w:jc w:val="both"/>
        <w:ind w:firstLine="432"/>
        <w:spacing w:after="0" w:line="272" w:lineRule="auto"/>
        <w:tabs>
          <w:tab w:leader="none" w:pos="998"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pandemic, epidemic, any act of terrorism, or the unavailability of the Federal Reserve Bank wire or facsimile or other wire or communication facility).</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604.</w:t>
      </w:r>
      <w:r>
        <w:rPr>
          <w:sz w:val="20"/>
          <w:szCs w:val="20"/>
          <w:color w:val="auto"/>
        </w:rPr>
        <w:tab/>
      </w:r>
      <w:r>
        <w:rPr>
          <w:rFonts w:ascii="Times New Roman" w:cs="Times New Roman" w:eastAsia="Times New Roman" w:hAnsi="Times New Roman"/>
          <w:sz w:val="12"/>
          <w:szCs w:val="12"/>
          <w:u w:val="single" w:color="auto"/>
          <w:color w:val="auto"/>
        </w:rPr>
        <w:t>Not Responsible for Recitals or Issuance of Securities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The recitals contained herein and in the Securities, except the Trustee’s certificates of authentication, shall be taken as the statements of the Issuer and the Guarantors, and neither the Trustee for any series of Securities nor any Authenticating Agent assumes any responsibility for their correctness. The Trustee for any series of Securities makes no representations as to the validity or sufficiency of this Indenture or of the Securities or the Guarantees. Neither the Trustee for any series of Securities nor any Authenticating Agent shall be accountable for the use or application by the Issuer of Securities or the proceeds thereof.</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605.</w:t>
      </w:r>
      <w:r>
        <w:rPr>
          <w:sz w:val="20"/>
          <w:szCs w:val="20"/>
          <w:color w:val="auto"/>
        </w:rPr>
        <w:tab/>
      </w:r>
      <w:r>
        <w:rPr>
          <w:rFonts w:ascii="Times New Roman" w:cs="Times New Roman" w:eastAsia="Times New Roman" w:hAnsi="Times New Roman"/>
          <w:sz w:val="12"/>
          <w:szCs w:val="12"/>
          <w:u w:val="single" w:color="auto"/>
          <w:color w:val="auto"/>
        </w:rPr>
        <w:t>May Hold Securities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The Trustee for any series of Securities, any Authenticating Agent, any Paying Agent, any Calculation Agent, any Security Registrar or any other agent of the Issuer, the Guarantors or such Trustee, in its individual or any other capacity, may become the owner or pledgee of Securities and, subject to Sections 608 and 613, may otherwise deal with the Issuer or the Guarantors with the same rights it would have if it were not such Trustee, Authenticating Agent, Paying Agent, Calculation Agent, Security Registrar or such other agent.</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606.</w:t>
      </w:r>
      <w:r>
        <w:rPr>
          <w:sz w:val="20"/>
          <w:szCs w:val="20"/>
          <w:color w:val="auto"/>
        </w:rPr>
        <w:tab/>
      </w:r>
      <w:r>
        <w:rPr>
          <w:rFonts w:ascii="Times New Roman" w:cs="Times New Roman" w:eastAsia="Times New Roman" w:hAnsi="Times New Roman"/>
          <w:sz w:val="11"/>
          <w:szCs w:val="11"/>
          <w:u w:val="single" w:color="auto"/>
          <w:color w:val="auto"/>
        </w:rPr>
        <w:t>Money Held in Trust</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Money held by the Trustee for any series of Securities in trust hereunder need not be segregated from other funds except to the extent required by law. The Trustee for any series of Securities shall be under no liability for interest on any money received by it hereunder except as otherwise agreed in writing with the Issuer or the Guarantors.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5" w:name="page106"/>
    <w:bookmarkEnd w:id="105"/>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607.</w:t>
      </w:r>
      <w:r>
        <w:rPr>
          <w:sz w:val="20"/>
          <w:szCs w:val="20"/>
          <w:color w:val="auto"/>
        </w:rPr>
        <w:tab/>
      </w:r>
      <w:r>
        <w:rPr>
          <w:rFonts w:ascii="Times New Roman" w:cs="Times New Roman" w:eastAsia="Times New Roman" w:hAnsi="Times New Roman"/>
          <w:sz w:val="12"/>
          <w:szCs w:val="12"/>
          <w:u w:val="single" w:color="auto"/>
          <w:color w:val="auto"/>
        </w:rPr>
        <w:t>Compensation and Reimbursement</w:t>
      </w:r>
      <w:r>
        <w:rPr>
          <w:rFonts w:ascii="Times New Roman" w:cs="Times New Roman" w:eastAsia="Times New Roman" w:hAnsi="Times New Roman"/>
          <w:sz w:val="12"/>
          <w:szCs w:val="12"/>
          <w:color w:val="auto"/>
        </w:rPr>
        <w:t>. The Issuer and Guarantors, jointly and severally, agree:</w:t>
      </w:r>
    </w:p>
    <w:p>
      <w:pPr>
        <w:spacing w:after="0" w:line="155" w:lineRule="exact"/>
        <w:rPr>
          <w:sz w:val="20"/>
          <w:szCs w:val="20"/>
          <w:color w:val="auto"/>
        </w:rPr>
      </w:pPr>
    </w:p>
    <w:p>
      <w:pPr>
        <w:ind w:left="440" w:right="20" w:firstLine="432"/>
        <w:spacing w:after="0" w:line="290" w:lineRule="auto"/>
        <w:tabs>
          <w:tab w:leader="none" w:pos="1354" w:val="left"/>
        </w:tabs>
        <w:numPr>
          <w:ilvl w:val="0"/>
          <w:numId w:val="7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pay to the Trustee for any series of Securities from time to time such compensation for all services rendered by it hereunder as shall be agreed upon in writing from time to time by the Issuer and such Trustee (which compensation shall not be limited by any provision of law in regard to the compensation of a trustee of an express trust);</w:t>
      </w:r>
    </w:p>
    <w:p>
      <w:pPr>
        <w:spacing w:after="0" w:line="105" w:lineRule="exact"/>
        <w:rPr>
          <w:rFonts w:ascii="Times New Roman" w:cs="Times New Roman" w:eastAsia="Times New Roman" w:hAnsi="Times New Roman"/>
          <w:sz w:val="12"/>
          <w:szCs w:val="12"/>
          <w:color w:val="010000"/>
        </w:rPr>
      </w:pPr>
    </w:p>
    <w:p>
      <w:pPr>
        <w:jc w:val="both"/>
        <w:ind w:left="440" w:firstLine="432"/>
        <w:spacing w:after="0" w:line="272" w:lineRule="auto"/>
        <w:tabs>
          <w:tab w:leader="none" w:pos="1369" w:val="left"/>
        </w:tabs>
        <w:numPr>
          <w:ilvl w:val="0"/>
          <w:numId w:val="7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as otherwise expressly provided herein, to reimburse the Trustee for any series of Securities upon its request for all expenses, disbursements and advances incurred or made by such Trustee in accordance with any provision of this Indenture (including the reasonable compensation and the reasonable expenses and disbursements of its agents and counsel), except any such expense, disbursement or advance as may be attributable to its own negligence or willful misconduct or the negligence or willful misconduct of its officers, directors, employees or agents as adjudicated by a court of competent jurisdiction; and</w:t>
      </w:r>
    </w:p>
    <w:p>
      <w:pPr>
        <w:spacing w:after="0" w:line="116" w:lineRule="exact"/>
        <w:rPr>
          <w:rFonts w:ascii="Times New Roman" w:cs="Times New Roman" w:eastAsia="Times New Roman" w:hAnsi="Times New Roman"/>
          <w:sz w:val="12"/>
          <w:szCs w:val="12"/>
          <w:color w:val="010000"/>
        </w:rPr>
      </w:pPr>
    </w:p>
    <w:p>
      <w:pPr>
        <w:jc w:val="both"/>
        <w:ind w:left="440" w:firstLine="432"/>
        <w:spacing w:after="0" w:line="266" w:lineRule="auto"/>
        <w:tabs>
          <w:tab w:leader="none" w:pos="1305" w:val="left"/>
        </w:tabs>
        <w:numPr>
          <w:ilvl w:val="0"/>
          <w:numId w:val="7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indemnify such Trustee (which for purposes of this Section 607(3) shall include its officers, directors, employees and agents) for, and to hold it harmless against, any and all loss, liability, damage, claim or expense (including taxes other than taxes based on the income of the Trustee) incurred without negligence or willful misconduct on its part or on the part of its officers, directors, employees or agents, arising out of or in connection with the acceptance or administration of this trust or trusts hereunder, including the costs and expenses of defending itself against any claim (whether asserted by the Issuer, the Guarantors, a Holder or any other Person) and enforcement of this Indenture (including this Section) or liability in connection with the exercise or performance of any of its powers or duties hereunder.</w:t>
      </w:r>
    </w:p>
    <w:p>
      <w:pPr>
        <w:spacing w:after="0" w:line="120"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2"/>
          <w:szCs w:val="12"/>
          <w:color w:val="auto"/>
        </w:rPr>
        <w:t>The Trustee for any series of Securities shall have a lien prior to the Securities as to all property and funds held by such Trustee hereunder for any amount owing it or any predecessor Trustee pursuant to this Section 607, except with respect to funds held in trust for the benefit of the Holders of such particular Securities.</w:t>
      </w:r>
    </w:p>
    <w:p>
      <w:pPr>
        <w:spacing w:after="0" w:line="106"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2"/>
          <w:szCs w:val="12"/>
          <w:color w:val="auto"/>
        </w:rPr>
        <w:t>When the Trustee for any series of Securities incurs expenses or renders services in connection with an Event of Default specified in Section 501(5) or Section 501(6),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provisions of this Section shall survive the termination of this Indenture and the resignation or removal of the Trustee.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804" w:right="299" w:bottom="1440" w:gutter="0" w:footer="0" w:header="0"/>
        </w:sectPr>
      </w:pPr>
    </w:p>
    <w:bookmarkStart w:id="106" w:name="page107"/>
    <w:bookmarkEnd w:id="106"/>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608.</w:t>
      </w:r>
      <w:r>
        <w:rPr>
          <w:sz w:val="20"/>
          <w:szCs w:val="20"/>
          <w:color w:val="auto"/>
        </w:rPr>
        <w:tab/>
      </w:r>
      <w:r>
        <w:rPr>
          <w:rFonts w:ascii="Times New Roman" w:cs="Times New Roman" w:eastAsia="Times New Roman" w:hAnsi="Times New Roman"/>
          <w:sz w:val="12"/>
          <w:szCs w:val="12"/>
          <w:u w:val="single" w:color="auto"/>
          <w:color w:val="auto"/>
        </w:rPr>
        <w:t>Disqualification; Conflicting Interests.</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If the Trustee for any series of Securities has or shall acquire a conflicting interest within the meaning of the Trust Indenture Act, such Trustee shall either eliminate such interest or resign, to the extent and in the manner provided by, and subject to the provisions of, the Trust Indenture Act and this Indenture. In determining whether such Trustee has a conflicting interest as defined in Section 310(b) of the Trust Indenture Act with respect to the Securities of any series, there shall be excluded Securities of any particular series of Securities other than that series.</w:t>
      </w:r>
    </w:p>
    <w:p>
      <w:pPr>
        <w:spacing w:after="0" w:line="117"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609.</w:t>
      </w:r>
      <w:r>
        <w:rPr>
          <w:sz w:val="20"/>
          <w:szCs w:val="20"/>
          <w:color w:val="auto"/>
        </w:rPr>
        <w:tab/>
      </w:r>
      <w:r>
        <w:rPr>
          <w:rFonts w:ascii="Times New Roman" w:cs="Times New Roman" w:eastAsia="Times New Roman" w:hAnsi="Times New Roman"/>
          <w:sz w:val="12"/>
          <w:szCs w:val="12"/>
          <w:u w:val="single" w:color="auto"/>
          <w:color w:val="auto"/>
        </w:rPr>
        <w:t>Corporate Trustee Required; Different Trustees for Different Series; Eligibility</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There shall at all times be a Trustee hereunder for each series of Securities which shall be a corporation or bank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or bank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such Trustee shall cease to be eligible in accordance with the provisions of this Section, it shall resign immediately in the manner and with the effect hereinafter specified in this Article Six.</w:t>
      </w:r>
    </w:p>
    <w:p>
      <w:pPr>
        <w:spacing w:after="0" w:line="122"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A different Trustee may be appointed by the Issuer for each series of Securities prior to the issuance of such Securities. If the initial Trustee for any series of Securities is to be other than Deutsche Bank Trust Company Americas, the Issuer and such Trustee shall, prior to the issuance of such Securities, execute and deliver an indenture supplemental hereto, which shall provide for the appointment of such Trustee as Trustee for the Securities of such series and shall add to or change any of the provisions of this Indenture as shall be necessary to facilitate the administration of the trusts hereunder by more than one Trustee, it being understood that nothing herein or in such supplemental indenture shall constitute such Trustees to be co-trustees of the same trust and that each such Trustee shall be trustee of a trust or trusts hereunder separate and apart from any trust or trusts hereunder administered by any other such Trustee. For the avoidance of doubt, in no case shall Deutsche Bank Trust Company Americas be liable for any actions or inactions of any other Trustee for any series of Securities under this Indenture.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trustee hereunder shall be personally liable by reason of any act or omission of any other trustee hereunder.</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610.</w:t>
      </w:r>
      <w:r>
        <w:rPr>
          <w:sz w:val="20"/>
          <w:szCs w:val="20"/>
          <w:color w:val="auto"/>
        </w:rPr>
        <w:tab/>
      </w:r>
      <w:r>
        <w:rPr>
          <w:rFonts w:ascii="Times New Roman" w:cs="Times New Roman" w:eastAsia="Times New Roman" w:hAnsi="Times New Roman"/>
          <w:sz w:val="12"/>
          <w:szCs w:val="12"/>
          <w:u w:val="single" w:color="auto"/>
          <w:color w:val="auto"/>
        </w:rPr>
        <w:t>Resignation and Removal; Appointment of Successor</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firstLine="432"/>
        <w:spacing w:after="0" w:line="290" w:lineRule="auto"/>
        <w:tabs>
          <w:tab w:leader="none" w:pos="986" w:val="left"/>
        </w:tabs>
        <w:numPr>
          <w:ilvl w:val="0"/>
          <w:numId w:val="7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resignation or removal of the Trustee for the Securities of any series and no appointment of a successor Trustee pursuant to this Article Six shall become effective until the acceptance of appointment by the successor Trustee in accordance with the applicable requirements of Section 611.</w:t>
      </w:r>
    </w:p>
    <w:p>
      <w:pPr>
        <w:spacing w:after="0" w:line="105" w:lineRule="exact"/>
        <w:rPr>
          <w:rFonts w:ascii="Times New Roman" w:cs="Times New Roman" w:eastAsia="Times New Roman" w:hAnsi="Times New Roman"/>
          <w:sz w:val="12"/>
          <w:szCs w:val="12"/>
          <w:color w:val="010000"/>
        </w:rPr>
      </w:pPr>
    </w:p>
    <w:p>
      <w:pPr>
        <w:jc w:val="both"/>
        <w:ind w:firstLine="432"/>
        <w:spacing w:after="0" w:line="272" w:lineRule="auto"/>
        <w:tabs>
          <w:tab w:leader="none" w:pos="944" w:val="left"/>
        </w:tabs>
        <w:numPr>
          <w:ilvl w:val="0"/>
          <w:numId w:val="7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the Securities of any series may resign at any time with respect to the Securities of such series by giving written notice thereof to the Issuer. If the instrument of acceptance by a successor Trustee required by Section 611 shall not have been delivered to the Trustee for the Securities of such series within 30 days after the giving of such notice of resignation, the resigning Trustee may petition, at the expense of the Issuer, any court of competent jurisdiction for the appointment of a successor Trustee with respect to the Securities of such series.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7" w:name="page108"/>
    <w:bookmarkEnd w:id="107"/>
    <w:p>
      <w:pPr>
        <w:ind w:right="20" w:firstLine="432"/>
        <w:spacing w:after="0" w:line="290" w:lineRule="auto"/>
        <w:tabs>
          <w:tab w:leader="none" w:pos="940" w:val="left"/>
        </w:tabs>
        <w:numPr>
          <w:ilvl w:val="0"/>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the Securities of any series may be removed at any time with respect to the Securities of such series by Act of the Holders of a majority in aggregate principal amount of the Outstanding Securities of such series, delivered to such Trustee and to the Issuer.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at any time:</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15" w:val="left"/>
        </w:tabs>
        <w:numPr>
          <w:ilvl w:val="1"/>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the Securities of any series shall fail to comply with Section 608 after written request thereof by the Issuer or by any Holder who has been a bona fide Holder of a Security of such series for at least six months; or</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1"/>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cease to be eligible under Section 609 and shall fail to resign after written request therefor by the Issuer or by any such Holder; or</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387" w:val="left"/>
        </w:tabs>
        <w:numPr>
          <w:ilvl w:val="1"/>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such Trustee shall become incapable of acting or shall be adjudged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then, in any such case, (i) the Issuer by a Board Resolution may remove such Trustee and appoint a successor Trustee, or (ii) subject to Section 514, any Holder who has been a bona fide Holder of a Security of such series for at least six months may, on behalf of himself and all others similarly situated, petition any court of competent jurisdiction for the removal of such Trustee and the appointment of a successor Trustee or Trustees. If the instrument of acceptance by a successor Trustee required by Section 611 shall not have been delivered to the Trustee for the Securities of such series within 30 days after the giving of such notice of removal, the Trustee being removed may petition, at the expense of the Issuer, any court of competent jurisdiction for the appointment of a successor Trustee with respect to the Securities of such series.</w:t>
      </w:r>
    </w:p>
    <w:p>
      <w:pPr>
        <w:spacing w:after="0" w:line="120" w:lineRule="exact"/>
        <w:rPr>
          <w:sz w:val="20"/>
          <w:szCs w:val="20"/>
          <w:color w:val="auto"/>
        </w:rPr>
      </w:pPr>
    </w:p>
    <w:p>
      <w:pPr>
        <w:jc w:val="both"/>
        <w:ind w:firstLine="432"/>
        <w:spacing w:after="0" w:line="261" w:lineRule="auto"/>
        <w:tabs>
          <w:tab w:leader="none" w:pos="940" w:val="left"/>
        </w:tabs>
        <w:numPr>
          <w:ilvl w:val="0"/>
          <w:numId w:val="8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Trustee for the Securities of any series shall resign, be removed or become incapable of acting, or if a vacancy shall occur in the office of Trustee for the Securities of any series for any cause, the Issuer, by a Board Resolution, shall promptly appoint a successor Trustee with respect to the Securities of such series and shall comply with the applicable requirements of Section 611. If, within 30 days after such resignation, removal or incapability, or the occurrence of such vacancy, a successor Trustee with respect to the Securities of such series shall not have been appointed by the Issuer pursuant to this Section 610, then a successor Trustee may be appointed by Act of the Holders of a majority in principal amount of the Outstanding Securities of such series delivered to the Issuer and the retiring Trustee. If no successor Trustee for the Securities of such series shall have been so appointed by the Issuer or the Holders and shall have accepted appointment in the manner required by Section 611, and if such Trustee to be replaced is still incapable of acting,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24" w:lineRule="exact"/>
        <w:rPr>
          <w:rFonts w:ascii="Times New Roman" w:cs="Times New Roman" w:eastAsia="Times New Roman" w:hAnsi="Times New Roman"/>
          <w:sz w:val="12"/>
          <w:szCs w:val="12"/>
          <w:color w:val="010000"/>
        </w:rPr>
      </w:pPr>
    </w:p>
    <w:p>
      <w:pPr>
        <w:jc w:val="both"/>
        <w:ind w:firstLine="432"/>
        <w:spacing w:after="0" w:line="266" w:lineRule="auto"/>
        <w:tabs>
          <w:tab w:leader="none" w:pos="945" w:val="left"/>
        </w:tabs>
        <w:numPr>
          <w:ilvl w:val="0"/>
          <w:numId w:val="8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shall give notice of each resignation and each removal of the Trustee with respect to the Securities of any series and each appointment of a successor Trustee with respect to the Securities of any series by delivering electronically or mailing written notice of such event by first-class mail, postage prepaid, to all Holders of Securities of such series as their names and addresses appear in the Security Register or otherwise in accordance with the procedures of the U.S. Depositary. Each notice shall include the name of the successor Trustee with respect to the Securities of that series and the address of its Corporate Trust Office. The Trustee shall have no liability for the actions or inactions of the successor Trustee.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8" w:name="page109"/>
    <w:bookmarkEnd w:id="108"/>
    <w:p>
      <w:pPr>
        <w:ind w:left="440"/>
        <w:spacing w:after="0"/>
        <w:tabs>
          <w:tab w:leader="none" w:pos="1340" w:val="left"/>
        </w:tabs>
        <w:rPr>
          <w:sz w:val="20"/>
          <w:szCs w:val="20"/>
          <w:color w:val="auto"/>
        </w:rPr>
      </w:pPr>
      <w:r>
        <w:rPr>
          <w:rFonts w:ascii="Times New Roman" w:cs="Times New Roman" w:eastAsia="Times New Roman" w:hAnsi="Times New Roman"/>
          <w:sz w:val="12"/>
          <w:szCs w:val="12"/>
          <w:color w:val="010000"/>
        </w:rPr>
        <w:t>SECTION 611.</w:t>
      </w:r>
      <w:r>
        <w:rPr>
          <w:sz w:val="20"/>
          <w:szCs w:val="20"/>
          <w:color w:val="auto"/>
        </w:rPr>
        <w:tab/>
      </w:r>
      <w:r>
        <w:rPr>
          <w:rFonts w:ascii="Times New Roman" w:cs="Times New Roman" w:eastAsia="Times New Roman" w:hAnsi="Times New Roman"/>
          <w:sz w:val="12"/>
          <w:szCs w:val="12"/>
          <w:u w:val="single" w:color="auto"/>
          <w:color w:val="auto"/>
        </w:rPr>
        <w:t>Acceptance of Appointment by Successor</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63" w:lineRule="auto"/>
        <w:tabs>
          <w:tab w:leader="none" w:pos="968" w:val="left"/>
        </w:tabs>
        <w:numPr>
          <w:ilvl w:val="0"/>
          <w:numId w:val="8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Every such successor Trustee appointed hereunder with respect to the Securities of any series shall execute, acknowledge and deliver to the Issuer, the Guarantors and the retiring Trustee an instrument accepting such appointment and acknowledgement that it will be holding and exercising the lien provided in Section 607 for the benefit of the claims of the predecessor Trustee,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any Guarantor or the successor Trustee, such retiring Trustee shall, upon receipt of payment of its fees and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22" w:lineRule="exact"/>
        <w:rPr>
          <w:rFonts w:ascii="Times New Roman" w:cs="Times New Roman" w:eastAsia="Times New Roman" w:hAnsi="Times New Roman"/>
          <w:sz w:val="12"/>
          <w:szCs w:val="12"/>
          <w:color w:val="010000"/>
        </w:rPr>
      </w:pPr>
    </w:p>
    <w:p>
      <w:pPr>
        <w:jc w:val="both"/>
        <w:ind w:firstLine="432"/>
        <w:spacing w:after="0" w:line="258" w:lineRule="auto"/>
        <w:tabs>
          <w:tab w:leader="none" w:pos="947" w:val="left"/>
        </w:tabs>
        <w:numPr>
          <w:ilvl w:val="0"/>
          <w:numId w:val="8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case of the appointment hereunder of a successor Trustee with respect to the Securities of one or more (but not all) series, the applicable Issuer, the applicable Guarantors, the retiring Trustee and each successor Trustee with respect to the Securities of one or more series shall execute and deliver one or more indentures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each such Trustee shall be trustee of a trust or trusts hereunder separate and apart from any trust or trusts hereunder administered by any other such Trustee; and upon the execution and delivery of such supplemental indentures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applicable Issuer, the applicable Guarantors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09" w:name="page110"/>
    <w:bookmarkEnd w:id="109"/>
    <w:p>
      <w:pPr>
        <w:ind w:right="20" w:firstLine="432"/>
        <w:spacing w:after="0" w:line="290" w:lineRule="auto"/>
        <w:tabs>
          <w:tab w:leader="none" w:pos="1004" w:val="left"/>
        </w:tabs>
        <w:numPr>
          <w:ilvl w:val="0"/>
          <w:numId w:val="8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Upon request of any such successor Trustee, the Issuer and the Guarantors of each applicable series of Securities shall execute any and all instruments for more fully and certainly vesting in and confirming to such successor Trustee all such rights, powers, and trusts referred to in paragraph (a) or (b) of this Section, as the case may be.</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8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successor Trustee shall accept its appointment unless at the time of such acceptance such successor Trustee for the Securities of any series shall be qualified and eligible under this Article Six.</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612.</w:t>
      </w:r>
      <w:r>
        <w:rPr>
          <w:sz w:val="20"/>
          <w:szCs w:val="20"/>
          <w:color w:val="auto"/>
        </w:rPr>
        <w:tab/>
      </w:r>
      <w:r>
        <w:rPr>
          <w:rFonts w:ascii="Times New Roman" w:cs="Times New Roman" w:eastAsia="Times New Roman" w:hAnsi="Times New Roman"/>
          <w:sz w:val="12"/>
          <w:szCs w:val="12"/>
          <w:u w:val="single" w:color="auto"/>
          <w:color w:val="auto"/>
        </w:rPr>
        <w:t>Merger, Conversion, Consolidation or Succession to Business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Any corporation into which the Trustee for the Securities of any series may be merged or converted or with which it may be consolidated, or any corporation resulting from any merger, conversion or consolidation to which such Trustee shall be a party, or any corporation succeeding to all or substantially all of the corporate trust business of such Trustee, shall be the successor of such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or the Authenticating Agent for such series then in office, any successor by merger, conversion or consolidation to such authenticating Trustee or Authenticating Agent, as the case may be, may adopt such authentication and deliver the Securities so authenticated with the same effect as if such successor Trustee or successor Authenticating Agent had itself authenticated such Securities.</w:t>
      </w:r>
    </w:p>
    <w:p>
      <w:pPr>
        <w:spacing w:after="0" w:line="122"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613.</w:t>
      </w:r>
      <w:r>
        <w:rPr>
          <w:sz w:val="20"/>
          <w:szCs w:val="20"/>
          <w:color w:val="auto"/>
        </w:rPr>
        <w:tab/>
      </w:r>
      <w:r>
        <w:rPr>
          <w:rFonts w:ascii="Times New Roman" w:cs="Times New Roman" w:eastAsia="Times New Roman" w:hAnsi="Times New Roman"/>
          <w:sz w:val="12"/>
          <w:szCs w:val="12"/>
          <w:u w:val="single" w:color="auto"/>
          <w:color w:val="auto"/>
        </w:rPr>
        <w:t>Preferential Collection of Claims Against the Issuer or a Guarantor</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If and when the Trustee of any series of Securities shall be or become a creditor of the Issuer or any Guarantor (or any other obligor upon the Securities), such Trustee shall be subject to the provisions of the Trust Indenture Act regarding the collection of claims against the Issuer or any such Guarantor (or any such other obligor).</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614.</w:t>
      </w:r>
      <w:r>
        <w:rPr>
          <w:sz w:val="20"/>
          <w:szCs w:val="20"/>
          <w:color w:val="auto"/>
        </w:rPr>
        <w:tab/>
      </w:r>
      <w:r>
        <w:rPr>
          <w:rFonts w:ascii="Times New Roman" w:cs="Times New Roman" w:eastAsia="Times New Roman" w:hAnsi="Times New Roman"/>
          <w:sz w:val="12"/>
          <w:szCs w:val="12"/>
          <w:u w:val="single" w:color="auto"/>
          <w:color w:val="auto"/>
        </w:rPr>
        <w:t>Authenticating Agents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58" w:lineRule="auto"/>
        <w:rPr>
          <w:sz w:val="20"/>
          <w:szCs w:val="20"/>
          <w:color w:val="auto"/>
        </w:rPr>
      </w:pPr>
      <w:r>
        <w:rPr>
          <w:rFonts w:ascii="Times New Roman" w:cs="Times New Roman" w:eastAsia="Times New Roman" w:hAnsi="Times New Roman"/>
          <w:sz w:val="12"/>
          <w:szCs w:val="12"/>
          <w:color w:val="auto"/>
        </w:rPr>
        <w:t>From time to time the Trustee of any series of Securities, in its sole discretion, may appoint one or more Authenticating Agents with respect to the Securities of such series, which may include the Issuer, any of the Guarantors or any Affiliate of the Issuer or the Guarantors, with power to act on the Trustee’s behalf and subject to its discretion in the authentication and delivery of Securities of such series or in connection with transfers and exchanges under Sections 304, 305, 306 and 1107 as fully to all intents and purposes as though such Authenticating Agent had been expressly authorized by those Sections of this Indenture to authenticate and deliver Securities of such series. For all purposes of this Indenture, the authentication and delivery of Securities of such series by an Authenticating Agent for such Securities pursuant to this Section shall be deemed to be authentication and delivery of such Securities “</w:t>
      </w:r>
      <w:r>
        <w:rPr>
          <w:rFonts w:ascii="Times New Roman" w:cs="Times New Roman" w:eastAsia="Times New Roman" w:hAnsi="Times New Roman"/>
          <w:sz w:val="12"/>
          <w:szCs w:val="12"/>
          <w:u w:val="single" w:color="auto"/>
          <w:color w:val="auto"/>
        </w:rPr>
        <w:t>by the Trustee</w:t>
      </w:r>
      <w:r>
        <w:rPr>
          <w:rFonts w:ascii="Times New Roman" w:cs="Times New Roman" w:eastAsia="Times New Roman" w:hAnsi="Times New Roman"/>
          <w:sz w:val="12"/>
          <w:szCs w:val="12"/>
          <w:color w:val="auto"/>
        </w:rPr>
        <w:t>” for the Securities of such series. Any such Authenticating Agent shall be reasonably acceptable to the Issuer and shall at all times be a corporation organized and doing business under the laws of the United States, any State thereof or the District of Columbia, authorized under such laws to exercise corporate trust powers, having a combined capital and surplus of at least $25,000,000 and, if other than the Issuer, any of the Guarantors or any Affiliate of the Issuer or the Guarantors, subject to supervision or examination by federal, state or District of Columbia authority. If such corporation publishes reports of condition at least annually pursuant to law or the requirements of such authority, then for the purposes of this Section the combined capital and surplus of such corporation shall be deemed to be its combined capital and surplus as set forth in its most recent report of condition so published. If at any time an Authenticating Agent for any series of Securities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0" w:name="page111"/>
    <w:bookmarkEnd w:id="110"/>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Any corporation into which any Authenticating Agent may be merged or with which it may be consolidated, or any corporation resulting from any merger or consolidation or to which any Authenticating Agent shall be a party, or any corporation succeeding to all or substantially all the corporate trust business of any Authenticating Agent, shall be the successor of such Authenticating Agent hereunder, if such successor corporation is otherwise eligible under this Section, without the execution or filing of any paper or any further act on the part of the parties hereto or the Authenticating Agent or such successor corporation.</w:t>
      </w:r>
    </w:p>
    <w:p>
      <w:pPr>
        <w:spacing w:after="0" w:line="117"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Any Authenticating Agent for any series of Securities may resign at any time by giving written notice of resignation to the Trustee for such series and to the Issuer. The Trustee for any series of Securities may at any time terminate the agency of any Authenticating Agent for such series by giving written notice of termination to such Authenticating Agent and to the Issuer. Upon receiving such a notice of resignation or upon such a termination, or in case at any time any Authenticating Agent for any series of Securities shall cease to be eligible under this Section, the Trustee for such series may appoint a successor Authenticating Agent, which shall be acceptable to the Issuer, shall give written notice of such appointment to the Issuer and shall give written notice of such appointment to all Holders of Securities of such series with respect to which such Authenticating Agent will serve, as the names and addresses of such Holders appear on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Issuer agrees to pay to the Authenticating Agent for such series from time to time reasonable compensation for its services under this Section 614.</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an appointment with respect to one or more series of Securities is made pursuant to this Section, the Securities of such series may have endorsed thereon, in addition to the Trustee’s certificate of authentication, an alternate certificate of authentication in the following form:</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therein referred to in the within-mentioned Indenture.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1" w:name="page112"/>
    <w:bookmarkEnd w:id="111"/>
    <w:p>
      <w:pPr>
        <w:spacing w:after="0"/>
        <w:tabs>
          <w:tab w:leader="none" w:pos="5620" w:val="left"/>
        </w:tabs>
        <w:rPr>
          <w:sz w:val="20"/>
          <w:szCs w:val="20"/>
          <w:color w:val="auto"/>
        </w:rPr>
      </w:pPr>
      <w:r>
        <w:rPr>
          <w:rFonts w:ascii="Times New Roman" w:cs="Times New Roman" w:eastAsia="Times New Roman" w:hAnsi="Times New Roman"/>
          <w:sz w:val="12"/>
          <w:szCs w:val="12"/>
          <w:color w:val="auto"/>
        </w:rPr>
        <w:t>Date: _______________</w:t>
      </w:r>
      <w:r>
        <w:rPr>
          <w:sz w:val="20"/>
          <w:szCs w:val="20"/>
          <w:color w:val="auto"/>
        </w:rPr>
        <w:tab/>
      </w:r>
      <w:r>
        <w:rPr>
          <w:rFonts w:ascii="Times New Roman" w:cs="Times New Roman" w:eastAsia="Times New Roman" w:hAnsi="Times New Roman"/>
          <w:sz w:val="12"/>
          <w:szCs w:val="12"/>
          <w:color w:val="auto"/>
        </w:rPr>
        <w:t>DEUTSCHE BANK TRUST COMPANY AMERICAS, as Trustee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spacing w:after="0" w:line="1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As Authenticating Agent</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-86360</wp:posOffset>
            </wp:positionV>
            <wp:extent cx="3370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provisions of Sections 309, 604 and 605 shall be applicable to any Authenticating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SEVEN</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HOLDERS’ LISTS AND REPORTS BY TRUSTEE AND ISSUER</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701.</w:t>
      </w:r>
      <w:r>
        <w:rPr>
          <w:sz w:val="20"/>
          <w:szCs w:val="20"/>
          <w:color w:val="auto"/>
        </w:rPr>
        <w:tab/>
      </w:r>
      <w:r>
        <w:rPr>
          <w:rFonts w:ascii="Times New Roman" w:cs="Times New Roman" w:eastAsia="Times New Roman" w:hAnsi="Times New Roman"/>
          <w:sz w:val="12"/>
          <w:szCs w:val="12"/>
          <w:u w:val="single" w:color="auto"/>
          <w:color w:val="auto"/>
        </w:rPr>
        <w:t>Issuer to Furnish Trustee Names and Addresses of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With respect to each particular series of Securities, the Issuer will furnish or cause to be furnished to the Trustee for the Securities of such series:</w:t>
      </w:r>
    </w:p>
    <w:p>
      <w:pPr>
        <w:spacing w:after="0" w:line="155" w:lineRule="exact"/>
        <w:rPr>
          <w:sz w:val="20"/>
          <w:szCs w:val="20"/>
          <w:color w:val="auto"/>
        </w:rPr>
      </w:pPr>
    </w:p>
    <w:p>
      <w:pPr>
        <w:jc w:val="both"/>
        <w:ind w:left="440" w:firstLine="432"/>
        <w:spacing w:after="0" w:line="290" w:lineRule="auto"/>
        <w:tabs>
          <w:tab w:leader="none" w:pos="1390" w:val="left"/>
        </w:tabs>
        <w:numPr>
          <w:ilvl w:val="0"/>
          <w:numId w:val="8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semi-annually, not later than 15 days after each Regular Record Date, or, in the case of any series of Securities on which semi-annual interest is not payable, not more than 15 days after such semi-annual dates as may be specified by such Trustee, a list, in such form as such Trustee may reasonably require, of the names and addresses of the Holders as of such Regular Record Date or semi-annual date, as the case may be; and</w:t>
      </w:r>
    </w:p>
    <w:p>
      <w:pPr>
        <w:spacing w:after="0" w:line="105"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06" w:val="left"/>
        </w:tabs>
        <w:numPr>
          <w:ilvl w:val="0"/>
          <w:numId w:val="8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at such other times as such Trustee may request in writing, within 30 days after the receipt by the Issuer of any such request, a list of similar form and content as specified in clause (a) above as of a date not more than 15 days prior to the time such list is furnished;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so long as such Trustee is Security Registrar for any series of Securities, no such list shall be required to be furnished with respect to any such series.</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702.</w:t>
      </w:r>
      <w:r>
        <w:rPr>
          <w:sz w:val="20"/>
          <w:szCs w:val="20"/>
          <w:color w:val="auto"/>
        </w:rPr>
        <w:tab/>
      </w:r>
      <w:r>
        <w:rPr>
          <w:rFonts w:ascii="Times New Roman" w:cs="Times New Roman" w:eastAsia="Times New Roman" w:hAnsi="Times New Roman"/>
          <w:sz w:val="12"/>
          <w:szCs w:val="12"/>
          <w:u w:val="single" w:color="auto"/>
          <w:color w:val="auto"/>
        </w:rPr>
        <w:t>Preservation of Information; Communications to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83" w:lineRule="auto"/>
        <w:tabs>
          <w:tab w:leader="none" w:pos="950" w:val="left"/>
        </w:tabs>
        <w:numPr>
          <w:ilvl w:val="0"/>
          <w:numId w:val="8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each series of Securities shall preserve, in as current a form as is reasonably practicable, the names and addresses of Holders contained in the most recent list furnished to such Trustee as provided in Section 701 and the names and addresses of Holders received by such Trustee in its capacity as Security Registrar. Such Trustee may destroy any list furnished to it as provided in Section 701 upon receipt of a new list so furnished.</w:t>
      </w:r>
    </w:p>
    <w:p>
      <w:pPr>
        <w:spacing w:after="0" w:line="260" w:lineRule="exact"/>
        <w:rPr>
          <w:rFonts w:ascii="Times New Roman" w:cs="Times New Roman" w:eastAsia="Times New Roman" w:hAnsi="Times New Roman"/>
          <w:sz w:val="12"/>
          <w:szCs w:val="12"/>
          <w:color w:val="010000"/>
        </w:rPr>
      </w:pPr>
    </w:p>
    <w:p>
      <w:pPr>
        <w:jc w:val="both"/>
        <w:ind w:firstLine="432"/>
        <w:spacing w:after="0" w:line="266" w:lineRule="auto"/>
        <w:tabs>
          <w:tab w:leader="none" w:pos="975" w:val="left"/>
        </w:tabs>
        <w:numPr>
          <w:ilvl w:val="0"/>
          <w:numId w:val="8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three (3) or more Holders of any particular series (herein referred to as “applicants”) apply in writing to the Trustee for the Securities of such series, and furnish to such Trustee reasonable proof that each such applicant has owned a Security for a period of at least six (6) months preceding the date of such application, and such application states that the applicants desire to communicate with other Holders of Securities of such series with respect to their rights under this Indenture or under the Securities and is accompanied by a copy of the form of proxy or other communication which such applicants propose to transmit, then such Trustee shall, within five business days after the receipt of such application, at its election, either: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2" w:name="page113"/>
    <w:bookmarkEnd w:id="112"/>
    <w:p>
      <w:pPr>
        <w:ind w:left="1360" w:hanging="488"/>
        <w:spacing w:after="0"/>
        <w:tabs>
          <w:tab w:leader="none" w:pos="1360" w:val="left"/>
        </w:tabs>
        <w:numPr>
          <w:ilvl w:val="0"/>
          <w:numId w:val="8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afford such applicants access to the information preserved at the time by such Trustee in accordance with Section 702(a); or</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49" w:val="left"/>
        </w:tabs>
        <w:numPr>
          <w:ilvl w:val="0"/>
          <w:numId w:val="8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inform such applicants as to the approximate number of Holders of Securities of such series whose names and addresses appear in the information preserved at the time by such Trustee in accordance with Section 702(a), and as to the approximate cost of mailing to such Holders the form of proxy or other communication, if any, specified in such application.</w:t>
      </w:r>
    </w:p>
    <w:p>
      <w:pPr>
        <w:spacing w:after="0" w:line="106"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If any such Trustee shall elect not to afford such applicants access to such information, such Trustee shall, upon the written request of such applicants, mail to each Holder of Securities of such series whose name and address appear in the information preserved at the time by such Trustee in accordance with Section 702(a) a copy of the form of proxy or other communication which is specified in such request, with reasonable promptness after a tender to such Trustee of the material to be mailed and of payment, or provision for the payment, of the reasonable expenses of mailing, unless within five business days after such tender such Trustee shall mail to such applicants and file with the Commission, together with a copy of the material to be mailed, a written statement to the effect that, in the opinion of such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such Trustee shall mail copies of such material to all such Holders with reasonable promptness after the entry of such order and the renewal of such tender, otherwise such Trustee shall be relieved of any obligation or duty to such applicants respecting their application.</w:t>
      </w:r>
    </w:p>
    <w:p>
      <w:pPr>
        <w:spacing w:after="0" w:line="126" w:lineRule="exact"/>
        <w:rPr>
          <w:sz w:val="20"/>
          <w:szCs w:val="20"/>
          <w:color w:val="auto"/>
        </w:rPr>
      </w:pPr>
    </w:p>
    <w:p>
      <w:pPr>
        <w:jc w:val="both"/>
        <w:ind w:firstLine="432"/>
        <w:spacing w:after="0" w:line="272" w:lineRule="auto"/>
        <w:tabs>
          <w:tab w:leader="none" w:pos="968" w:val="left"/>
        </w:tabs>
        <w:numPr>
          <w:ilvl w:val="0"/>
          <w:numId w:val="8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Every Holder of Securities of each series, by receiving and holding the same, agrees with the Issuer, the Guarantors and the Trustee for the Securities of such series that none of the Issuer, the Guarantors or such Trustee nor any agent of any of them shall be held accountable by reason of the disclosure of any such information as to the names and addresses of the Holders in accordance with Section 702(b), regardless of the source from which such information was derived, and that such Trustee shall not be held accountable by reason of mailing any material pursuant to a request made under Section 702(b).</w:t>
      </w:r>
    </w:p>
    <w:p>
      <w:pPr>
        <w:spacing w:after="0" w:line="116" w:lineRule="exact"/>
        <w:rPr>
          <w:rFonts w:ascii="Times New Roman" w:cs="Times New Roman" w:eastAsia="Times New Roman" w:hAnsi="Times New Roman"/>
          <w:sz w:val="12"/>
          <w:szCs w:val="12"/>
          <w:color w:val="010000"/>
        </w:rPr>
      </w:pPr>
    </w:p>
    <w:p>
      <w:pPr>
        <w:ind w:right="20" w:firstLine="432"/>
        <w:spacing w:after="0" w:line="290" w:lineRule="auto"/>
        <w:tabs>
          <w:tab w:leader="none" w:pos="966" w:val="left"/>
        </w:tabs>
        <w:numPr>
          <w:ilvl w:val="0"/>
          <w:numId w:val="8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U.S. Depositary may grant proxies and otherwise authorize its participants which own the Global Securities to give or take any Act which a Holder is entitled to take under the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U.S. Depositary has delivered a list of such participants to the Trustee for the Securities of such series.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3" w:name="page114"/>
    <w:bookmarkEnd w:id="113"/>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703.</w:t>
      </w:r>
      <w:r>
        <w:rPr>
          <w:sz w:val="20"/>
          <w:szCs w:val="20"/>
          <w:color w:val="auto"/>
        </w:rPr>
        <w:tab/>
      </w:r>
      <w:r>
        <w:rPr>
          <w:rFonts w:ascii="Times New Roman" w:cs="Times New Roman" w:eastAsia="Times New Roman" w:hAnsi="Times New Roman"/>
          <w:sz w:val="11"/>
          <w:szCs w:val="11"/>
          <w:u w:val="single" w:color="auto"/>
          <w:color w:val="auto"/>
        </w:rPr>
        <w:t>Reports by Trustee</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2"/>
        <w:spacing w:after="0" w:line="272" w:lineRule="auto"/>
        <w:tabs>
          <w:tab w:leader="none" w:pos="950" w:val="left"/>
        </w:tabs>
        <w:numPr>
          <w:ilvl w:val="0"/>
          <w:numId w:val="8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Trustee for the Securities of each series shall transmit to Holders of Securities of each series for which such Trustee serves such reports concerning such Trustee and its actions under this Indenture as may be required pursuant to the Trust Indenture Act at the times and in the manner provided pursuant thereto. If required by Section 313(a) of the Trust Indenture Act, the Trustee for the Securities of each series shall, within 60 days after each May 15 following the date of this Indenture deliver to Holders of Securities of each series for which such Trustee serves a brief report, dated as of such May 15, which complies with the provisions of such Section 313(a).</w:t>
      </w:r>
    </w:p>
    <w:p>
      <w:pPr>
        <w:spacing w:after="0" w:line="116" w:lineRule="exact"/>
        <w:rPr>
          <w:rFonts w:ascii="Times New Roman" w:cs="Times New Roman" w:eastAsia="Times New Roman" w:hAnsi="Times New Roman"/>
          <w:sz w:val="12"/>
          <w:szCs w:val="12"/>
          <w:color w:val="010000"/>
        </w:rPr>
      </w:pPr>
    </w:p>
    <w:p>
      <w:pPr>
        <w:ind w:right="20" w:firstLine="432"/>
        <w:spacing w:after="0" w:line="290" w:lineRule="auto"/>
        <w:tabs>
          <w:tab w:leader="none" w:pos="1020" w:val="left"/>
        </w:tabs>
        <w:numPr>
          <w:ilvl w:val="0"/>
          <w:numId w:val="8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copy of each such report shall, at the time of such transmission to Holders of Securities of each particular series be filed by each particular Trustee with each stock exchange upon which any Securities are listed, with the Commission and with the Issuer. The Issuer will promptly notify the Trustee in writing when any Securities are listed on any stock exchange or of any delisting thereof.</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704.</w:t>
      </w:r>
      <w:r>
        <w:rPr>
          <w:sz w:val="20"/>
          <w:szCs w:val="20"/>
          <w:color w:val="auto"/>
        </w:rPr>
        <w:tab/>
      </w:r>
      <w:r>
        <w:rPr>
          <w:rFonts w:ascii="Times New Roman" w:cs="Times New Roman" w:eastAsia="Times New Roman" w:hAnsi="Times New Roman"/>
          <w:sz w:val="12"/>
          <w:szCs w:val="12"/>
          <w:u w:val="single" w:color="auto"/>
          <w:color w:val="auto"/>
        </w:rPr>
        <w:t>Reports by Weatherford Parent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Weatherford Parent shall:</w:t>
      </w:r>
    </w:p>
    <w:p>
      <w:pPr>
        <w:spacing w:after="0" w:line="155" w:lineRule="exact"/>
        <w:rPr>
          <w:sz w:val="20"/>
          <w:szCs w:val="20"/>
          <w:color w:val="auto"/>
        </w:rPr>
      </w:pPr>
    </w:p>
    <w:p>
      <w:pPr>
        <w:jc w:val="both"/>
        <w:ind w:left="440" w:firstLine="432"/>
        <w:spacing w:after="0" w:line="263" w:lineRule="auto"/>
        <w:tabs>
          <w:tab w:leader="none" w:pos="1488" w:val="left"/>
        </w:tabs>
        <w:numPr>
          <w:ilvl w:val="0"/>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file with the Trustee for the Securities of each series, within 15 days after Weatherford Parent is required to file the same with the Commission, copies of the annual reports and of the information, documents and other reports (or copies of such portions of any of the foregoing as the Commission may from time to time by rules and regulations prescribe) which Weatherford Parent may be required to file with the Commission pursuant to Section 13 or Section 15(d) of the Exchange Act; or if Weatherford Parent is not required to file information, documents or reports pursuant to either of said Sections, then it shall file with such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22" w:lineRule="exact"/>
        <w:rPr>
          <w:rFonts w:ascii="Times New Roman" w:cs="Times New Roman" w:eastAsia="Times New Roman" w:hAnsi="Times New Roman"/>
          <w:sz w:val="12"/>
          <w:szCs w:val="12"/>
          <w:color w:val="010000"/>
        </w:rPr>
      </w:pPr>
    </w:p>
    <w:p>
      <w:pPr>
        <w:ind w:left="440" w:firstLine="432"/>
        <w:spacing w:after="0" w:line="290" w:lineRule="auto"/>
        <w:tabs>
          <w:tab w:leader="none" w:pos="1525" w:val="left"/>
        </w:tabs>
        <w:numPr>
          <w:ilvl w:val="0"/>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file with the Trustee for the Securities of such series and the Commission, in accordance with rules and regulations prescribed from time to time by the Commission, such additional information, documents and reports with respect to compliance by Weatherford Parent with the conditions and covenants of this Indenture as may be required from time to time by such rules and regulations; and</w:t>
      </w:r>
    </w:p>
    <w:p>
      <w:pPr>
        <w:spacing w:after="0" w:line="105" w:lineRule="exact"/>
        <w:rPr>
          <w:rFonts w:ascii="Times New Roman" w:cs="Times New Roman" w:eastAsia="Times New Roman" w:hAnsi="Times New Roman"/>
          <w:sz w:val="12"/>
          <w:szCs w:val="12"/>
          <w:color w:val="010000"/>
        </w:rPr>
      </w:pPr>
    </w:p>
    <w:p>
      <w:pPr>
        <w:ind w:left="440" w:firstLine="432"/>
        <w:spacing w:after="0" w:line="290" w:lineRule="auto"/>
        <w:tabs>
          <w:tab w:leader="none" w:pos="1433" w:val="left"/>
        </w:tabs>
        <w:numPr>
          <w:ilvl w:val="0"/>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transmit by mail to all Holders, as their names and addresses appear in the Security Register, within 30 days after the filing thereof with the Trustee for the Securities of such series, such summaries of any information, documents and reports required to be filed by Weatherford Parent pursuant to paragraphs (1) and (2) hereof as may be required by rules and regulations prescribed from time to time by the Commission.</w:t>
      </w:r>
    </w:p>
    <w:p>
      <w:pPr>
        <w:spacing w:after="0" w:line="106" w:lineRule="exact"/>
        <w:rPr>
          <w:sz w:val="20"/>
          <w:szCs w:val="20"/>
          <w:color w:val="auto"/>
        </w:rPr>
      </w:pPr>
    </w:p>
    <w:p>
      <w:pPr>
        <w:ind w:right="20" w:firstLine="439"/>
        <w:spacing w:after="0" w:line="290" w:lineRule="auto"/>
        <w:rPr>
          <w:sz w:val="20"/>
          <w:szCs w:val="20"/>
          <w:color w:val="auto"/>
        </w:rPr>
      </w:pPr>
      <w:r>
        <w:rPr>
          <w:rFonts w:ascii="Times New Roman" w:cs="Times New Roman" w:eastAsia="Times New Roman" w:hAnsi="Times New Roman"/>
          <w:sz w:val="12"/>
          <w:szCs w:val="12"/>
          <w:color w:val="auto"/>
        </w:rPr>
        <w:t>Weatherford Parent shall be deemed to have complied with the previous sentence to the extent that such information, documents and reports are filed with the Commission via the Electronic Data Gathering, Analysis, and Retrieval (EDGAR) system (or any successor electronic delivery procedure).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4" w:name="page115"/>
    <w:bookmarkEnd w:id="114"/>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Delivery of such reports, information and documents to the Trustee for the Securities of each series is for informational purposes only and such Trustee’s receipt of such shall not constitute constructive notice of any information contained therein or determinable from information contained therein, including the Issuer’s and the Guarantors’ compliance with any of their respective covenants hereunder (as to which such Trustee is entitled to rely exclusively on Officer’s Certificates). The Trustee shall have no responsibility to determine if any information has been filed.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EIGHT</w:t>
      </w:r>
    </w:p>
    <w:p>
      <w:pPr>
        <w:spacing w:after="0" w:line="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2"/>
          <w:szCs w:val="12"/>
          <w:color w:val="auto"/>
        </w:rPr>
        <w:t>CONSOLIDATION, MERGER, CONVEYANCE, SALE OR LEASE</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801.</w:t>
      </w:r>
      <w:r>
        <w:rPr>
          <w:sz w:val="20"/>
          <w:szCs w:val="20"/>
          <w:color w:val="auto"/>
        </w:rPr>
        <w:tab/>
      </w:r>
      <w:r>
        <w:rPr>
          <w:rFonts w:ascii="Times New Roman" w:cs="Times New Roman" w:eastAsia="Times New Roman" w:hAnsi="Times New Roman"/>
          <w:sz w:val="12"/>
          <w:szCs w:val="12"/>
          <w:u w:val="single" w:color="auto"/>
          <w:color w:val="auto"/>
        </w:rPr>
        <w:t>Issuer and Guarantors May Consolidate, Etc., on Certain Terms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57" w:lineRule="auto"/>
        <w:tabs>
          <w:tab w:leader="none" w:pos="1023" w:val="left"/>
        </w:tabs>
        <w:numPr>
          <w:ilvl w:val="0"/>
          <w:numId w:val="8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Unless otherwise indicated for a particular series of Securities, supplemental indenture or provided in or pursuant to a Board Resolution or Officer’s Certificate, the Issuer of any series of Securities shall not consolidate, amalgamate or merge with or into any other Person (whether or not affiliated with such Issuer) and such Issuer or its successor 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 interest, if any, on all of the Securities of such series, according to their tenor, and the due and punctual performance and observance of all of the covenants and conditions of this Indenture to be performed by such Issuer shall be expressly assumed, by supplemental indenture reasonably satisfactory in form to the Trustee for such series of Securities, executed and delivered to each such Trustee by the Person (if other than such Issuer) formed by 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United Kingdom, Ireland, Bermuda, Cayman Islands, British Virgin Islands, Gibraltar, the British Crown Dependencies, any member country of the Organisation for Economic Co-operation and Development, or any political subdivision of any of the foregoing. Such Issuer will not so consolidate, amalgamate or merge, or make any such sale, lease or other disposition, and such Issuer will not permit any other Person to merge into such Issuer, unless immediately after the proposed consolidation, amalgamation, merger, sale, lease or other conveyance, and after giving effect thereto, no default in the performance or observance by such Issuer or such successor Person, as the case may be, of any of the terms, covenants, agreements or conditions in respect of such series of Securities contained in this Indenture shall have occurred and be continuing.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5" w:name="page116"/>
    <w:bookmarkEnd w:id="115"/>
    <w:p>
      <w:pPr>
        <w:jc w:val="both"/>
        <w:ind w:firstLine="432"/>
        <w:spacing w:after="0" w:line="257" w:lineRule="auto"/>
        <w:tabs>
          <w:tab w:leader="none" w:pos="975" w:val="left"/>
        </w:tabs>
        <w:numPr>
          <w:ilvl w:val="0"/>
          <w:numId w:val="9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Unless otherwise indicated for a particular series of Securities, supplemental indenture or provided in or pursuant to a Board Resolution or Officer’s Certificate, each Guarantor, if any, of any series of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 lease all or substantially all of the property of such Guarantor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this Indenture to be performed by such Guarantor shall be expressly assumed, by supplemental indenture reasonably satisfactory in form to the Trustee for each series of Securities, executed and delivered to each such Trustee by the Person (if other than the Issuer or a Guarantor for such series) formed by such consolidation or amalgamation, or into which such Guarantor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United Kingdom, Ireland, Bermuda, Cayman Islands, British Virgin Islands, Gibraltar, the British Crown Dependencies, any member country of the Organisation for Economic Co-operation and Development, 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 such successor Person, as the case may be, of any of the terms, covenants, agreements or conditions in respect of such series of Securities contained in this Indenture or the Guarantee of such Guarantor to be performed by such Guarantor shall have occurred and be continuing.</w:t>
      </w:r>
    </w:p>
    <w:p>
      <w:pPr>
        <w:spacing w:after="0" w:line="130"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802.</w:t>
      </w:r>
      <w:r>
        <w:rPr>
          <w:sz w:val="20"/>
          <w:szCs w:val="20"/>
          <w:color w:val="auto"/>
        </w:rPr>
        <w:tab/>
      </w:r>
      <w:r>
        <w:rPr>
          <w:rFonts w:ascii="Times New Roman" w:cs="Times New Roman" w:eastAsia="Times New Roman" w:hAnsi="Times New Roman"/>
          <w:sz w:val="12"/>
          <w:szCs w:val="12"/>
          <w:u w:val="single" w:color="auto"/>
          <w:color w:val="auto"/>
        </w:rPr>
        <w:t>Successor Corporation to be Substituted</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2"/>
        <w:spacing w:after="0" w:line="266" w:lineRule="auto"/>
        <w:tabs>
          <w:tab w:leader="none" w:pos="950" w:val="left"/>
        </w:tabs>
        <w:numPr>
          <w:ilvl w:val="0"/>
          <w:numId w:val="9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respect of each series of Securities, upon any consolidation, amalgamation or merger of the Issuer with or into any other corporation or corporations or any sale, conveyance or lease of all or substantially all of the property of the Issuer to any other corporation or corporations in accordance with this Article Eight, the successor shall succeed to, and be substituted for, and may exercise every right and power of, the Issuer under this Indenture and such Securities with the same effect as if such successor had been named as the Issuer herein and therein, and thereafter, except in the case of a lease, the Issuer as the predecessor corporation shall be relieved of all obligations and covenants under this Indenture and the Securities and the Issuer as the predecessor corporation may thereupon or at any time thereafter be dissolved, wound up or liquidated.</w:t>
      </w:r>
    </w:p>
    <w:p>
      <w:pPr>
        <w:spacing w:after="0" w:line="120" w:lineRule="exact"/>
        <w:rPr>
          <w:rFonts w:ascii="Times New Roman" w:cs="Times New Roman" w:eastAsia="Times New Roman" w:hAnsi="Times New Roman"/>
          <w:sz w:val="12"/>
          <w:szCs w:val="12"/>
          <w:color w:val="010000"/>
        </w:rPr>
      </w:pPr>
    </w:p>
    <w:p>
      <w:pPr>
        <w:jc w:val="both"/>
        <w:ind w:firstLine="432"/>
        <w:spacing w:after="0" w:line="263" w:lineRule="auto"/>
        <w:tabs>
          <w:tab w:leader="none" w:pos="984" w:val="left"/>
        </w:tabs>
        <w:numPr>
          <w:ilvl w:val="0"/>
          <w:numId w:val="9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 respect of each series of Securities, subject to Section 801(b), upon any consolidation, amalgamation or merger of any Guarantor with or into any other corporation or corporations or any sale, conveyance or lease of all or substantially all of the property of such Guarantor to any other corporation or corporations in accordance with this Article Eight, the successor shall succeed to, and be substituted for, and may exercise every right and power of, such Guarantor under this Indenture, the Securities and the Guarantee of such Guarantor with the same effect as if such successor had been named as a Guarantor herein and therein, and thereafter, except in the case of a lease, such Guarantor as predecessor corporation shall be relieved of all obligations and covenants under this Indenture and its Guarantee, and such Guarantor as the predecessor corporation may thereupon or at any time thereafter be dissolved, wound up or liquidated.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6" w:name="page117"/>
    <w:bookmarkEnd w:id="116"/>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803.</w:t>
      </w:r>
      <w:r>
        <w:rPr>
          <w:sz w:val="20"/>
          <w:szCs w:val="20"/>
          <w:color w:val="auto"/>
        </w:rPr>
        <w:tab/>
      </w:r>
      <w:r>
        <w:rPr>
          <w:rFonts w:ascii="Times New Roman" w:cs="Times New Roman" w:eastAsia="Times New Roman" w:hAnsi="Times New Roman"/>
          <w:sz w:val="12"/>
          <w:szCs w:val="12"/>
          <w:u w:val="single" w:color="auto"/>
          <w:color w:val="auto"/>
        </w:rPr>
        <w:t>Opinion of Counsel and Officer’s Certificate to be Given to Trustee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Trustee for each series of Securities, subject to Section 601, shall receive an Officer’s Certificate and Opinion of Counsel as conclusive evidence that any such consolidation, amalgamation, merger, sale, conveyance or lease and any such assumption complies with the provisions of this Article Eight.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NINE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SUPPLEMENTAL INDENTURES</w:t>
      </w:r>
    </w:p>
    <w:p>
      <w:pPr>
        <w:spacing w:after="0" w:line="143"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901.</w:t>
      </w:r>
      <w:r>
        <w:rPr>
          <w:sz w:val="20"/>
          <w:szCs w:val="20"/>
          <w:color w:val="auto"/>
        </w:rPr>
        <w:tab/>
      </w:r>
      <w:r>
        <w:rPr>
          <w:rFonts w:ascii="Times New Roman" w:cs="Times New Roman" w:eastAsia="Times New Roman" w:hAnsi="Times New Roman"/>
          <w:sz w:val="12"/>
          <w:szCs w:val="12"/>
          <w:u w:val="single" w:color="auto"/>
          <w:color w:val="auto"/>
        </w:rPr>
        <w:t>Supplemental Indentures without Consent of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Without the consent of any Holders, the Issuer, the Guarantors and the Trustee for the Securities of any or all series, at any time and from time to time, may enter into one or more indentures supplemental hereto, for any of the purposes set forth below in this Section 901. The terms of such supplemental indenture may be established by one or more duly appointed Officers of the Issuer and one or more duly appointed Officers of the Guarantors acting pursuant to authority granted to such Officers by the Board of Directors of the Issuer and by the Board of Directors of the Guarantors. A supplemental indenture, in form reasonably satisfactory to the Trustee, may be entered into pursuant to this Section 901 for any of the following purposes:</w:t>
      </w:r>
    </w:p>
    <w:p>
      <w:pPr>
        <w:spacing w:after="0" w:line="120" w:lineRule="exact"/>
        <w:rPr>
          <w:sz w:val="20"/>
          <w:szCs w:val="20"/>
          <w:color w:val="auto"/>
        </w:rPr>
      </w:pPr>
    </w:p>
    <w:p>
      <w:pPr>
        <w:ind w:left="440" w:firstLine="432"/>
        <w:spacing w:after="0" w:line="290" w:lineRule="auto"/>
        <w:tabs>
          <w:tab w:leader="none" w:pos="1534"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evidence the succession of another corporation, partnership, limited liability company, trust or any other entity to the Issuer or any Guarantor and the assumption by any such successor of the covenants of the Issuer herein and in the Securities or the assumption by any such successor of the covenants of such Guarantor herein and in the Guarantee; or</w:t>
      </w:r>
    </w:p>
    <w:p>
      <w:pPr>
        <w:spacing w:after="0" w:line="105" w:lineRule="exact"/>
        <w:rPr>
          <w:rFonts w:ascii="Times New Roman" w:cs="Times New Roman" w:eastAsia="Times New Roman" w:hAnsi="Times New Roman"/>
          <w:sz w:val="12"/>
          <w:szCs w:val="12"/>
          <w:color w:val="010000"/>
        </w:rPr>
      </w:pPr>
    </w:p>
    <w:p>
      <w:pPr>
        <w:ind w:left="440" w:firstLine="432"/>
        <w:spacing w:after="0" w:line="290" w:lineRule="auto"/>
        <w:tabs>
          <w:tab w:leader="none" w:pos="1433"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add to the covenants of the Issuer or the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Issuer or the Guarantors, as applicable; or</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add any additional Events of Default; or</w:t>
      </w:r>
    </w:p>
    <w:p>
      <w:pPr>
        <w:spacing w:after="0" w:line="154" w:lineRule="exact"/>
        <w:rPr>
          <w:rFonts w:ascii="Times New Roman" w:cs="Times New Roman" w:eastAsia="Times New Roman" w:hAnsi="Times New Roman"/>
          <w:sz w:val="12"/>
          <w:szCs w:val="12"/>
          <w:color w:val="010000"/>
        </w:rPr>
      </w:pPr>
    </w:p>
    <w:p>
      <w:pPr>
        <w:ind w:left="440" w:firstLine="432"/>
        <w:spacing w:after="0" w:line="290" w:lineRule="auto"/>
        <w:tabs>
          <w:tab w:leader="none" w:pos="1406"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add to or change any of the provisions of this Indenture to such extent as shall be necessary to permit or facilitate the issuance of Securities in bearer form, registrable or not registrable as to principal, and with or without interest coupons; or</w:t>
      </w:r>
    </w:p>
    <w:p>
      <w:pPr>
        <w:spacing w:after="0" w:line="105"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06"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to change or eliminate any of the provisions of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any such change or elimination shall become effective only when there is no Security Outstanding of any series created prior to the execution of such supplemental indenture which is entitled to the benefit of such provisions; or</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9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secure the Securities; or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7" w:name="page118"/>
    <w:bookmarkEnd w:id="117"/>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establish the form or terms of Securities of any series as permitted by Sections 201 and 301; or</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establish the form or terms of a related Guarantee as permitted by Sections 201 and 206; or</w:t>
      </w:r>
    </w:p>
    <w:p>
      <w:pPr>
        <w:spacing w:after="0" w:line="154" w:lineRule="exact"/>
        <w:rPr>
          <w:rFonts w:ascii="Times New Roman" w:cs="Times New Roman" w:eastAsia="Times New Roman" w:hAnsi="Times New Roman"/>
          <w:sz w:val="12"/>
          <w:szCs w:val="12"/>
          <w:color w:val="010000"/>
        </w:rPr>
      </w:pPr>
    </w:p>
    <w:p>
      <w:pPr>
        <w:ind w:firstLine="432"/>
        <w:spacing w:after="0" w:line="290" w:lineRule="auto"/>
        <w:tabs>
          <w:tab w:leader="none" w:pos="103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05" w:lineRule="exact"/>
        <w:rPr>
          <w:rFonts w:ascii="Times New Roman" w:cs="Times New Roman" w:eastAsia="Times New Roman" w:hAnsi="Times New Roman"/>
          <w:sz w:val="12"/>
          <w:szCs w:val="12"/>
          <w:color w:val="010000"/>
        </w:rPr>
      </w:pPr>
    </w:p>
    <w:p>
      <w:pPr>
        <w:ind w:firstLine="432"/>
        <w:spacing w:after="0" w:line="290" w:lineRule="auto"/>
        <w:tabs>
          <w:tab w:leader="none" w:pos="966"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evidence and provide for the acceptance of appointment hereunder of a Trustee other than Deutsche Bank Trust Company Americas as Trustee for a series of Securities and to add to or change any of the provisions of this Indenture as shall be necessary to provide for or facilitate the administration of the trusts hereunder by more than one Trustee, pursuant to the requirements of Section 609; or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provide for any rights of the Holders of Securities of any series to require the repurchase of Securities of such series from the Issuer; or</w:t>
      </w:r>
    </w:p>
    <w:p>
      <w:pPr>
        <w:spacing w:after="0" w:line="154" w:lineRule="exact"/>
        <w:rPr>
          <w:rFonts w:ascii="Times New Roman" w:cs="Times New Roman" w:eastAsia="Times New Roman" w:hAnsi="Times New Roman"/>
          <w:sz w:val="12"/>
          <w:szCs w:val="12"/>
          <w:color w:val="010000"/>
        </w:rPr>
      </w:pPr>
    </w:p>
    <w:p>
      <w:pPr>
        <w:ind w:firstLine="432"/>
        <w:spacing w:after="0" w:line="290" w:lineRule="auto"/>
        <w:tabs>
          <w:tab w:leader="none" w:pos="966"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to cure any ambiguity, omission, mistake or defect to correct or supplement any provision herein which may be inconsistent with any other provision herein, or to make any other provisions with respect to matters or questions arising under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such action shall not adversely affect the interests of the Holders of Securities of any series in any material respect; or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provide for the issuance of additional Securities of any series in accordance with this Indenture; or</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provide for or add Guarantors with respect to the Securities of any series; or</w:t>
      </w:r>
    </w:p>
    <w:p>
      <w:pPr>
        <w:spacing w:after="0" w:line="154" w:lineRule="exact"/>
        <w:rPr>
          <w:rFonts w:ascii="Times New Roman" w:cs="Times New Roman" w:eastAsia="Times New Roman" w:hAnsi="Times New Roman"/>
          <w:sz w:val="12"/>
          <w:szCs w:val="12"/>
          <w:color w:val="010000"/>
        </w:rPr>
      </w:pPr>
    </w:p>
    <w:p>
      <w:pPr>
        <w:ind w:firstLine="432"/>
        <w:spacing w:after="0" w:line="290" w:lineRule="auto"/>
        <w:tabs>
          <w:tab w:leader="none" w:pos="993"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to amend the provisions of this Indenture relating to the transfer and legending of any Securities, including, without limitation, to facilitate the issuance and administration of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compliance with this Indenture as so amended would not result in the Securities being transferred in violation of the Securities Act of 1933, as amended, or any applicable securities law; or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continue its qualification under the Trust Indenture Act or as may be necessary or desirable in accordance with amendments to the Trust Indenture Act; or</w:t>
      </w:r>
    </w:p>
    <w:p>
      <w:pPr>
        <w:spacing w:after="0" w:line="154" w:lineRule="exact"/>
        <w:rPr>
          <w:rFonts w:ascii="Times New Roman" w:cs="Times New Roman" w:eastAsia="Times New Roman" w:hAnsi="Times New Roman"/>
          <w:sz w:val="12"/>
          <w:szCs w:val="12"/>
          <w:color w:val="010000"/>
        </w:rPr>
      </w:pPr>
    </w:p>
    <w:p>
      <w:pPr>
        <w:ind w:firstLine="432"/>
        <w:spacing w:after="0" w:line="290" w:lineRule="auto"/>
        <w:tabs>
          <w:tab w:leader="none" w:pos="975"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conform the text of this Indenture, the Securities or any related Guarantee to any provision of the description thereof set forth in any applicable prospectus or prospectus supplement to the extent that such provision in such prospectus or prospectus supplement was intended to be a verbatim recitation of a provision in this indenture, the Securities or any related Guarantee; or</w:t>
      </w:r>
    </w:p>
    <w:p>
      <w:pPr>
        <w:spacing w:after="0" w:line="105"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for any other reason specified pursuant to Section 301 with respect to the Securities of such series.</w:t>
      </w:r>
    </w:p>
    <w:p>
      <w:pPr>
        <w:spacing w:after="0" w:line="3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717677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840"/>
          </w:cols>
          <w:pgMar w:left="740" w:top="657" w:right="319" w:bottom="1440" w:gutter="0" w:footer="0" w:header="0"/>
        </w:sectPr>
      </w:pPr>
    </w:p>
    <w:bookmarkStart w:id="118" w:name="page119"/>
    <w:bookmarkEnd w:id="118"/>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902.</w:t>
      </w:r>
      <w:r>
        <w:rPr>
          <w:sz w:val="20"/>
          <w:szCs w:val="20"/>
          <w:color w:val="auto"/>
        </w:rPr>
        <w:tab/>
      </w:r>
      <w:r>
        <w:rPr>
          <w:rFonts w:ascii="Times New Roman" w:cs="Times New Roman" w:eastAsia="Times New Roman" w:hAnsi="Times New Roman"/>
          <w:sz w:val="12"/>
          <w:szCs w:val="12"/>
          <w:u w:val="single" w:color="auto"/>
          <w:color w:val="auto"/>
        </w:rPr>
        <w:t>Supplemental Indentures with Consent of Holders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 xml:space="preserve">With the consent of the Holders of not less than a majority in principal amount of the Outstanding Securities of any or all series affected by such supplemental indenture (voting as one class), by Act of said Holders delivered to the Issuer, the Guarantors and the Trustee of each such series of Securities, the Issuer, when authorized by or pursuant to a Board Resolution of its Board of Directors, the Guarantors, when authorized by or pursuant to a Board Resolution by the Guarantors’ Board of Directors, and each such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supplemental indenture shall, without the consent of the Holder of each Outstanding Security affected thereby:</w:t>
      </w:r>
    </w:p>
    <w:p>
      <w:pPr>
        <w:spacing w:after="0" w:line="122" w:lineRule="exact"/>
        <w:rPr>
          <w:sz w:val="20"/>
          <w:szCs w:val="20"/>
          <w:color w:val="auto"/>
        </w:rPr>
      </w:pPr>
    </w:p>
    <w:p>
      <w:pPr>
        <w:jc w:val="both"/>
        <w:ind w:left="440" w:firstLine="432"/>
        <w:spacing w:after="0" w:line="263" w:lineRule="auto"/>
        <w:tabs>
          <w:tab w:leader="none" w:pos="1415" w:val="left"/>
        </w:tabs>
        <w:numPr>
          <w:ilvl w:val="0"/>
          <w:numId w:val="9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Section 502, or change any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 release any Guarantor from any of its obligations under its Guarantee or modify such obligations otherwise than in accordance with the terms of this Indenture;</w:t>
      </w:r>
    </w:p>
    <w:p>
      <w:pPr>
        <w:spacing w:after="0" w:line="122" w:lineRule="exact"/>
        <w:rPr>
          <w:rFonts w:ascii="Times New Roman" w:cs="Times New Roman" w:eastAsia="Times New Roman" w:hAnsi="Times New Roman"/>
          <w:sz w:val="12"/>
          <w:szCs w:val="12"/>
          <w:color w:val="010000"/>
        </w:rPr>
      </w:pPr>
    </w:p>
    <w:p>
      <w:pPr>
        <w:ind w:left="440" w:firstLine="432"/>
        <w:spacing w:after="0" w:line="290" w:lineRule="auto"/>
        <w:tabs>
          <w:tab w:leader="none" w:pos="1433" w:val="left"/>
        </w:tabs>
        <w:numPr>
          <w:ilvl w:val="0"/>
          <w:numId w:val="9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spacing w:after="0" w:line="105" w:lineRule="exact"/>
        <w:rPr>
          <w:rFonts w:ascii="Times New Roman" w:cs="Times New Roman" w:eastAsia="Times New Roman" w:hAnsi="Times New Roman"/>
          <w:sz w:val="12"/>
          <w:szCs w:val="12"/>
          <w:color w:val="010000"/>
        </w:rPr>
      </w:pPr>
    </w:p>
    <w:p>
      <w:pPr>
        <w:jc w:val="both"/>
        <w:ind w:left="440" w:firstLine="432"/>
        <w:spacing w:after="0" w:line="272" w:lineRule="auto"/>
        <w:tabs>
          <w:tab w:leader="none" w:pos="1488" w:val="left"/>
        </w:tabs>
        <w:numPr>
          <w:ilvl w:val="0"/>
          <w:numId w:val="9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609, 611(b), 901(9) and 901(10).</w:t>
      </w:r>
    </w:p>
    <w:p>
      <w:pPr>
        <w:spacing w:after="0" w:line="117" w:lineRule="exact"/>
        <w:rPr>
          <w:sz w:val="20"/>
          <w:szCs w:val="20"/>
          <w:color w:val="auto"/>
        </w:rPr>
      </w:pPr>
    </w:p>
    <w:p>
      <w:pPr>
        <w:ind w:right="20" w:firstLine="439"/>
        <w:spacing w:after="0" w:line="290" w:lineRule="auto"/>
        <w:rPr>
          <w:sz w:val="20"/>
          <w:szCs w:val="20"/>
          <w:color w:val="auto"/>
        </w:rPr>
      </w:pPr>
      <w:r>
        <w:rPr>
          <w:rFonts w:ascii="Times New Roman" w:cs="Times New Roman" w:eastAsia="Times New Roman" w:hAnsi="Times New Roman"/>
          <w:sz w:val="12"/>
          <w:szCs w:val="12"/>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19" w:name="page120"/>
    <w:bookmarkEnd w:id="119"/>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It shall not be necessary for any Act of Holders of any series of Securities under this Section to approve the particular form of any proposed supplemental indenture, but it shall be sufficient if such Act shall approve the substance thereof.</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903.</w:t>
      </w:r>
      <w:r>
        <w:rPr>
          <w:sz w:val="20"/>
          <w:szCs w:val="20"/>
          <w:color w:val="auto"/>
        </w:rPr>
        <w:tab/>
      </w:r>
      <w:r>
        <w:rPr>
          <w:rFonts w:ascii="Times New Roman" w:cs="Times New Roman" w:eastAsia="Times New Roman" w:hAnsi="Times New Roman"/>
          <w:sz w:val="12"/>
          <w:szCs w:val="12"/>
          <w:u w:val="single" w:color="auto"/>
          <w:color w:val="auto"/>
        </w:rPr>
        <w:t>Execution of Supplemental Indentures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In executing, or accepting the additional trusts created by, and supplemental indenture permitted by this Article Nine or the modifications thereby of the trusts created by this Indenture, the Trustee for any series of Securities shall receive, and (subject to Section 601) shall be fully protected in conclusively relying upon, an Officer’s Certificate and Opinion of Counsel stating that the execution of such supplemental indenture is authorized or permitted by this Indenture and is the legal, valid and binding obligation of the Issuer enforceable against it in accordance with its terms. The Trustee for any series of Securities may, but shall not be obligated to, enter into any such supplemental indenture which affects such Trustee’s own rights, duties or immunities under this Indenture or otherwise.</w:t>
      </w:r>
    </w:p>
    <w:p>
      <w:pPr>
        <w:spacing w:after="0" w:line="120"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904.</w:t>
      </w:r>
      <w:r>
        <w:rPr>
          <w:sz w:val="20"/>
          <w:szCs w:val="20"/>
          <w:color w:val="auto"/>
        </w:rPr>
        <w:tab/>
      </w:r>
      <w:r>
        <w:rPr>
          <w:rFonts w:ascii="Times New Roman" w:cs="Times New Roman" w:eastAsia="Times New Roman" w:hAnsi="Times New Roman"/>
          <w:sz w:val="12"/>
          <w:szCs w:val="12"/>
          <w:u w:val="single" w:color="auto"/>
          <w:color w:val="auto"/>
        </w:rPr>
        <w:t>Effect of Supplemental Indentures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06"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905.</w:t>
      </w:r>
      <w:r>
        <w:rPr>
          <w:sz w:val="20"/>
          <w:szCs w:val="20"/>
          <w:color w:val="auto"/>
        </w:rPr>
        <w:tab/>
      </w:r>
      <w:r>
        <w:rPr>
          <w:rFonts w:ascii="Times New Roman" w:cs="Times New Roman" w:eastAsia="Times New Roman" w:hAnsi="Times New Roman"/>
          <w:sz w:val="12"/>
          <w:szCs w:val="12"/>
          <w:u w:val="single" w:color="auto"/>
          <w:color w:val="auto"/>
        </w:rPr>
        <w:t>Conformity with Trust Indenture Act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Every supplemental indenture executed pursuant to this Article Nine shall conform to the requirements of the Trust Indenture Act as then in effect.</w:t>
      </w:r>
    </w:p>
    <w:p>
      <w:pPr>
        <w:spacing w:after="0" w:line="155"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2"/>
          <w:szCs w:val="12"/>
          <w:color w:val="010000"/>
        </w:rPr>
        <w:t>SECTION 906.</w:t>
      </w:r>
      <w:r>
        <w:rPr>
          <w:sz w:val="20"/>
          <w:szCs w:val="20"/>
          <w:color w:val="auto"/>
        </w:rPr>
        <w:tab/>
      </w:r>
      <w:r>
        <w:rPr>
          <w:rFonts w:ascii="Times New Roman" w:cs="Times New Roman" w:eastAsia="Times New Roman" w:hAnsi="Times New Roman"/>
          <w:sz w:val="12"/>
          <w:szCs w:val="12"/>
          <w:u w:val="single" w:color="auto"/>
          <w:color w:val="auto"/>
        </w:rPr>
        <w:t>Reference in Securities to Supplemental Indentures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Securities of any series authenticated and delivered after the execution of any supplemental indenture pursuant to this Article Nine may, and shall if required by the Trustee for the Securities of such series, bear a notation in form approved by such Trustee as to any matter provided for in such supplemental indenture. If the Issuer and the Guarantors shall so determine, new forms of the Securities of any series and the Guarantees endorsed thereon modified as to conform, in the opinion of the Trustee for the Securities of such series, the Issuer and the Guarantors, to any supplemental indenture may be prepared and executed by the Issuer and the Guarantors and authenticated and delivered by such Trustee in exchange for Outstanding Securities of such series.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2"/>
          <w:szCs w:val="12"/>
          <w:color w:val="010000"/>
        </w:rPr>
        <w:t>ARTICLE TEN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COVENANTS</w:t>
      </w:r>
    </w:p>
    <w:p>
      <w:pPr>
        <w:spacing w:after="0" w:line="14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1001.</w:t>
      </w:r>
      <w:r>
        <w:rPr>
          <w:sz w:val="20"/>
          <w:szCs w:val="20"/>
          <w:color w:val="auto"/>
        </w:rPr>
        <w:tab/>
      </w:r>
      <w:r>
        <w:rPr>
          <w:rFonts w:ascii="Times New Roman" w:cs="Times New Roman" w:eastAsia="Times New Roman" w:hAnsi="Times New Roman"/>
          <w:sz w:val="12"/>
          <w:szCs w:val="12"/>
          <w:u w:val="single" w:color="auto"/>
          <w:color w:val="auto"/>
        </w:rPr>
        <w:t>Payment of Principal, Premium and Interest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Issuer covenants and agrees for the benefit of each series of Securities for which it is the Issuer that it will duly and punctually pay the principal of (and premium, if any, on) and interest, if any, on the Securities of that series in accordance with the terms of the Securities and this Indenture, and deposit the amounts relating thereto with the Trustee on or before 10:00 AM New York City time.</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1002.</w:t>
      </w:r>
      <w:r>
        <w:rPr>
          <w:sz w:val="20"/>
          <w:szCs w:val="20"/>
          <w:color w:val="auto"/>
        </w:rPr>
        <w:tab/>
      </w:r>
      <w:r>
        <w:rPr>
          <w:rFonts w:ascii="Times New Roman" w:cs="Times New Roman" w:eastAsia="Times New Roman" w:hAnsi="Times New Roman"/>
          <w:sz w:val="12"/>
          <w:szCs w:val="12"/>
          <w:u w:val="single" w:color="auto"/>
          <w:color w:val="auto"/>
        </w:rPr>
        <w:t>Maintenance of Office or Agency</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The Issuer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Issuer in respect of the Securities of that series and this Indenture may be served. The Issuer will give prompt written notice to the Trustee for Securities of that series of the location, and any change in the location, of such office or agency. If at any time the Issuer shall fail to maintain any such required office or agency or shall fail to furnish the Trustee for the Securities of that series with the address thereof, such presentations, surrenders, notices and demands may be made or served at the Corporate Trust Office of such Trustee, and the Issuer hereby appoints such Trustee as its agent to receive all such presentations, surrenders, notices and demands.</w:t>
      </w:r>
    </w:p>
    <w:p>
      <w:pPr>
        <w:spacing w:after="0" w:line="122"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 xml:space="preserve">The Issuer may also from time to time designate one or more other offices or agencies where the Securities of one or more series may be presented or surrendered for any or all such purposes and may from time to time rescind such designations;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designation or rescission shall in any manner relieve the Issuer of its obligation to maintain an office or agency in each Place of Payment for Securities of any series for such purposes. The Issuer will give prompt written notice to the Trustee for the Securities of each series of any such designation or rescission and of any change in the location of any such other office or agency.</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1003.</w:t>
      </w:r>
      <w:r>
        <w:rPr>
          <w:sz w:val="20"/>
          <w:szCs w:val="20"/>
          <w:color w:val="auto"/>
        </w:rPr>
        <w:tab/>
      </w:r>
      <w:r>
        <w:rPr>
          <w:rFonts w:ascii="Times New Roman" w:cs="Times New Roman" w:eastAsia="Times New Roman" w:hAnsi="Times New Roman"/>
          <w:sz w:val="12"/>
          <w:szCs w:val="12"/>
          <w:u w:val="single" w:color="auto"/>
          <w:color w:val="auto"/>
        </w:rPr>
        <w:t>Money for Securities Payments to Be Held in Trust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If the Issuer shall at any time act as its own Paying Agent with respect to any series of Securities, it will, on or before each due date of the principal of (and premium, if any, on) or interest, if any, on any of the Securities of that series, segregate and hold in trust for the benefit of the persons entitled thereto a sum sufficient to pay the principal (and premium, if any, on) or interest, if any, so becoming due until such sums shall be paid to such persons or otherwise disposed of as herein provided and will promptly notify the Trustee for the Securities of such series of its action or failure so to act.</w:t>
      </w:r>
    </w:p>
    <w:p>
      <w:pPr>
        <w:spacing w:after="0" w:line="117"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Whenever the Issuer shall have one or more Paying Agents for any series of Securities, it will, prior to each due date of the principal of (and premium, if any, on) or interest, if any, on any Securities of that series, deposit with a Paying Agent a sum sufficient to pay the principal (and premium, if any, on) or interest so becoming due, such sum to be held in trust for the benefit of the persons entitled to such principal, premium or interest, and (unless such Paying Agent is the Trustee for the Securities of such series) the Issuer will promptly notify such Trustee of its action or failure so to act.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1" w:name="page122"/>
    <w:bookmarkEnd w:id="121"/>
    <w:p>
      <w:pPr>
        <w:ind w:firstLine="439"/>
        <w:spacing w:after="0" w:line="290" w:lineRule="auto"/>
        <w:rPr>
          <w:sz w:val="20"/>
          <w:szCs w:val="20"/>
          <w:color w:val="auto"/>
        </w:rPr>
      </w:pPr>
      <w:r>
        <w:rPr>
          <w:rFonts w:ascii="Times New Roman" w:cs="Times New Roman" w:eastAsia="Times New Roman" w:hAnsi="Times New Roman"/>
          <w:sz w:val="12"/>
          <w:szCs w:val="12"/>
          <w:color w:val="auto"/>
        </w:rPr>
        <w:t>The Issuer will cause each Paying Agent for any series of Securities other than the Trustee for the Securities of such series to execute and deliver to such Trustee an instrument in which such Paying Agent shall agree with such Trustee, subject to the provisions of this Section, that such Paying Agent will:</w:t>
      </w:r>
    </w:p>
    <w:p>
      <w:pPr>
        <w:spacing w:after="0" w:line="106" w:lineRule="exact"/>
        <w:rPr>
          <w:sz w:val="20"/>
          <w:szCs w:val="20"/>
          <w:color w:val="auto"/>
        </w:rPr>
      </w:pPr>
    </w:p>
    <w:p>
      <w:pPr>
        <w:ind w:left="440" w:firstLine="432"/>
        <w:spacing w:after="0" w:line="290" w:lineRule="auto"/>
        <w:tabs>
          <w:tab w:leader="none" w:pos="1433" w:val="left"/>
        </w:tabs>
        <w:numPr>
          <w:ilvl w:val="0"/>
          <w:numId w:val="9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hold all sums held by it for the payment of the principal of (and premium, if any, on) or interest, if any, on Securities of that series in trust for the benefit of the persons entitled thereto until such sums shall be paid to such persons or otherwise disposed of as herein provided;</w:t>
      </w:r>
    </w:p>
    <w:p>
      <w:pPr>
        <w:spacing w:after="0" w:line="105"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415" w:val="left"/>
        </w:tabs>
        <w:numPr>
          <w:ilvl w:val="0"/>
          <w:numId w:val="9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give such Trustee notice of any default by the Issuer (or any other obligor upon the Securities of that series) in the making of any payment of principal of (and premium, if any, on) or interest, if any, on the Securities of that series; and</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9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at any time during the continuance of any such default, upon the written request of such Trustee, forthwith pay to such Trustee all sums so held in trust by such Paying Agent.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The Issuer may at any time, for the purpose of obtaining the satisfaction and discharge of this Indenture or for any other purpose, pay, or by Company Order direct any Paying Agent to pay, to the Trustee for the Securities of any series all sums held in trust by the Issuer or such Paying Agent, such sums to be held by such Trustee upon the same trusts as those upon which such sums were held by the Issuer or such Paying Agent; and, upon such payment by any Paying Agent to such Trustee, such Paying Agent shall be released from all further liability with respect to such money.</w:t>
      </w:r>
    </w:p>
    <w:p>
      <w:pPr>
        <w:spacing w:after="0" w:line="117"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Subject to any applicable abandoned property law, any money deposited with the Trustee or any Paying Agent for the Securities of any series, or then held by the Issuer or the Guarantors, in trust for the payment of the principal of (and premium, if any, on) or interest, if any, on any Security of any series and remaining unclaimed for two years after such principal (and premium, if any) or interest has become due and payable shall be paid to the Issuer or the Guarantors on Company Request, or, if then held by the Issuer or the Guarantors, shall be discharged from such trust; and the Holder of such Security shall thereafter, as an unsecured general creditor, look only to the Issuer or the Guarantors, as the case may be, for payment thereof, and all liability of such Trustee or such Paying Agent with respect to such trust money, and all liability of the Issuer or the Guarantors, as the case may be, as trustee thereof, shall thereupon cease.</w:t>
      </w:r>
    </w:p>
    <w:p>
      <w:pPr>
        <w:spacing w:after="0" w:line="122"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1004.</w:t>
      </w:r>
      <w:r>
        <w:rPr>
          <w:sz w:val="20"/>
          <w:szCs w:val="20"/>
          <w:color w:val="auto"/>
        </w:rPr>
        <w:tab/>
      </w:r>
      <w:r>
        <w:rPr>
          <w:rFonts w:ascii="Times New Roman" w:cs="Times New Roman" w:eastAsia="Times New Roman" w:hAnsi="Times New Roman"/>
          <w:sz w:val="12"/>
          <w:szCs w:val="12"/>
          <w:u w:val="single" w:color="auto"/>
          <w:color w:val="auto"/>
        </w:rPr>
        <w:t>Limitation on Liens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2"/>
        <w:spacing w:after="0" w:line="260" w:lineRule="auto"/>
        <w:tabs>
          <w:tab w:leader="none" w:pos="950" w:val="left"/>
        </w:tabs>
        <w:numPr>
          <w:ilvl w:val="0"/>
          <w:numId w:val="9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Weatherford Parent covenants and agrees for the benefit of each series of Securities, other than any series established by or pursuant to a Board Resolution or an Officer’s Certificate of the Issuer of such series or in one or more supplemental indentures hereto which specifically provides otherwise, that Weatherford Parent will not, and will not permit any Restricted Subsidiary to, create, assume or guarantee any indebtedness for money borrowed secured by a Mortgage (i) on any Principal Property of Weatherford Parent or of a Restricted Subsidiary or (ii)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Securities (together, if Weatherford Parent shall so determine, with any other indebtedness then or thereafter existing, created, assumed or guaranteed by Weatherford Parent or such Restricted Subsidiary ranking equally with the Securities) shall be secured equally and ratably with (or prior to) such indebtedness; </w:t>
      </w:r>
      <w:r>
        <w:rPr>
          <w:rFonts w:ascii="Times New Roman" w:cs="Times New Roman" w:eastAsia="Times New Roman" w:hAnsi="Times New Roman"/>
          <w:sz w:val="12"/>
          <w:szCs w:val="12"/>
          <w:u w:val="single" w:color="auto"/>
          <w:color w:val="auto"/>
        </w:rPr>
        <w:t>excluding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from the foregoing any indebtedness secured by a Mortgage (including any extension, renewal or replacement, or successive extensions, renewals or replacements, of any Mortgage hereinafter specified or any indebtedness secured thereby, without increase of the principal of such indebtedness or expansion of the collateral securing such indebtedness):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2" w:name="page123"/>
    <w:bookmarkEnd w:id="122"/>
    <w:p>
      <w:pPr>
        <w:ind w:left="1380" w:hanging="508"/>
        <w:spacing w:after="0"/>
        <w:tabs>
          <w:tab w:leader="none" w:pos="1380"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on property, shares or Funded Indebtedness of any Person existing at the time such Person becomes a Restricted Subsidiary; or</w:t>
      </w:r>
    </w:p>
    <w:p>
      <w:pPr>
        <w:spacing w:after="0" w:line="154" w:lineRule="exact"/>
        <w:rPr>
          <w:rFonts w:ascii="Times New Roman" w:cs="Times New Roman" w:eastAsia="Times New Roman" w:hAnsi="Times New Roman"/>
          <w:sz w:val="12"/>
          <w:szCs w:val="12"/>
          <w:color w:val="010000"/>
        </w:rPr>
      </w:pPr>
    </w:p>
    <w:p>
      <w:pPr>
        <w:jc w:val="both"/>
        <w:ind w:left="440" w:firstLine="432"/>
        <w:spacing w:after="0" w:line="263" w:lineRule="auto"/>
        <w:tabs>
          <w:tab w:leader="none" w:pos="1354"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on property existing at the time of acquisition thereof by Weatherford Parent or a Restricted Subsidiary, or to secure any indebtedness incurred for the purpose of financing all or any part of the purchase price thereof or construction or improvements thereon, which indebtedness is incurred by Weatherford Parent or a Restricted Subsidiary prior to, at the time of or within 360 days after the later of the acquisition, the completion of construction (including any improvements on an existing property) and the commencement of commercial operation of such property;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case of any such acquisition, construction or improvement the Mortgage shall not apply to any property theretofore owned by Weatherford Parent or a Restricted Subsidiary, other than, in the case of any such construction or improvement, any theretofore unimproved real property on which the property so constructed, or the improvement, is located; or</w:t>
      </w:r>
    </w:p>
    <w:p>
      <w:pPr>
        <w:spacing w:after="0" w:line="122" w:lineRule="exact"/>
        <w:rPr>
          <w:rFonts w:ascii="Times New Roman" w:cs="Times New Roman" w:eastAsia="Times New Roman" w:hAnsi="Times New Roman"/>
          <w:sz w:val="12"/>
          <w:szCs w:val="12"/>
          <w:color w:val="010000"/>
        </w:rPr>
      </w:pPr>
    </w:p>
    <w:p>
      <w:pPr>
        <w:ind w:left="440" w:right="20" w:firstLine="432"/>
        <w:spacing w:after="0" w:line="290" w:lineRule="auto"/>
        <w:tabs>
          <w:tab w:leader="none" w:pos="1345"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on property, shares or Funded Indebtedness of a Person existing at the time such Person is merged into or consolidated with Weatherford Parent or a Restricted Subsidiary, or at the time of a sale, lease or other disposition of the properties of a Person as an entirety or substantially as an entirety to Weatherford Parent or a Restricted Subsidiary; or</w:t>
      </w:r>
    </w:p>
    <w:p>
      <w:pPr>
        <w:spacing w:after="0" w:line="105" w:lineRule="exact"/>
        <w:rPr>
          <w:rFonts w:ascii="Times New Roman" w:cs="Times New Roman" w:eastAsia="Times New Roman" w:hAnsi="Times New Roman"/>
          <w:sz w:val="12"/>
          <w:szCs w:val="12"/>
          <w:color w:val="010000"/>
        </w:rPr>
      </w:pPr>
    </w:p>
    <w:p>
      <w:pPr>
        <w:ind w:left="1320" w:hanging="448"/>
        <w:spacing w:after="0"/>
        <w:tabs>
          <w:tab w:leader="none" w:pos="1320"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on property of a Restricted Subsidiary to secure indebtedness of such Restricted Subsidiary to Weatherford Parent or another Restricted Subsidiary; or</w:t>
      </w:r>
    </w:p>
    <w:p>
      <w:pPr>
        <w:spacing w:after="0" w:line="154" w:lineRule="exact"/>
        <w:rPr>
          <w:rFonts w:ascii="Times New Roman" w:cs="Times New Roman" w:eastAsia="Times New Roman" w:hAnsi="Times New Roman"/>
          <w:sz w:val="12"/>
          <w:szCs w:val="12"/>
          <w:color w:val="010000"/>
        </w:rPr>
      </w:pPr>
    </w:p>
    <w:p>
      <w:pPr>
        <w:jc w:val="both"/>
        <w:ind w:left="440" w:firstLine="432"/>
        <w:spacing w:after="0" w:line="266" w:lineRule="auto"/>
        <w:tabs>
          <w:tab w:leader="none" w:pos="1409"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on property of Weatherford Parent or a Restricted Subsidiary in favor of the United States of America or any State thereof, Bermuda or the jurisdiction of organization of Weatherford Parent, or any department, agency or instrumentality or political subdivision of the United States of America or any State thereof, Bermuda or the jurisdiction of organization of Weatherford Parent,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120"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9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existing at the date of this Indenture;</w:t>
      </w:r>
    </w:p>
    <w:p>
      <w:pPr>
        <w:spacing w:after="0" w:line="15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Mortgage permitted by any of the foregoing clauses (1), (2), (3) and (5) of this Section 1004(a) shall not extend to or cover any property of Weatherford Parent or such Restricted Subsidiary, as the case may be, other than the property specified in such clauses and improvements thereto.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3" w:name="page124"/>
    <w:bookmarkEnd w:id="123"/>
    <w:p>
      <w:pPr>
        <w:jc w:val="both"/>
        <w:ind w:firstLine="432"/>
        <w:spacing w:after="0" w:line="263" w:lineRule="auto"/>
        <w:tabs>
          <w:tab w:leader="none" w:pos="993" w:val="left"/>
        </w:tabs>
        <w:numPr>
          <w:ilvl w:val="0"/>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Notwithstanding the provisions of subsection (a) of this Section 1004, Weatherford Parent or any Restricted Subsidiary may create, assume or guarantee secured indebtedness for money borrowed which would otherwise be prohibited in said subsection (a) in an aggregate amount which, together with all other such indebtedness for money borrowed of Weatherford Parent and its Restricted Subsidiaries and the Attributable Debt of Weatherford Parent and its Restricted Subsidiaries in respect of Sale and Leaseback Transactions (as defined in Section 1005) existing at such time (other than Sale and Leaseback Transactions entered into prior to the date of this Indenture and Sale and Leaseback Transactions the proceeds of which have been applied in accordance with clause (b) of Section 1005), does not at the time exceed 10% of the shareholders’ equity in Weatherford Parent and its consolidated Subsidiaries, as shown on the audited consolidated balance sheet contained in the latest annual report to shareholders of Weatherford Parent.</w:t>
      </w:r>
    </w:p>
    <w:p>
      <w:pPr>
        <w:spacing w:after="0" w:line="122"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For the purposes of this Article Ten,</w:t>
      </w:r>
    </w:p>
    <w:p>
      <w:pPr>
        <w:spacing w:after="0" w:line="154" w:lineRule="exact"/>
        <w:rPr>
          <w:rFonts w:ascii="Times New Roman" w:cs="Times New Roman" w:eastAsia="Times New Roman" w:hAnsi="Times New Roman"/>
          <w:sz w:val="12"/>
          <w:szCs w:val="12"/>
          <w:color w:val="010000"/>
        </w:rPr>
      </w:pPr>
    </w:p>
    <w:p>
      <w:pPr>
        <w:jc w:val="both"/>
        <w:ind w:left="440" w:firstLine="432"/>
        <w:spacing w:after="0" w:line="259" w:lineRule="auto"/>
        <w:tabs>
          <w:tab w:leader="none" w:pos="1451" w:val="left"/>
        </w:tabs>
        <w:numPr>
          <w:ilvl w:val="1"/>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term “Attributable Debt” shall mean, as of any particular time, the lesser of (i) the fair value of the property subject to the applicable sale and leaseback transaction (as determined by the board of directors of Weatherford Parent) and (ii) the then present value (discounted at a rate equal to the weighted average of the rate of interest on all securities issued by the Issuer then issued and outstanding under this Indenture, compounded semi-annually) of the total net amount of rent required to be paid under such lease during the remaining term thereof (excluding any renewal term unless the renewal is at 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 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26" w:lineRule="exact"/>
        <w:rPr>
          <w:rFonts w:ascii="Times New Roman" w:cs="Times New Roman" w:eastAsia="Times New Roman" w:hAnsi="Times New Roman"/>
          <w:sz w:val="12"/>
          <w:szCs w:val="12"/>
          <w:color w:val="010000"/>
        </w:rPr>
      </w:pPr>
    </w:p>
    <w:p>
      <w:pPr>
        <w:ind w:left="440" w:firstLine="432"/>
        <w:spacing w:after="0" w:line="290" w:lineRule="auto"/>
        <w:tabs>
          <w:tab w:leader="none" w:pos="1415" w:val="left"/>
        </w:tabs>
        <w:numPr>
          <w:ilvl w:val="1"/>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term “shareholders’ equity in Weatherford Parent and its consolidated Subsidiaries” shall mean the share capital, share premium, contributed surplus and retained earnings of Weatherford Parent and its consolidated Subsidiaries, excluding the cost of shares of Weatherford Parent held by its Affiliates, all as determined in accordance with GAAP; and</w:t>
      </w:r>
    </w:p>
    <w:p>
      <w:pPr>
        <w:spacing w:after="0" w:line="105"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1"/>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term “Mortgage” on any specified property shall mean any mortgage, lien, pledge, charge or other security interest or encumbrance of any kind in respect of such property.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4" w:name="page125"/>
    <w:bookmarkEnd w:id="124"/>
    <w:p>
      <w:pPr>
        <w:ind w:left="447"/>
        <w:spacing w:after="0"/>
        <w:tabs>
          <w:tab w:leader="none" w:pos="1426" w:val="left"/>
        </w:tabs>
        <w:rPr>
          <w:sz w:val="20"/>
          <w:szCs w:val="20"/>
          <w:color w:val="auto"/>
        </w:rPr>
      </w:pPr>
      <w:r>
        <w:rPr>
          <w:rFonts w:ascii="Times New Roman" w:cs="Times New Roman" w:eastAsia="Times New Roman" w:hAnsi="Times New Roman"/>
          <w:sz w:val="12"/>
          <w:szCs w:val="12"/>
          <w:color w:val="010000"/>
        </w:rPr>
        <w:t>SECTION 1005.</w:t>
      </w:r>
      <w:r>
        <w:rPr>
          <w:sz w:val="20"/>
          <w:szCs w:val="20"/>
          <w:color w:val="auto"/>
        </w:rPr>
        <w:tab/>
      </w:r>
      <w:r>
        <w:rPr>
          <w:rFonts w:ascii="Times New Roman" w:cs="Times New Roman" w:eastAsia="Times New Roman" w:hAnsi="Times New Roman"/>
          <w:sz w:val="12"/>
          <w:szCs w:val="12"/>
          <w:u w:val="single" w:color="auto"/>
          <w:color w:val="auto"/>
        </w:rPr>
        <w:t>Limitation on Sale and Leaseback Transactions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left="7" w:firstLine="439"/>
        <w:spacing w:after="0" w:line="258" w:lineRule="auto"/>
        <w:rPr>
          <w:sz w:val="20"/>
          <w:szCs w:val="20"/>
          <w:color w:val="auto"/>
        </w:rPr>
      </w:pPr>
      <w:r>
        <w:rPr>
          <w:rFonts w:ascii="Times New Roman" w:cs="Times New Roman" w:eastAsia="Times New Roman" w:hAnsi="Times New Roman"/>
          <w:sz w:val="12"/>
          <w:szCs w:val="12"/>
          <w:color w:val="auto"/>
        </w:rPr>
        <w:t>Weatherford Parent covenants and agrees for the benefit of each series of Securities, other than any series established by or pursuant to a Board Resolution or an Officer’s Certificate of the Issuer of such series or in one or more supplemental indentures hereto which specifically provides otherwise, that Weatherford Parent will not, and will not permit any Restricted Subsidiary to, enter into any arrangement with any person for the leasing by Weatherford Parent or a Restricted Subsidiary (except for leases for a term of not more than three years and for leases of a part of a Principal Property which has been sold, for use in connection with the winding up or termination of the business conducted on such Principal Property, and except, in the case of a Restricted Subsidiary, a lease to Weatherford Parent or another Restricted Subsidiary) of any Principal Property (whether now owned or hereafter acquired), which Principal Property has been or is intended to be sold or transferred by Weatherford Parent or such Restricted Subsidiary to such person (herein referred to as a “</w:t>
      </w:r>
      <w:r>
        <w:rPr>
          <w:rFonts w:ascii="Times New Roman" w:cs="Times New Roman" w:eastAsia="Times New Roman" w:hAnsi="Times New Roman"/>
          <w:sz w:val="12"/>
          <w:szCs w:val="12"/>
          <w:u w:val="single" w:color="auto"/>
          <w:color w:val="auto"/>
        </w:rPr>
        <w:t>Sale and Leaseback Transaction</w:t>
      </w:r>
      <w:r>
        <w:rPr>
          <w:rFonts w:ascii="Times New Roman" w:cs="Times New Roman" w:eastAsia="Times New Roman" w:hAnsi="Times New Roman"/>
          <w:sz w:val="12"/>
          <w:szCs w:val="12"/>
          <w:color w:val="auto"/>
        </w:rPr>
        <w:t>”), unless</w:t>
      </w:r>
    </w:p>
    <w:p>
      <w:pPr>
        <w:spacing w:after="0" w:line="3" w:lineRule="exact"/>
        <w:rPr>
          <w:sz w:val="20"/>
          <w:szCs w:val="20"/>
          <w:color w:val="auto"/>
        </w:rPr>
      </w:pPr>
    </w:p>
    <w:p>
      <w:pPr>
        <w:jc w:val="both"/>
        <w:ind w:left="7" w:hanging="7"/>
        <w:spacing w:after="0" w:line="256" w:lineRule="auto"/>
        <w:tabs>
          <w:tab w:leader="none" w:pos="175"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Weatherford Parent or such Restricted Subsidiary would be entitled, pursuant to the provisions of Section 1004, to incur indebtedness secured by a Mortgage on such Principal Property without equally and ratably securing the Securities, or (b) Weatherford Parent shall (and in any such case Weatherford Parent covenants that it will) apply within 360 days of the effective date of any such Sale and Leaseback Transaction an amount equal to the fair value (as determined by its Board of Directors) of such Principal Property so leased (i) to the retirement (other than by payment at maturity or to satisfy the mandatory requirements of any sinking, purchase or analogous fund or prepayment provision) of the Securities or other Funded Indebtedness of Weatherford Parent or any Restricted Subsidiary ranking on a parity with the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amount to be applied to the retirement of any Funded Indebtedness as provided under this clause (i) shall be reduced by (x) the principal amount of any Securities delivered within 360 days after such sale or transfer to the Trustee for the Securities of such series for retirement and cancellation and (y) the principal amount of other Funded Indebtedness ranking on a parity with the Securities voluntarily retired by Weatherford Parent within 360 days after such sale or transfer; or (ii) to the purchase, improvement or construction of properties which are Principal Properties,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only a portion of such proceeds is designated as a credit against such purchase, improvement or construction, Weatherford Parent shall apply an amount equal to the remainder as provided in clause (i); and promptly after the expiration of such 360-day period Weatherford Parent shall have delivered to the Trustee for the Securities of such series an Officer’s Certificate setting forth in reasonable detail all material facts necessary to show compliance with this subsection.</w:t>
      </w:r>
    </w:p>
    <w:p>
      <w:pPr>
        <w:spacing w:after="0" w:line="127" w:lineRule="exact"/>
        <w:rPr>
          <w:sz w:val="20"/>
          <w:szCs w:val="20"/>
          <w:color w:val="auto"/>
        </w:rPr>
      </w:pPr>
    </w:p>
    <w:p>
      <w:pPr>
        <w:ind w:left="447"/>
        <w:spacing w:after="0"/>
        <w:tabs>
          <w:tab w:leader="none" w:pos="1426" w:val="left"/>
        </w:tabs>
        <w:rPr>
          <w:sz w:val="20"/>
          <w:szCs w:val="20"/>
          <w:color w:val="auto"/>
        </w:rPr>
      </w:pPr>
      <w:r>
        <w:rPr>
          <w:rFonts w:ascii="Times New Roman" w:cs="Times New Roman" w:eastAsia="Times New Roman" w:hAnsi="Times New Roman"/>
          <w:sz w:val="12"/>
          <w:szCs w:val="12"/>
          <w:color w:val="010000"/>
        </w:rPr>
        <w:t>SECTION 1006.</w:t>
      </w:r>
      <w:r>
        <w:rPr>
          <w:sz w:val="20"/>
          <w:szCs w:val="20"/>
          <w:color w:val="auto"/>
        </w:rPr>
        <w:tab/>
      </w:r>
      <w:r>
        <w:rPr>
          <w:rFonts w:ascii="Times New Roman" w:cs="Times New Roman" w:eastAsia="Times New Roman" w:hAnsi="Times New Roman"/>
          <w:sz w:val="12"/>
          <w:szCs w:val="12"/>
          <w:u w:val="single" w:color="auto"/>
          <w:color w:val="auto"/>
        </w:rPr>
        <w:t>Defeasance of Certain Obligations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left="7" w:firstLine="439"/>
        <w:spacing w:after="0" w:line="263" w:lineRule="auto"/>
        <w:rPr>
          <w:sz w:val="20"/>
          <w:szCs w:val="20"/>
          <w:color w:val="auto"/>
        </w:rPr>
      </w:pPr>
      <w:r>
        <w:rPr>
          <w:rFonts w:ascii="Times New Roman" w:cs="Times New Roman" w:eastAsia="Times New Roman" w:hAnsi="Times New Roman"/>
          <w:sz w:val="12"/>
          <w:szCs w:val="12"/>
          <w:color w:val="auto"/>
        </w:rPr>
        <w:t xml:space="preserve">Upon the Issuer’s exercise of its option, if any, to have this Section 1006 applied to any Securities or any series of Securities issued by such Issuer, or if this Section 1006 shall otherwise apply to any Securities or any series of Securities issued by such Issuer, each of the Issuer and the Guarantors may omit to comply with, and shall have no liability in respect of, any term, provision or condition set forth in Sections 1004 and 1005 (and each of the Issuer and the Guarantors may omit to comply with, and shall have no liability in respect of any other provision or condition specified pursuant to Section 301(14) for such Securities) with respect to the Securities of any series whether directly or indirectly, by reason of any reference elsewhere herein to any such covenant, to any other provision herein or in any other document and such omission to comply shall not constitute a Default or Event of Default under Section 501(4) or otherwise, as the case may be;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following conditions shall have been satisfied:</w:t>
      </w:r>
    </w:p>
    <w:p>
      <w:pPr>
        <w:spacing w:after="0" w:line="26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25" w:name="page126"/>
    <w:bookmarkEnd w:id="125"/>
    <w:p>
      <w:pPr>
        <w:jc w:val="both"/>
        <w:ind w:left="8" w:firstLine="432"/>
        <w:spacing w:after="0" w:line="265" w:lineRule="auto"/>
        <w:tabs>
          <w:tab w:leader="none" w:pos="982" w:val="left"/>
        </w:tabs>
        <w:numPr>
          <w:ilvl w:val="1"/>
          <w:numId w:val="10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has deposited or caused to be irrevocably deposited (except as provided in Section 402(c) and the last paragraph of Section 1003) with the Trustee for the Securities of such series (specifying that each deposit is pursuant to this Section 1006) as trust funds in trust, specifically pledged as security for, and dedicated solely to, the benefit of the Holders of the Securities of such series, (i) money in an amount, or</w:t>
      </w:r>
    </w:p>
    <w:p>
      <w:pPr>
        <w:jc w:val="both"/>
        <w:ind w:left="8" w:hanging="8"/>
        <w:spacing w:after="0" w:line="257" w:lineRule="auto"/>
        <w:tabs>
          <w:tab w:leader="none" w:pos="192"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provided in a supplemental indenture with respect to such series) if Securities of such series are not subject to repurchase at the option of such Holders, (A) U.S. Government Obligations which through the payment of interest and principal in respect thereof in accordance with their terms will provide not later than one day before the due date of any payment referred to in clause (x) or (y) of this subparagraph (1) money in an amount, or (B) a combination of the foregoing, sufficient, in the opinion of a nationally recognized firm of independent certified public accountants expressed in a written certification thereof delivered to such Trustee, to pay and discharge (x) the principal of (and premium, if any, on) and each installment of principal of (and premium, if any, on) and interest, if any, on the Outstanding Securities of such series on the Stated Maturity of such principal or installment of principal or interest or to, but excluding, the Redemption Date irrevocably designated by the Issuer pursuant to subparagraph (4) of this Section and (y) any mandatory sinking fund payments applicable to the Securities of such series on the day on which such payments are due and payable in accordance with the terms of the Indenture and of the Securities of such series;</w:t>
      </w:r>
    </w:p>
    <w:p>
      <w:pPr>
        <w:spacing w:after="0" w:line="126" w:lineRule="exact"/>
        <w:rPr>
          <w:rFonts w:ascii="Times New Roman" w:cs="Times New Roman" w:eastAsia="Times New Roman" w:hAnsi="Times New Roman"/>
          <w:sz w:val="12"/>
          <w:szCs w:val="12"/>
          <w:color w:val="auto"/>
        </w:rPr>
      </w:pPr>
    </w:p>
    <w:p>
      <w:pPr>
        <w:ind w:left="8" w:right="20" w:firstLine="432"/>
        <w:spacing w:after="0" w:line="290" w:lineRule="auto"/>
        <w:tabs>
          <w:tab w:leader="none" w:pos="982" w:val="left"/>
        </w:tabs>
        <w:numPr>
          <w:ilvl w:val="1"/>
          <w:numId w:val="10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Event of Default or event which, with notice or lapse of time or both, would become an Event of Default (including by reason of such deposit) with respect to the Securities of such series shall have occurred and be continuing on the date of such deposit;</w:t>
      </w:r>
    </w:p>
    <w:p>
      <w:pPr>
        <w:spacing w:after="0" w:line="105" w:lineRule="exact"/>
        <w:rPr>
          <w:rFonts w:ascii="Times New Roman" w:cs="Times New Roman" w:eastAsia="Times New Roman" w:hAnsi="Times New Roman"/>
          <w:sz w:val="12"/>
          <w:szCs w:val="12"/>
          <w:color w:val="010000"/>
        </w:rPr>
      </w:pPr>
    </w:p>
    <w:p>
      <w:pPr>
        <w:ind w:left="8" w:right="20" w:firstLine="432"/>
        <w:spacing w:after="0" w:line="290" w:lineRule="auto"/>
        <w:tabs>
          <w:tab w:leader="none" w:pos="1065" w:val="left"/>
        </w:tabs>
        <w:numPr>
          <w:ilvl w:val="1"/>
          <w:numId w:val="10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Issuer shall have delivered to such Trustee an Opinion of Counsel to the effect that Holders of the Securities of such series will not recognize income, gain or loss for U.S. federal income tax purposes as a result of such deposit and defeasance of certain obligations and that no Event of Default or default shall have occurred and be continuing; and</w:t>
      </w:r>
    </w:p>
    <w:p>
      <w:pPr>
        <w:spacing w:after="0" w:line="105" w:lineRule="exact"/>
        <w:rPr>
          <w:rFonts w:ascii="Times New Roman" w:cs="Times New Roman" w:eastAsia="Times New Roman" w:hAnsi="Times New Roman"/>
          <w:sz w:val="12"/>
          <w:szCs w:val="12"/>
          <w:color w:val="010000"/>
        </w:rPr>
      </w:pPr>
    </w:p>
    <w:p>
      <w:pPr>
        <w:jc w:val="both"/>
        <w:ind w:left="8" w:firstLine="432"/>
        <w:spacing w:after="0" w:line="263" w:lineRule="auto"/>
        <w:tabs>
          <w:tab w:leader="none" w:pos="1092" w:val="left"/>
        </w:tabs>
        <w:numPr>
          <w:ilvl w:val="1"/>
          <w:numId w:val="10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the Issuer has deposited or caused to be deposited money or U.S. Government Obligations or a combination thereof (if U.S. Government Obligations, as certified in the opinion of a nationally recognized firm of independent certified public accountants) to pay or discharge the principal of (and premium, if any, on) and interest, if any, on the Outstanding Securities of a series to, but excluding, a Redemption Date on which all of the Outstanding Securities of such series are to be redeemed, such Redemption Date shall be irrevocably designated by a Board Resolution of the Issuer or delivered to such Trustee on or prior to the date of deposit of such money or U.S. Government Obligations, and such Board Resolution shall be accompanied by an irrevocable Company Request that such Trustee give notice of such redemption in the name and at the expense of the Issuer and not less than 15 nor more than 60 days prior to such Redemption Date in accordance with Section 1104.</w:t>
      </w:r>
    </w:p>
    <w:p>
      <w:pPr>
        <w:spacing w:after="0" w:line="269"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13335</wp:posOffset>
            </wp:positionV>
            <wp:extent cx="717677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0868"/>
          </w:cols>
          <w:pgMar w:left="732" w:top="657" w:right="299" w:bottom="1440" w:gutter="0" w:footer="0" w:header="0"/>
        </w:sectPr>
      </w:pPr>
    </w:p>
    <w:bookmarkStart w:id="126" w:name="page127"/>
    <w:bookmarkEnd w:id="126"/>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1007.</w:t>
      </w:r>
      <w:r>
        <w:rPr>
          <w:sz w:val="20"/>
          <w:szCs w:val="20"/>
          <w:color w:val="auto"/>
        </w:rPr>
        <w:tab/>
      </w:r>
      <w:r>
        <w:rPr>
          <w:rFonts w:ascii="Times New Roman" w:cs="Times New Roman" w:eastAsia="Times New Roman" w:hAnsi="Times New Roman"/>
          <w:sz w:val="12"/>
          <w:szCs w:val="12"/>
          <w:u w:val="single" w:color="auto"/>
          <w:color w:val="auto"/>
        </w:rPr>
        <w:t>Statement by Officer as to Default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Weatherford Parent will deliver to the Trustee for each series of Securities, on or before May 15 in each year ending after the date hereof, an Officer’s Certificate (one of the signatories of which shall be the principal executive officer, principal accounting officer or principal financial officer of Weatherford Parent) stating that in the course of the performance by such signer of his or her duties as an officer of Weatherford Parent, he or she would normally have knowledge of any default (without regard to periods of grace or notice requirements) by the Issuer or the Guarantors in the performance and observance of any of their respective covenants contained in this Indenture, and stating whether or not he or she has knowledge of any such default and, if so, specifying each such default of which such signer has knowledge and the nature thereof.</w:t>
      </w:r>
    </w:p>
    <w:p>
      <w:pPr>
        <w:spacing w:after="0" w:line="120"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Weatherford Parent covenants to deliver to the Trustee, for each series of Securities, as soon as possible and in any event within five Business Days after Weatherford Parent becomes aware of the occurrence of any Event of Default or an event which, with notice or the lapse of time or both, would constitute an Event of Default, an Officer’s Certificate setting forth the details of such Event of Default or default and the action which Weatherford Parent, the Issuer and the Guarantors, as applicable, propose to take with respect thereto.</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1008.</w:t>
      </w:r>
      <w:r>
        <w:rPr>
          <w:sz w:val="20"/>
          <w:szCs w:val="20"/>
          <w:color w:val="auto"/>
        </w:rPr>
        <w:tab/>
      </w:r>
      <w:r>
        <w:rPr>
          <w:rFonts w:ascii="Times New Roman" w:cs="Times New Roman" w:eastAsia="Times New Roman" w:hAnsi="Times New Roman"/>
          <w:sz w:val="12"/>
          <w:szCs w:val="12"/>
          <w:u w:val="single" w:color="auto"/>
          <w:color w:val="auto"/>
        </w:rPr>
        <w:t>Waiver of Certain Covenants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Each of the Issuer and the Guarantors may omit in any particular instance to comply with any term, provision or condition set forth in Sections 1004 and 1005 (and each of the Issuer and the Guarantors may omit in any particular instance to comply with any term, provision or condition specified pursuant to Section 301(14) for such Securities) if before the time for such compliance the Holders of at least a majority in principal amount of the Outstanding Securities of all series affected by such omission (voting as one class)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Issuer and the Guarantors, as the case may be, and the duties of the Trustee for the Securities of each series in respect of any such term, provision or condition shall remain in full force and effect.</w:t>
      </w:r>
    </w:p>
    <w:p>
      <w:pPr>
        <w:spacing w:after="0" w:line="122"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1009.</w:t>
      </w:r>
      <w:r>
        <w:rPr>
          <w:sz w:val="20"/>
          <w:szCs w:val="20"/>
          <w:color w:val="auto"/>
        </w:rPr>
        <w:tab/>
      </w:r>
      <w:r>
        <w:rPr>
          <w:rFonts w:ascii="Times New Roman" w:cs="Times New Roman" w:eastAsia="Times New Roman" w:hAnsi="Times New Roman"/>
          <w:sz w:val="12"/>
          <w:szCs w:val="12"/>
          <w:u w:val="single" w:color="auto"/>
          <w:color w:val="auto"/>
        </w:rPr>
        <w:t>Calculation of Original Issue Discount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The Issuer shall file with the Trustee for the Original Issue Discount Securities of each series promptly at the end of each calendar year (i) a written notice specifying the amount of original issue discount (including daily rates and accrual periods) accrued on the Outstanding Securities as of the end of such year and (ii) such other specific information relating to such original issue discount as may then be relevant under the Internal Revenue Code of 1986, as amended from time to time.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804" w:right="29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2"/>
          <w:szCs w:val="12"/>
          <w:color w:val="010000"/>
        </w:rPr>
        <w:t>ARTICLE ELEVEN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REDEMPTION OF SECURITIES</w:t>
      </w:r>
    </w:p>
    <w:p>
      <w:pPr>
        <w:spacing w:after="0" w:line="14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1101.</w:t>
      </w:r>
      <w:r>
        <w:rPr>
          <w:sz w:val="20"/>
          <w:szCs w:val="20"/>
          <w:color w:val="auto"/>
        </w:rPr>
        <w:tab/>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Securities of any series which are redeemable before their Stated Maturity shall be redeemable in accordance with their terms and (except as otherwise specified as contemplated by Section 301 for Securities of any series) in accordance with this Article Eleven.</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1102.</w:t>
      </w:r>
      <w:r>
        <w:rPr>
          <w:sz w:val="20"/>
          <w:szCs w:val="20"/>
          <w:color w:val="auto"/>
        </w:rPr>
        <w:tab/>
      </w:r>
      <w:r>
        <w:rPr>
          <w:rFonts w:ascii="Times New Roman" w:cs="Times New Roman" w:eastAsia="Times New Roman" w:hAnsi="Times New Roman"/>
          <w:sz w:val="12"/>
          <w:szCs w:val="12"/>
          <w:u w:val="single" w:color="auto"/>
          <w:color w:val="auto"/>
        </w:rPr>
        <w:t>Election to Redeem; Notice to Trustee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2"/>
          <w:szCs w:val="12"/>
          <w:color w:val="auto"/>
        </w:rPr>
        <w:t>The election of the Issuer to redeem any Securities of any series shall be evidenced by an Officer’s Certificate. In case of any redemption at the election of the Issuer of the Securities of any series, the Issuer shall, at least five Business Days prior to the date notice of redemption is required to be sent or caused to be sent pursuant to Section 1104 (unless a shorter notice shall be reasonably satisfactory to the Trustee for the Securities of such series), notify such Trustee of such Redemption Date and of the principal amount of Securities of such series to be redeemed, such notice to be accompanied by a written statement signed by an authorized officer of the Issuer stating that no defaults in the payment of interest or Events of Default with respect to the Securities of that series have occurred (which have not been waived or cured). In the case of any redemption of Securities prior to the expiration of any restriction on such redemption provided in the terms of such Securities or elsewhere in this Indenture, the Issuer shall furnish the Trustee for the Securities of such series with an Officer’s Certificate evidencing compliance with such restriction.</w:t>
      </w:r>
    </w:p>
    <w:p>
      <w:pPr>
        <w:spacing w:after="0" w:line="272"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1103.</w:t>
      </w:r>
      <w:r>
        <w:rPr>
          <w:sz w:val="20"/>
          <w:szCs w:val="20"/>
          <w:color w:val="auto"/>
        </w:rPr>
        <w:tab/>
      </w:r>
      <w:r>
        <w:rPr>
          <w:rFonts w:ascii="Times New Roman" w:cs="Times New Roman" w:eastAsia="Times New Roman" w:hAnsi="Times New Roman"/>
          <w:sz w:val="12"/>
          <w:szCs w:val="12"/>
          <w:u w:val="single" w:color="auto"/>
          <w:color w:val="auto"/>
        </w:rPr>
        <w:t>Selection of Securities to Be Redeemed</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 xml:space="preserve">If less than all the Securities of any series are to be redeemed, the Securities of that series to be redeemed shall be selected by lot, on a pro rata basis or by any other method the Trustee deems to be fair and appropriate (or, in the case of Global Securities, based on the method required by the U.S. Depositary or, if it is not so required, a method that most nearly approximates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selection as the Trustee deems fair and appropriate), unless otherwise required by law or applicable stock exchange or depositary requirements, not more than 60 days prior to the Redemption Date by the U.S. Depositary or the Trustee, as applicable, for the Securities of such series, from the Outstanding Securities of such series not previously called for redemption. Notices of redemption may be subject to the satisfaction of one or more conditions precedent to the extent so indicated for a particular series of Securities by a Board Resolution, supplemental indenture or Officer’s Certificate</w:t>
      </w:r>
    </w:p>
    <w:p>
      <w:pPr>
        <w:spacing w:after="0" w:line="122" w:lineRule="exact"/>
        <w:rPr>
          <w:sz w:val="20"/>
          <w:szCs w:val="20"/>
          <w:color w:val="auto"/>
        </w:rPr>
      </w:pPr>
    </w:p>
    <w:p>
      <w:pPr>
        <w:jc w:val="both"/>
        <w:ind w:right="20" w:firstLine="439"/>
        <w:spacing w:after="0" w:line="272" w:lineRule="auto"/>
        <w:rPr>
          <w:sz w:val="20"/>
          <w:szCs w:val="20"/>
          <w:color w:val="auto"/>
        </w:rPr>
      </w:pPr>
      <w:r>
        <w:rPr>
          <w:rFonts w:ascii="Times New Roman" w:cs="Times New Roman" w:eastAsia="Times New Roman" w:hAnsi="Times New Roman"/>
          <w:sz w:val="12"/>
          <w:szCs w:val="12"/>
          <w:color w:val="auto"/>
        </w:rPr>
        <w:t>Securities shall be excluded from eligibility for selection for redemption if they are identified by registration and certificate number in a written statement signed by an authorized officer of the Issuer and delivered to the Trustee for the Securities of such series at least 60 days prior to the Redemption Date as being owned of record and beneficially by, and not pledged or hypothecated by either (a) the Issuer or the Guarantors or (b) an entity specifically identified in such written statement that is an Affiliate of the Issuer or the Guarantors.</w:t>
      </w:r>
    </w:p>
    <w:p>
      <w:pPr>
        <w:spacing w:after="0" w:line="117"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Trustee for the Securities of such series shall promptly notify the Issuer and the Guarantors in writing of the Securities selected for redemption and, in the case of any Securities selected for partial redemption, the principal amount thereof to be redeemed.</w:t>
      </w:r>
    </w:p>
    <w:p>
      <w:pPr>
        <w:spacing w:after="0" w:line="106"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1104.</w:t>
      </w:r>
      <w:r>
        <w:rPr>
          <w:sz w:val="20"/>
          <w:szCs w:val="20"/>
          <w:color w:val="auto"/>
        </w:rPr>
        <w:tab/>
      </w:r>
      <w:r>
        <w:rPr>
          <w:rFonts w:ascii="Times New Roman" w:cs="Times New Roman" w:eastAsia="Times New Roman" w:hAnsi="Times New Roman"/>
          <w:sz w:val="12"/>
          <w:szCs w:val="12"/>
          <w:u w:val="single" w:color="auto"/>
          <w:color w:val="auto"/>
        </w:rPr>
        <w:t>Notice of Redemption</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Notice of redemption shall be given by electronic delivery or first-class mail, postage prepaid, delivered or mailed not less than 15 nor more than 60 days prior to the Redemption Date, to each Holder of Securities to be redeemed, at his or her address appearing in the Security Register or otherwise in accordance with the procedures of the U.S. Depositary.</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All notices of redemption shall identify the Securities (including CUSIP numbers) to be redeemed and shall state:</w:t>
      </w:r>
    </w:p>
    <w:p>
      <w:pPr>
        <w:spacing w:after="0" w:line="155" w:lineRule="exact"/>
        <w:rPr>
          <w:sz w:val="20"/>
          <w:szCs w:val="20"/>
          <w:color w:val="auto"/>
        </w:rPr>
      </w:pPr>
    </w:p>
    <w:p>
      <w:pPr>
        <w:ind w:left="1380" w:hanging="508"/>
        <w:spacing w:after="0"/>
        <w:tabs>
          <w:tab w:leader="none" w:pos="1380" w:val="left"/>
        </w:tabs>
        <w:numPr>
          <w:ilvl w:val="0"/>
          <w:numId w:val="10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Redemption Date;</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10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Redemption Price;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8" w:name="page129"/>
    <w:bookmarkEnd w:id="128"/>
    <w:p>
      <w:pPr>
        <w:ind w:left="1380" w:hanging="508"/>
        <w:spacing w:after="0"/>
        <w:tabs>
          <w:tab w:leader="none" w:pos="1380" w:val="left"/>
        </w:tabs>
        <w:numPr>
          <w:ilvl w:val="0"/>
          <w:numId w:val="10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less than all the Outstanding Securities of any series are to be redeemed, the identification (and, in the case of partial redemption, the principal amounts) of the particular Securities to be redeemed;</w:t>
      </w:r>
    </w:p>
    <w:p>
      <w:pPr>
        <w:spacing w:after="0" w:line="154" w:lineRule="exact"/>
        <w:rPr>
          <w:rFonts w:ascii="Times New Roman" w:cs="Times New Roman" w:eastAsia="Times New Roman" w:hAnsi="Times New Roman"/>
          <w:sz w:val="12"/>
          <w:szCs w:val="12"/>
          <w:color w:val="010000"/>
        </w:rPr>
      </w:pPr>
    </w:p>
    <w:p>
      <w:pPr>
        <w:ind w:left="1440" w:hanging="568"/>
        <w:spacing w:after="0"/>
        <w:tabs>
          <w:tab w:leader="none" w:pos="1440" w:val="left"/>
        </w:tabs>
        <w:numPr>
          <w:ilvl w:val="0"/>
          <w:numId w:val="10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that on the Redemption Date the Redemption Price will become due and payable upon each such Security to be redeemed and, if applicable, that interest thereon will cease to accrue on and after said</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date;</w:t>
      </w:r>
    </w:p>
    <w:p>
      <w:pPr>
        <w:spacing w:after="0" w:line="143" w:lineRule="exact"/>
        <w:rPr>
          <w:sz w:val="20"/>
          <w:szCs w:val="20"/>
          <w:color w:val="auto"/>
        </w:rPr>
      </w:pPr>
    </w:p>
    <w:p>
      <w:pPr>
        <w:ind w:left="1380" w:hanging="508"/>
        <w:spacing w:after="0"/>
        <w:tabs>
          <w:tab w:leader="none" w:pos="1380" w:val="left"/>
        </w:tabs>
        <w:numPr>
          <w:ilvl w:val="0"/>
          <w:numId w:val="10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place or places where such Securities are to be surrendered for payment of the Redemption Price;</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10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that the redemption is for a sinking fund, if such is the case; and</w:t>
      </w:r>
    </w:p>
    <w:p>
      <w:pPr>
        <w:spacing w:after="0" w:line="154" w:lineRule="exact"/>
        <w:rPr>
          <w:rFonts w:ascii="Times New Roman" w:cs="Times New Roman" w:eastAsia="Times New Roman" w:hAnsi="Times New Roman"/>
          <w:sz w:val="12"/>
          <w:szCs w:val="12"/>
          <w:color w:val="010000"/>
        </w:rPr>
      </w:pPr>
    </w:p>
    <w:p>
      <w:pPr>
        <w:ind w:left="1380" w:hanging="508"/>
        <w:spacing w:after="0"/>
        <w:tabs>
          <w:tab w:leader="none" w:pos="1380" w:val="left"/>
        </w:tabs>
        <w:numPr>
          <w:ilvl w:val="0"/>
          <w:numId w:val="10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conditions precedent for the redemption or notice of redemption.</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Notice of redemption of Securities to be redeemed at the election of the Issuer shall be given by the Issuer or, at the Issuer’s written request and expense, by the Trustee for such Securities in the name and at the expense of the Issuer. Any redemption or notice of redemption may, at the Issuer’s discretion, be subject to one or more conditions precedent.</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1105.</w:t>
      </w:r>
      <w:r>
        <w:rPr>
          <w:sz w:val="20"/>
          <w:szCs w:val="20"/>
          <w:color w:val="auto"/>
        </w:rPr>
        <w:tab/>
      </w:r>
      <w:r>
        <w:rPr>
          <w:rFonts w:ascii="Times New Roman" w:cs="Times New Roman" w:eastAsia="Times New Roman" w:hAnsi="Times New Roman"/>
          <w:sz w:val="12"/>
          <w:szCs w:val="12"/>
          <w:u w:val="single" w:color="auto"/>
          <w:color w:val="auto"/>
        </w:rPr>
        <w:t>Deposit of Redemption Price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By no later than 10:00 A.M. New York City time on any Redemption Date, the Issuer shall deposit with the Trustee for the Securities to be redeemed or with a Paying Agent (or, if the Issuer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(to the extent that such amounts are not already on deposit at such time in accordance with the provisions of Section 401, 403 or 1006).</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1106.</w:t>
      </w:r>
      <w:r>
        <w:rPr>
          <w:sz w:val="20"/>
          <w:szCs w:val="20"/>
          <w:color w:val="auto"/>
        </w:rPr>
        <w:tab/>
      </w:r>
      <w:r>
        <w:rPr>
          <w:rFonts w:ascii="Times New Roman" w:cs="Times New Roman" w:eastAsia="Times New Roman" w:hAnsi="Times New Roman"/>
          <w:sz w:val="12"/>
          <w:szCs w:val="12"/>
          <w:u w:val="single" w:color="auto"/>
          <w:color w:val="auto"/>
        </w:rPr>
        <w:t>Securities Payable on Redemption Date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 xml:space="preserve">Notice of redemption having been given as aforesaid, the Securities so to be redeemed shall, on the Redemption Date, become due and payable at the Redemption Price therein specified, and from and after such date (unless the Issuer shall default in the payment of the Redemption Price and accrued and unpaid interest) such Securities shall cease to bear interest. Upon surrender of any such Security for redemption in accordance with said notice, such Security shall be paid by the Issuer at the Redemption Price, together with accrued and unpaid interest to, but excluding, the Redemption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29" w:name="page130"/>
    <w:bookmarkEnd w:id="129"/>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If any Security called for redemption shall not be so paid upon surrender thereof for redemption, the principal (and premium, if any) shall, until paid, bear interest from the Redemption Date at the rate prescribed therefor in the Security.</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1107.</w:t>
      </w:r>
      <w:r>
        <w:rPr>
          <w:sz w:val="20"/>
          <w:szCs w:val="20"/>
          <w:color w:val="auto"/>
        </w:rPr>
        <w:tab/>
      </w:r>
      <w:r>
        <w:rPr>
          <w:rFonts w:ascii="Times New Roman" w:cs="Times New Roman" w:eastAsia="Times New Roman" w:hAnsi="Times New Roman"/>
          <w:sz w:val="12"/>
          <w:szCs w:val="12"/>
          <w:u w:val="single" w:color="auto"/>
          <w:color w:val="auto"/>
        </w:rPr>
        <w:t>Securities Redeemed in Part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6" w:lineRule="auto"/>
        <w:rPr>
          <w:sz w:val="20"/>
          <w:szCs w:val="20"/>
          <w:color w:val="auto"/>
        </w:rPr>
      </w:pPr>
      <w:r>
        <w:rPr>
          <w:rFonts w:ascii="Times New Roman" w:cs="Times New Roman" w:eastAsia="Times New Roman" w:hAnsi="Times New Roman"/>
          <w:sz w:val="12"/>
          <w:szCs w:val="12"/>
          <w:color w:val="auto"/>
        </w:rPr>
        <w:t>Any Security which is to be redeemed only in part shall be surrendered at a Place of Payment therefor (with, if the Issuer or the Trustee for such Security so requires, due endorsement by, or a written instrument of transfer in form satisfactory to the Issuer and such Trustee duly executed by, the Holder thereof or his or her attorney duly authorized in writing), and the Issuer shall execute, and such Trustee shall authenticate and deliver to the Holder of such Security without service charge, a new Security or Securities of the same series, and having endorsed thereon the Guarantees executed by the Guarantors of any authorized denomination as requested by such Holder, in aggregate principal amount equal to and in exchange for the unredeemed portion of the principal of the Security so surrendered.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TWELVE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SINKING FUNDS</w:t>
      </w:r>
    </w:p>
    <w:p>
      <w:pPr>
        <w:spacing w:after="0" w:line="14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1201.</w:t>
      </w:r>
      <w:r>
        <w:rPr>
          <w:sz w:val="20"/>
          <w:szCs w:val="20"/>
          <w:color w:val="auto"/>
        </w:rPr>
        <w:tab/>
      </w:r>
      <w:r>
        <w:rPr>
          <w:rFonts w:ascii="Times New Roman" w:cs="Times New Roman" w:eastAsia="Times New Roman" w:hAnsi="Times New Roman"/>
          <w:sz w:val="12"/>
          <w:szCs w:val="12"/>
          <w:u w:val="single" w:color="auto"/>
          <w:color w:val="auto"/>
        </w:rPr>
        <w:t>Applicability of Article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provisions of this Article Twelve shall be applicable to any sinking fund for the retirement of Securities of a series except as otherwise specified as contemplated by Section 301 for Securities of such series; provided, that if any terms of such Securities shall conflict with this Article or Section 301, the terms of such Securities shall govern.</w:t>
      </w:r>
    </w:p>
    <w:p>
      <w:pPr>
        <w:spacing w:after="0" w:line="106"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1202.</w:t>
      </w:r>
      <w:r>
        <w:rPr>
          <w:sz w:val="20"/>
          <w:szCs w:val="20"/>
          <w:color w:val="auto"/>
        </w:rPr>
        <w:tab/>
      </w:r>
      <w:r>
        <w:rPr>
          <w:rFonts w:ascii="Times New Roman" w:cs="Times New Roman" w:eastAsia="Times New Roman" w:hAnsi="Times New Roman"/>
          <w:sz w:val="12"/>
          <w:szCs w:val="12"/>
          <w:u w:val="single" w:color="auto"/>
          <w:color w:val="auto"/>
        </w:rPr>
        <w:t>Satisfaction of Sinking Fund Payments with Securities</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2"/>
          <w:szCs w:val="12"/>
          <w:color w:val="auto"/>
        </w:rPr>
        <w:t>In lieu of making all or any part of any mandatory sinking fund payment with respect to any series of Securities in cash, the Issuer may at its option (a) deliver to the Trustee for such Securities,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such Trustee for cancellation pursuant to Section 309,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such Trustee at the sinking fund redemption price specified in such Securities.</w:t>
      </w:r>
    </w:p>
    <w:p>
      <w:pPr>
        <w:spacing w:after="0" w:line="122"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1203.</w:t>
      </w:r>
      <w:r>
        <w:rPr>
          <w:sz w:val="20"/>
          <w:szCs w:val="20"/>
          <w:color w:val="auto"/>
        </w:rPr>
        <w:tab/>
      </w:r>
      <w:r>
        <w:rPr>
          <w:rFonts w:ascii="Times New Roman" w:cs="Times New Roman" w:eastAsia="Times New Roman" w:hAnsi="Times New Roman"/>
          <w:sz w:val="12"/>
          <w:szCs w:val="12"/>
          <w:u w:val="single" w:color="auto"/>
          <w:color w:val="auto"/>
        </w:rPr>
        <w:t>Redemption of Securities for Sinking Fund</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59" w:lineRule="auto"/>
        <w:rPr>
          <w:sz w:val="20"/>
          <w:szCs w:val="20"/>
          <w:color w:val="auto"/>
        </w:rPr>
      </w:pPr>
      <w:r>
        <w:rPr>
          <w:rFonts w:ascii="Times New Roman" w:cs="Times New Roman" w:eastAsia="Times New Roman" w:hAnsi="Times New Roman"/>
          <w:sz w:val="12"/>
          <w:szCs w:val="12"/>
          <w:color w:val="auto"/>
        </w:rPr>
        <w:t>Not less than 60 days prior to each sinking fund payment date for any series of Securities, the Issuer will deliver to the Trustee for the Securities of such series an Officer’s Certificate (which need not contain the statements required by Section 102) stating that no defaults in the payment of interest, if any, with respect to Securities of that series and no Events of Default with respect to Securities of that series have occurred (which in either case have not been waived or cured) and (a) specifying the amount of the next ensuing sinking fund payment for that series pursuant to the terms of that series, (b) whether or not the Issuer intends to exercise its right, if any, to make an optional sinking fund payment with respect to such series on the next ensuing sinking fund payment date and, if so, the amount of such optional sinking fund payment, and (c) the portion thereof, if any, which is to be satisfied by payment of cash and the portion thereof, if any, which is to be satisfied by delivering and crediting Securities of that series pursuant to Section 1202, and will also deliver to such Trustee any Securities to be so delivered. Such written statement shall be irrevocable and upon its receipt by such Trustee the Issuer shall become unconditionally obligated to make all the cash payments or payments therein referred to, if any, on or before the next succeeding sinking fund payment date. Failure of the Issuer, on or before any such 60th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therefor and (ii) that the Issuer will make no optional sinking fund payment with respect to such series as provided in this Section.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0" w:name="page131"/>
    <w:bookmarkEnd w:id="130"/>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Not less than 30 days before each such sinking fund payment date the Securities of such series to be redeemed upon such sinking fund payment date shall be redeemed in the manner specified in Section 1103 and the Trustee shall cause notice of the redemption thereof to be given in the name of and at the expense of the Issuer in the manner provided in Section 1104. Such notice having been duly given, the redemption of such Securities shall be made upon the terms and in the manner stated in Sections 1105, 1106 and 1107.</w:t>
      </w:r>
    </w:p>
    <w:p>
      <w:pPr>
        <w:spacing w:after="0" w:line="117"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2"/>
          <w:szCs w:val="12"/>
          <w:color w:val="auto"/>
        </w:rPr>
        <w:t xml:space="preserve">The Trustee for any series of Securities shall not redeem or cause to be redeemed any Security of such series with sinking fund moneys or deliver or mail any notice of redemption of Securities of such series by operation of the sinking fund during the continuance of a default in payment of interest with respect to Securities of that series or an Event of Default with respect to the Securities of that series, except that, where the delivery or mailing of notice of redemption of any Securities shall theretofore have been made, such Trustee shall redeem or cause to be redeemed such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Five and held for the payment of all such Securities. In case such Event of Default shall have been waived as provided in Section 513 or the default or Event of Default cured on or before the 60th day preceding the sinking fund payment date, such moneys shall thereafter be applied on the next succeeding sinking fund payment date in accordance with this Section to the redemption of such Securities.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10000"/>
        </w:rPr>
        <w:t>ARTICLE THIRTEEN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GUARANTEE</w:t>
      </w:r>
    </w:p>
    <w:p>
      <w:pPr>
        <w:spacing w:after="0" w:line="14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1301.</w:t>
      </w:r>
      <w:r>
        <w:rPr>
          <w:sz w:val="20"/>
          <w:szCs w:val="20"/>
          <w:color w:val="auto"/>
        </w:rPr>
        <w:tab/>
      </w:r>
      <w:r>
        <w:rPr>
          <w:rFonts w:ascii="Times New Roman" w:cs="Times New Roman" w:eastAsia="Times New Roman" w:hAnsi="Times New Roman"/>
          <w:sz w:val="11"/>
          <w:szCs w:val="11"/>
          <w:u w:val="single" w:color="auto"/>
          <w:color w:val="auto"/>
        </w:rPr>
        <w:t>Guarantee</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2"/>
        <w:spacing w:after="0" w:line="261" w:lineRule="auto"/>
        <w:tabs>
          <w:tab w:leader="none" w:pos="1142" w:val="left"/>
        </w:tabs>
        <w:numPr>
          <w:ilvl w:val="0"/>
          <w:numId w:val="10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Subject to the provisions of this Article Thirteen and for good and valuable consideration, the receipt of which is hereby acknowledged, each of the Guarantors hereby jointly and severally, fully and unconditionally guarantees to each Holder of a Security of each series authenticated and delivered by the Trustee for such Securities hereunder and to such Trustee for itself and on behalf of each such Holder, the due and punctual payment of principal of (and premium, if any, on) and interest on the Securities when and as the same shall become due and payable, whether at the Stated Maturity, by declaration of acceleration, call for redemption or otherwise, and all other amounts owed under this Indenture, according to the terms thereof and of this Indenture. In case of the failure of the Issuer promptly to make any such payment of principal (and premium, if any, on) or interest, the Guarantors hereby agree to make any such payment to be made promptly when and as the same shall become due and payable, whether at the Stated Maturity or by declaration of acceleration, call for redemption or otherwise, and as if such payment were made by the Issuer.</w:t>
      </w:r>
    </w:p>
    <w:p>
      <w:pPr>
        <w:spacing w:after="0" w:line="124" w:lineRule="exact"/>
        <w:rPr>
          <w:rFonts w:ascii="Times New Roman" w:cs="Times New Roman" w:eastAsia="Times New Roman" w:hAnsi="Times New Roman"/>
          <w:sz w:val="12"/>
          <w:szCs w:val="12"/>
          <w:color w:val="010000"/>
        </w:rPr>
      </w:pPr>
    </w:p>
    <w:p>
      <w:pPr>
        <w:jc w:val="both"/>
        <w:ind w:firstLine="432"/>
        <w:spacing w:after="0" w:line="258" w:lineRule="auto"/>
        <w:tabs>
          <w:tab w:leader="none" w:pos="966" w:val="left"/>
        </w:tabs>
        <w:numPr>
          <w:ilvl w:val="0"/>
          <w:numId w:val="10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Guarantors hereby agree that their obligations hereunder shall be as if they were principal debtor and not merely surety, and shall be absolute and unconditional, joint and several, irrespective of, and shall be unaffected by any failure to enforce the provisions of such Security or this Indenture, or any waiver, modification or indulgence granted to the Issuer with respect thereto, by the Holder of such Security or the Trustee for the Securities of such series or any other circumstance which may otherwise constitute a legal or equitable discharge of a surety or guarantor;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the foregoing, no such waiver, modification or indulgence shall, without the consent of the Guarantors increase the principal amount of such Security, or increase the interest rate thereon, or increase any premium payable upon redemption thereof, or alter the Stated Maturity thereof, or increase the principal amount of any Original Issue Discount Security that would be due and payable upon a declaration of acceleration or the maturity thereof pursuant to Article Five of this Indenture. Each Guarantor hereby waives diligence, presentment, demand of payment, filing of claims with a court in the event of merger or bankruptcy of the Issuer, any right to require a proceeding first against the Issuer, protest or notice with respect to such Security or the indebtedness evidenced thereby or with respect to any sinking fund or analogous payment required under such Security and all demands whatsoever, and covenants that the Guarantee of such Guarantor will not be discharged except by payment in full of the principal of (and premium, if any, on) and interest on such Security or as otherwise set forth in this Indenture;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the Guarantee, to the extent theretofore discharged, shall be reinstated in full force and effect.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1" w:name="page132"/>
    <w:bookmarkEnd w:id="131"/>
    <w:p>
      <w:pPr>
        <w:jc w:val="both"/>
        <w:ind w:firstLine="432"/>
        <w:spacing w:after="0" w:line="272" w:lineRule="auto"/>
        <w:tabs>
          <w:tab w:leader="none" w:pos="968" w:val="left"/>
        </w:tabs>
        <w:numPr>
          <w:ilvl w:val="0"/>
          <w:numId w:val="10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Guarantors shall be subrogated to all rights of the Holder of such Security and the Trustee for the Securities of such series against the Issuer in respect of any amounts paid to such Holder by the Guarantors pursuant to the provisions of this Guarantee;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Guarantors shall not be entitled to enforce or to receive any payments arising out of or based upon such right of subrogation until the principal of (and premium, if any, on) and interest on all Securities of the same series issued under the Indenture shall have been paid in full.</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1302.</w:t>
      </w:r>
      <w:r>
        <w:rPr>
          <w:sz w:val="20"/>
          <w:szCs w:val="20"/>
          <w:color w:val="auto"/>
        </w:rPr>
        <w:tab/>
      </w:r>
      <w:r>
        <w:rPr>
          <w:rFonts w:ascii="Times New Roman" w:cs="Times New Roman" w:eastAsia="Times New Roman" w:hAnsi="Times New Roman"/>
          <w:sz w:val="12"/>
          <w:szCs w:val="12"/>
          <w:u w:val="single" w:color="auto"/>
          <w:color w:val="auto"/>
        </w:rPr>
        <w:t>Execution and Delivery of Guarantee</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right="20" w:firstLine="439"/>
        <w:spacing w:after="0" w:line="283" w:lineRule="auto"/>
        <w:rPr>
          <w:sz w:val="20"/>
          <w:szCs w:val="20"/>
          <w:color w:val="auto"/>
        </w:rPr>
      </w:pPr>
      <w:r>
        <w:rPr>
          <w:rFonts w:ascii="Times New Roman" w:cs="Times New Roman" w:eastAsia="Times New Roman" w:hAnsi="Times New Roman"/>
          <w:sz w:val="12"/>
          <w:szCs w:val="12"/>
          <w:color w:val="auto"/>
        </w:rPr>
        <w:t>Each Guarantee to be endorsed on the Securities of each series shall include the terms of the Guarantee set forth in Section 1301 and any other terms that may be set forth in the form established pursuant to Section 206 with respect to such series. Each Guarantor hereby agrees to execute a Guarantee, in a form established pursuant to Section 206, to be endorsed on each Security authenticated and delivered by the Trustee for the Securities of such series.</w:t>
      </w:r>
    </w:p>
    <w:p>
      <w:pPr>
        <w:spacing w:after="0" w:line="260" w:lineRule="exact"/>
        <w:rPr>
          <w:sz w:val="20"/>
          <w:szCs w:val="20"/>
          <w:color w:val="auto"/>
        </w:rPr>
      </w:pPr>
    </w:p>
    <w:p>
      <w:pPr>
        <w:jc w:val="both"/>
        <w:ind w:firstLine="439"/>
        <w:spacing w:after="0" w:line="272" w:lineRule="auto"/>
        <w:rPr>
          <w:sz w:val="20"/>
          <w:szCs w:val="20"/>
          <w:color w:val="auto"/>
        </w:rPr>
      </w:pPr>
      <w:r>
        <w:rPr>
          <w:rFonts w:ascii="Times New Roman" w:cs="Times New Roman" w:eastAsia="Times New Roman" w:hAnsi="Times New Roman"/>
          <w:sz w:val="12"/>
          <w:szCs w:val="12"/>
          <w:color w:val="auto"/>
        </w:rPr>
        <w:t>Each Guarantee shall be executed in accordance with Section 303. The delivery of any Security by the Trustee for the Securities of such series, after the authentication thereof hereunder, shall constitute due delivery of the Guarantees endorsed thereon on behalf of the Guarantors. Each Guarantor hereby agrees that its Guarantee set forth in Section 1301 shall remain in full force and effect notwithstanding any failure to endorse a Guarantee on any Security.</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1303.</w:t>
      </w:r>
      <w:r>
        <w:rPr>
          <w:sz w:val="20"/>
          <w:szCs w:val="20"/>
          <w:color w:val="auto"/>
        </w:rPr>
        <w:tab/>
      </w:r>
      <w:r>
        <w:rPr>
          <w:rFonts w:ascii="Times New Roman" w:cs="Times New Roman" w:eastAsia="Times New Roman" w:hAnsi="Times New Roman"/>
          <w:sz w:val="11"/>
          <w:szCs w:val="11"/>
          <w:u w:val="single" w:color="auto"/>
          <w:color w:val="auto"/>
        </w:rPr>
        <w:t>Notice to Trustee</w:t>
      </w:r>
      <w:r>
        <w:rPr>
          <w:rFonts w:ascii="Times New Roman" w:cs="Times New Roman" w:eastAsia="Times New Roman" w:hAnsi="Times New Roman"/>
          <w:sz w:val="11"/>
          <w:szCs w:val="11"/>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Each Guarantor shall give prompt written notice to the Trustee for the Securities of such series of any fact known to such Guarantor which prohibits the making of any payment to or by such Trustee in respect of the Guarantee pursuant to the provisions of this Article Thirteen other than any agreement in effect on the date hereof.</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1304.</w:t>
      </w:r>
      <w:r>
        <w:rPr>
          <w:sz w:val="20"/>
          <w:szCs w:val="20"/>
          <w:color w:val="auto"/>
        </w:rPr>
        <w:tab/>
      </w:r>
      <w:r>
        <w:rPr>
          <w:rFonts w:ascii="Times New Roman" w:cs="Times New Roman" w:eastAsia="Times New Roman" w:hAnsi="Times New Roman"/>
          <w:sz w:val="12"/>
          <w:szCs w:val="12"/>
          <w:u w:val="single" w:color="auto"/>
          <w:color w:val="auto"/>
        </w:rPr>
        <w:t>This Article Not to Prevent Events of Default</w:t>
      </w:r>
      <w:r>
        <w:rPr>
          <w:rFonts w:ascii="Times New Roman" w:cs="Times New Roman" w:eastAsia="Times New Roman" w:hAnsi="Times New Roman"/>
          <w:sz w:val="12"/>
          <w:szCs w:val="12"/>
          <w:color w:val="auto"/>
        </w:rPr>
        <w:t>.</w:t>
      </w:r>
    </w:p>
    <w:p>
      <w:pPr>
        <w:spacing w:after="0" w:line="155" w:lineRule="exact"/>
        <w:rPr>
          <w:sz w:val="20"/>
          <w:szCs w:val="20"/>
          <w:color w:val="auto"/>
        </w:rPr>
      </w:pPr>
    </w:p>
    <w:p>
      <w:pPr>
        <w:jc w:val="both"/>
        <w:ind w:firstLine="439"/>
        <w:spacing w:after="0" w:line="290" w:lineRule="auto"/>
        <w:rPr>
          <w:sz w:val="20"/>
          <w:szCs w:val="20"/>
          <w:color w:val="auto"/>
        </w:rPr>
      </w:pPr>
      <w:r>
        <w:rPr>
          <w:rFonts w:ascii="Times New Roman" w:cs="Times New Roman" w:eastAsia="Times New Roman" w:hAnsi="Times New Roman"/>
          <w:sz w:val="12"/>
          <w:szCs w:val="12"/>
          <w:color w:val="auto"/>
        </w:rPr>
        <w:t>The failure to make a payment on account of principal of (and premium, if any, on) or interest on the Securities by reason of any provision of this Article Thirteen will not be construed as preventing the occurrence of an Event of Default.</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1305.</w:t>
      </w:r>
      <w:r>
        <w:rPr>
          <w:sz w:val="20"/>
          <w:szCs w:val="20"/>
          <w:color w:val="auto"/>
        </w:rPr>
        <w:tab/>
      </w:r>
      <w:r>
        <w:rPr>
          <w:rFonts w:ascii="Times New Roman" w:cs="Times New Roman" w:eastAsia="Times New Roman" w:hAnsi="Times New Roman"/>
          <w:sz w:val="12"/>
          <w:szCs w:val="12"/>
          <w:u w:val="single" w:color="auto"/>
          <w:color w:val="auto"/>
        </w:rPr>
        <w:t>Amendment, Etc.</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No amendment, modification or waiver of any provision of this Indenture relating to the Guarantors or consent to any departure by a Guarantor or any other Person from any such provision will in any event be effective unless it is signed by such Guarantor and the Trustee for the Securities of such series.</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1306.</w:t>
      </w:r>
      <w:r>
        <w:rPr>
          <w:sz w:val="20"/>
          <w:szCs w:val="20"/>
          <w:color w:val="auto"/>
        </w:rPr>
        <w:tab/>
      </w:r>
      <w:r>
        <w:rPr>
          <w:rFonts w:ascii="Times New Roman" w:cs="Times New Roman" w:eastAsia="Times New Roman" w:hAnsi="Times New Roman"/>
          <w:sz w:val="12"/>
          <w:szCs w:val="12"/>
          <w:u w:val="single" w:color="auto"/>
          <w:color w:val="auto"/>
        </w:rPr>
        <w:t>Limitation on Liability.</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With respect to each Guarantor, the obligations of such Guarantor hereunder will be limited to the maximum amount, as will not result in the obligations of such Guarantor under its Guarantee constituting a fraudulent conveyance or fraudulent transfer, after giving effect to all other relevant liabilities of such Guarantor.</w:t>
      </w:r>
    </w:p>
    <w:p>
      <w:pPr>
        <w:spacing w:after="0" w:line="10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2"/>
          <w:szCs w:val="12"/>
          <w:color w:val="010000"/>
        </w:rPr>
        <w:t>SECTION 1307.</w:t>
      </w:r>
      <w:r>
        <w:rPr>
          <w:sz w:val="20"/>
          <w:szCs w:val="20"/>
          <w:color w:val="auto"/>
        </w:rPr>
        <w:tab/>
      </w:r>
      <w:r>
        <w:rPr>
          <w:rFonts w:ascii="Times New Roman" w:cs="Times New Roman" w:eastAsia="Times New Roman" w:hAnsi="Times New Roman"/>
          <w:sz w:val="12"/>
          <w:szCs w:val="12"/>
          <w:u w:val="single" w:color="auto"/>
          <w:color w:val="auto"/>
        </w:rPr>
        <w:t>Limitation on Liability - Ireland.</w:t>
      </w:r>
    </w:p>
    <w:p>
      <w:pPr>
        <w:spacing w:after="0" w:line="155" w:lineRule="exact"/>
        <w:rPr>
          <w:sz w:val="20"/>
          <w:szCs w:val="20"/>
          <w:color w:val="auto"/>
        </w:rPr>
      </w:pPr>
    </w:p>
    <w:p>
      <w:pPr>
        <w:jc w:val="both"/>
        <w:ind w:right="20" w:firstLine="439"/>
        <w:spacing w:after="0" w:line="290" w:lineRule="auto"/>
        <w:rPr>
          <w:sz w:val="20"/>
          <w:szCs w:val="20"/>
          <w:color w:val="auto"/>
        </w:rPr>
      </w:pPr>
      <w:r>
        <w:rPr>
          <w:rFonts w:ascii="Times New Roman" w:cs="Times New Roman" w:eastAsia="Times New Roman" w:hAnsi="Times New Roman"/>
          <w:sz w:val="12"/>
          <w:szCs w:val="12"/>
          <w:color w:val="auto"/>
        </w:rPr>
        <w:t>Notwithstanding anything to the contrary indicated in this Indenture or in any Guarantee, the obligations of any Guarantor incorporated under the laws of Ireland pursuant to any Guarantee shall exclude any obligation to the extent it would result in the relevant obligation:</w:t>
      </w:r>
    </w:p>
    <w:p>
      <w:pPr>
        <w:spacing w:after="0" w:line="106" w:lineRule="exact"/>
        <w:rPr>
          <w:sz w:val="20"/>
          <w:szCs w:val="20"/>
          <w:color w:val="auto"/>
        </w:rPr>
      </w:pPr>
    </w:p>
    <w:p>
      <w:pPr>
        <w:ind w:left="940" w:hanging="508"/>
        <w:spacing w:after="0"/>
        <w:tabs>
          <w:tab w:leader="none" w:pos="940" w:val="left"/>
        </w:tabs>
        <w:numPr>
          <w:ilvl w:val="0"/>
          <w:numId w:val="10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constituting unlawful financial assistance within the meaning of Section 82 of the Companies Act 2014 of Ireland (as amended); or</w:t>
      </w:r>
    </w:p>
    <w:p>
      <w:pPr>
        <w:spacing w:after="0" w:line="154" w:lineRule="exact"/>
        <w:rPr>
          <w:rFonts w:ascii="Times New Roman" w:cs="Times New Roman" w:eastAsia="Times New Roman" w:hAnsi="Times New Roman"/>
          <w:sz w:val="12"/>
          <w:szCs w:val="12"/>
          <w:color w:val="010000"/>
        </w:rPr>
      </w:pPr>
    </w:p>
    <w:p>
      <w:pPr>
        <w:ind w:left="940" w:hanging="508"/>
        <w:spacing w:after="0"/>
        <w:tabs>
          <w:tab w:leader="none" w:pos="940" w:val="left"/>
        </w:tabs>
        <w:numPr>
          <w:ilvl w:val="0"/>
          <w:numId w:val="10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constituting a breach of Section 239 of the Companies Act 2014 of Ireland (as amended).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[Remainder of page left intentionally blank.]</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Indenture to be duly executed as of the day and year first above written.</w:t>
      </w: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WEATHERFORD INTERNATIONAL PLC</w:t>
      </w: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-86360</wp:posOffset>
            </wp:positionV>
            <wp:extent cx="3370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WEATHERFORD INTERNATIONAL LTD.</w:t>
      </w: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-86360</wp:posOffset>
            </wp:positionV>
            <wp:extent cx="3370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WEATHERFORD INTERNATIONAL, LLC</w:t>
      </w: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-86360</wp:posOffset>
            </wp:positionV>
            <wp:extent cx="3370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2"/>
          <w:szCs w:val="12"/>
          <w:color w:val="auto"/>
        </w:rPr>
        <w:t>Title:</w:t>
      </w: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DEUTSCHE BANK TRUST COMPANY AMERICAS, as Trustee</w:t>
      </w: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-86360</wp:posOffset>
            </wp:positionV>
            <wp:extent cx="3370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2"/>
          <w:szCs w:val="12"/>
          <w:color w:val="auto"/>
        </w:rPr>
        <w:t>Title:</w:t>
      </w:r>
    </w:p>
    <w:p>
      <w:pPr>
        <w:spacing w:after="0" w:line="1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By:</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-86360</wp:posOffset>
            </wp:positionV>
            <wp:extent cx="3370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3370580"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2"/>
          <w:szCs w:val="12"/>
          <w:color w:val="auto"/>
        </w:rPr>
        <w:t>Title:</w:t>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13335</wp:posOffset>
            </wp:positionV>
            <wp:extent cx="717677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9719"/>
          </w:cols>
          <w:pgMar w:left="740" w:top="657"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14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2004695" cy="2266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2004695" cy="226695"/>
                    </a:xfrm>
                    <a:prstGeom prst="rect">
                      <a:avLst/>
                    </a:prstGeom>
                    <a:noFill/>
                  </pic:spPr>
                </pic:pic>
              </a:graphicData>
            </a:graphic>
          </wp:anchor>
        </w:drawing>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1100 Louisiana</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Suite 4100</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Houston, TX 77002</w:t>
      </w:r>
    </w:p>
    <w:p>
      <w:pPr>
        <w:spacing w:after="0" w:line="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www.kslaw.com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15,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Weatherford International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2000 St. James Place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Houston, Texas 77056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We have acted as United States counsel to Weatherford International plc, a public limited company incorporated under the laws of Ireland (“</w:t>
      </w:r>
      <w:r>
        <w:rPr>
          <w:rFonts w:ascii="Times New Roman" w:cs="Times New Roman" w:eastAsia="Times New Roman" w:hAnsi="Times New Roman"/>
          <w:sz w:val="12"/>
          <w:szCs w:val="12"/>
          <w:b w:val="1"/>
          <w:bCs w:val="1"/>
          <w:color w:val="auto"/>
        </w:rPr>
        <w:t>Weatherford Ireland</w:t>
      </w:r>
      <w:r>
        <w:rPr>
          <w:rFonts w:ascii="Times New Roman" w:cs="Times New Roman" w:eastAsia="Times New Roman" w:hAnsi="Times New Roman"/>
          <w:sz w:val="12"/>
          <w:szCs w:val="12"/>
          <w:color w:val="auto"/>
        </w:rPr>
        <w:t>”), Weatherford International Ltd., a Bermuda exempted company (“</w:t>
      </w:r>
      <w:r>
        <w:rPr>
          <w:rFonts w:ascii="Times New Roman" w:cs="Times New Roman" w:eastAsia="Times New Roman" w:hAnsi="Times New Roman"/>
          <w:sz w:val="12"/>
          <w:szCs w:val="12"/>
          <w:b w:val="1"/>
          <w:bCs w:val="1"/>
          <w:color w:val="auto"/>
        </w:rPr>
        <w:t>Weatherford Bermuda</w:t>
      </w:r>
      <w:r>
        <w:rPr>
          <w:rFonts w:ascii="Times New Roman" w:cs="Times New Roman" w:eastAsia="Times New Roman" w:hAnsi="Times New Roman"/>
          <w:sz w:val="12"/>
          <w:szCs w:val="12"/>
          <w:color w:val="auto"/>
        </w:rPr>
        <w:t>”), and Weatherford International, LLC, a Delaware limited liability company (“</w:t>
      </w:r>
      <w:r>
        <w:rPr>
          <w:rFonts w:ascii="Times New Roman" w:cs="Times New Roman" w:eastAsia="Times New Roman" w:hAnsi="Times New Roman"/>
          <w:sz w:val="12"/>
          <w:szCs w:val="12"/>
          <w:b w:val="1"/>
          <w:bCs w:val="1"/>
          <w:color w:val="auto"/>
        </w:rPr>
        <w:t>Weatherford Delaware</w:t>
      </w:r>
      <w:r>
        <w:rPr>
          <w:rFonts w:ascii="Times New Roman" w:cs="Times New Roman" w:eastAsia="Times New Roman" w:hAnsi="Times New Roman"/>
          <w:sz w:val="12"/>
          <w:szCs w:val="12"/>
          <w:color w:val="auto"/>
        </w:rPr>
        <w:t>” and, together with Weatherford Ireland and Weatherford Bermuda, the “</w:t>
      </w:r>
      <w:r>
        <w:rPr>
          <w:rFonts w:ascii="Times New Roman" w:cs="Times New Roman" w:eastAsia="Times New Roman" w:hAnsi="Times New Roman"/>
          <w:sz w:val="12"/>
          <w:szCs w:val="12"/>
          <w:b w:val="1"/>
          <w:bCs w:val="1"/>
          <w:color w:val="auto"/>
        </w:rPr>
        <w:t>Companies</w:t>
      </w:r>
      <w:r>
        <w:rPr>
          <w:rFonts w:ascii="Times New Roman" w:cs="Times New Roman" w:eastAsia="Times New Roman" w:hAnsi="Times New Roman"/>
          <w:sz w:val="12"/>
          <w:szCs w:val="12"/>
          <w:color w:val="auto"/>
        </w:rPr>
        <w:t>”), in connection with the Registration Statement on Form S-3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being filed by the Companies with the Securities and Exchange Commission (the “</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under the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relating to: (i) ordinary shares of Weatherford Ireland with a nominal value of U.S. $0.001 per share (the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 (ii) options of Weatherford Ireland to purchase Ordinary Shares (the “</w:t>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 (iii) warrants of Weatherford Ireland to purchase Ordinary Shares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(iv) debt securities (the “</w:t>
      </w:r>
      <w:r>
        <w:rPr>
          <w:rFonts w:ascii="Times New Roman" w:cs="Times New Roman" w:eastAsia="Times New Roman" w:hAnsi="Times New Roman"/>
          <w:sz w:val="12"/>
          <w:szCs w:val="12"/>
          <w:b w:val="1"/>
          <w:bCs w:val="1"/>
          <w:color w:val="auto"/>
        </w:rPr>
        <w:t>Debt Securities</w:t>
      </w:r>
      <w:r>
        <w:rPr>
          <w:rFonts w:ascii="Times New Roman" w:cs="Times New Roman" w:eastAsia="Times New Roman" w:hAnsi="Times New Roman"/>
          <w:sz w:val="12"/>
          <w:szCs w:val="12"/>
          <w:color w:val="auto"/>
        </w:rPr>
        <w:t>”) issued by any of Weatherford Bermuda and/or Weatherford Delaware (as applicable, the “</w:t>
      </w:r>
      <w:r>
        <w:rPr>
          <w:rFonts w:ascii="Times New Roman" w:cs="Times New Roman" w:eastAsia="Times New Roman" w:hAnsi="Times New Roman"/>
          <w:sz w:val="12"/>
          <w:szCs w:val="12"/>
          <w:b w:val="1"/>
          <w:bCs w:val="1"/>
          <w:color w:val="auto"/>
        </w:rPr>
        <w:t>Issuer</w:t>
      </w:r>
      <w:r>
        <w:rPr>
          <w:rFonts w:ascii="Times New Roman" w:cs="Times New Roman" w:eastAsia="Times New Roman" w:hAnsi="Times New Roman"/>
          <w:sz w:val="12"/>
          <w:szCs w:val="12"/>
          <w:color w:val="auto"/>
        </w:rPr>
        <w:t>”); (v) guarantees of Weatherford Ireland, Weatherford Bermuda and Weatherford Delaware, as the case may be (the “</w:t>
      </w:r>
      <w:r>
        <w:rPr>
          <w:rFonts w:ascii="Times New Roman" w:cs="Times New Roman" w:eastAsia="Times New Roman" w:hAnsi="Times New Roman"/>
          <w:sz w:val="12"/>
          <w:szCs w:val="12"/>
          <w:b w:val="1"/>
          <w:bCs w:val="1"/>
          <w:color w:val="auto"/>
        </w:rPr>
        <w:t>Guarantors</w:t>
      </w:r>
      <w:r>
        <w:rPr>
          <w:rFonts w:ascii="Times New Roman" w:cs="Times New Roman" w:eastAsia="Times New Roman" w:hAnsi="Times New Roman"/>
          <w:sz w:val="12"/>
          <w:szCs w:val="12"/>
          <w:color w:val="auto"/>
        </w:rPr>
        <w:t>”), to be issued in connection with the Debt Securities (the “</w:t>
      </w:r>
      <w:r>
        <w:rPr>
          <w:rFonts w:ascii="Times New Roman" w:cs="Times New Roman" w:eastAsia="Times New Roman" w:hAnsi="Times New Roman"/>
          <w:sz w:val="12"/>
          <w:szCs w:val="12"/>
          <w:b w:val="1"/>
          <w:bCs w:val="1"/>
          <w:color w:val="auto"/>
        </w:rPr>
        <w:t>Guarantees</w:t>
      </w:r>
      <w:r>
        <w:rPr>
          <w:rFonts w:ascii="Times New Roman" w:cs="Times New Roman" w:eastAsia="Times New Roman" w:hAnsi="Times New Roman"/>
          <w:sz w:val="12"/>
          <w:szCs w:val="12"/>
          <w:color w:val="auto"/>
        </w:rPr>
        <w:t>”); (vi) contracts for the purchase and sale of Ordinary Shares (the “</w:t>
      </w:r>
      <w:r>
        <w:rPr>
          <w:rFonts w:ascii="Times New Roman" w:cs="Times New Roman" w:eastAsia="Times New Roman" w:hAnsi="Times New Roman"/>
          <w:sz w:val="12"/>
          <w:szCs w:val="12"/>
          <w:b w:val="1"/>
          <w:bCs w:val="1"/>
          <w:color w:val="auto"/>
        </w:rPr>
        <w:t>Share Purchase Contracts</w:t>
      </w:r>
      <w:r>
        <w:rPr>
          <w:rFonts w:ascii="Times New Roman" w:cs="Times New Roman" w:eastAsia="Times New Roman" w:hAnsi="Times New Roman"/>
          <w:sz w:val="12"/>
          <w:szCs w:val="12"/>
          <w:color w:val="auto"/>
        </w:rPr>
        <w:t>”); (vii) share purchase units of Weatherford Ireland (the “</w:t>
      </w:r>
      <w:r>
        <w:rPr>
          <w:rFonts w:ascii="Times New Roman" w:cs="Times New Roman" w:eastAsia="Times New Roman" w:hAnsi="Times New Roman"/>
          <w:sz w:val="12"/>
          <w:szCs w:val="12"/>
          <w:b w:val="1"/>
          <w:bCs w:val="1"/>
          <w:color w:val="auto"/>
        </w:rPr>
        <w:t>Share Purchase Units</w:t>
      </w:r>
      <w:r>
        <w:rPr>
          <w:rFonts w:ascii="Times New Roman" w:cs="Times New Roman" w:eastAsia="Times New Roman" w:hAnsi="Times New Roman"/>
          <w:sz w:val="12"/>
          <w:szCs w:val="12"/>
          <w:color w:val="auto"/>
        </w:rPr>
        <w:t>”), consisting of a Share Purchase Contract and Debt Securities (which may include Guarantees thereof) or debt obligations of third parties, including U.S. Treasury securities; and (viii) Ordinary Shares that may be issued upon exercise, exchange or conversion of Options, Warrants or Share Purchase Contracts, whichever is applicable. The Ordinary Shares, the Options, the Warrants, the Debt Securities, the Guarantees, the Share Purchase Contracts, and the Share Purchase Units are hereinafter referred to collectively as the “</w:t>
      </w: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2"/>
          <w:szCs w:val="12"/>
          <w:color w:val="auto"/>
        </w:rPr>
        <w:t>” and the Options, Warrants, the Debt Securities, the Guarantees, the Share Purchase Contracts, and the Share Purchase Units are hereinafter referred to collectively as the “</w:t>
      </w:r>
      <w:r>
        <w:rPr>
          <w:rFonts w:ascii="Times New Roman" w:cs="Times New Roman" w:eastAsia="Times New Roman" w:hAnsi="Times New Roman"/>
          <w:sz w:val="12"/>
          <w:szCs w:val="12"/>
          <w:b w:val="1"/>
          <w:bCs w:val="1"/>
          <w:color w:val="auto"/>
        </w:rPr>
        <w:t>Covered Securities</w:t>
      </w:r>
      <w:r>
        <w:rPr>
          <w:rFonts w:ascii="Times New Roman" w:cs="Times New Roman" w:eastAsia="Times New Roman" w:hAnsi="Times New Roman"/>
          <w:sz w:val="12"/>
          <w:szCs w:val="12"/>
          <w:color w:val="auto"/>
        </w:rPr>
        <w:t>.” The Securities may be issued and sold or delivered from time to time as set forth in the Registration Statement, any amendment thereto, the prospectus contained therein (the “</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and supplements to the Prospectus pursuant to Rule 415 under the Securities Act for an indeterminate number of securities and/or aggregate offering price.</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The Options will be issued under one or more option agreements (each an “</w:t>
      </w:r>
      <w:r>
        <w:rPr>
          <w:rFonts w:ascii="Times New Roman" w:cs="Times New Roman" w:eastAsia="Times New Roman" w:hAnsi="Times New Roman"/>
          <w:sz w:val="12"/>
          <w:szCs w:val="12"/>
          <w:b w:val="1"/>
          <w:bCs w:val="1"/>
          <w:color w:val="auto"/>
        </w:rPr>
        <w:t>Option Agreement</w:t>
      </w:r>
      <w:r>
        <w:rPr>
          <w:rFonts w:ascii="Times New Roman" w:cs="Times New Roman" w:eastAsia="Times New Roman" w:hAnsi="Times New Roman"/>
          <w:sz w:val="12"/>
          <w:szCs w:val="12"/>
          <w:color w:val="auto"/>
        </w:rPr>
        <w:t>”), between Weatherford Ireland and an option agent to be named therein (“</w:t>
      </w:r>
      <w:r>
        <w:rPr>
          <w:rFonts w:ascii="Times New Roman" w:cs="Times New Roman" w:eastAsia="Times New Roman" w:hAnsi="Times New Roman"/>
          <w:sz w:val="12"/>
          <w:szCs w:val="12"/>
          <w:b w:val="1"/>
          <w:bCs w:val="1"/>
          <w:color w:val="auto"/>
        </w:rPr>
        <w:t>Option Agent</w:t>
      </w:r>
      <w:r>
        <w:rPr>
          <w:rFonts w:ascii="Times New Roman" w:cs="Times New Roman" w:eastAsia="Times New Roman" w:hAnsi="Times New Roman"/>
          <w:sz w:val="12"/>
          <w:szCs w:val="12"/>
          <w:color w:val="auto"/>
        </w:rPr>
        <w:t>”). The Warrants will be issued under one or more warrant agreements (each, a “</w:t>
      </w:r>
      <w:r>
        <w:rPr>
          <w:rFonts w:ascii="Times New Roman" w:cs="Times New Roman" w:eastAsia="Times New Roman" w:hAnsi="Times New Roman"/>
          <w:sz w:val="12"/>
          <w:szCs w:val="12"/>
          <w:b w:val="1"/>
          <w:bCs w:val="1"/>
          <w:color w:val="auto"/>
        </w:rPr>
        <w:t>Warrant Agreement</w:t>
      </w:r>
      <w:r>
        <w:rPr>
          <w:rFonts w:ascii="Times New Roman" w:cs="Times New Roman" w:eastAsia="Times New Roman" w:hAnsi="Times New Roman"/>
          <w:sz w:val="12"/>
          <w:szCs w:val="12"/>
          <w:color w:val="auto"/>
        </w:rPr>
        <w:t>”), between Weatherford Ireland and a warrant agent to be named therein (a “</w:t>
      </w:r>
      <w:r>
        <w:rPr>
          <w:rFonts w:ascii="Times New Roman" w:cs="Times New Roman" w:eastAsia="Times New Roman" w:hAnsi="Times New Roman"/>
          <w:sz w:val="12"/>
          <w:szCs w:val="12"/>
          <w:b w:val="1"/>
          <w:bCs w:val="1"/>
          <w:color w:val="auto"/>
        </w:rPr>
        <w:t>Warrant Agent</w:t>
      </w:r>
      <w:r>
        <w:rPr>
          <w:rFonts w:ascii="Times New Roman" w:cs="Times New Roman" w:eastAsia="Times New Roman" w:hAnsi="Times New Roman"/>
          <w:sz w:val="12"/>
          <w:szCs w:val="12"/>
          <w:color w:val="auto"/>
        </w:rPr>
        <w:t>”). The Debt Securities and any Guarantees thereof will be issued under an Indenture (the “</w:t>
      </w:r>
      <w:r>
        <w:rPr>
          <w:rFonts w:ascii="Times New Roman" w:cs="Times New Roman" w:eastAsia="Times New Roman" w:hAnsi="Times New Roman"/>
          <w:sz w:val="12"/>
          <w:szCs w:val="12"/>
          <w:b w:val="1"/>
          <w:bCs w:val="1"/>
          <w:color w:val="auto"/>
        </w:rPr>
        <w:t>Indenture</w:t>
      </w:r>
      <w:r>
        <w:rPr>
          <w:rFonts w:ascii="Times New Roman" w:cs="Times New Roman" w:eastAsia="Times New Roman" w:hAnsi="Times New Roman"/>
          <w:sz w:val="12"/>
          <w:szCs w:val="12"/>
          <w:color w:val="auto"/>
        </w:rPr>
        <w:t>”), among the Companies and Deutsche Bank Trust Company Americas, as Trustee (the “</w:t>
      </w:r>
      <w:r>
        <w:rPr>
          <w:rFonts w:ascii="Times New Roman" w:cs="Times New Roman" w:eastAsia="Times New Roman" w:hAnsi="Times New Roman"/>
          <w:sz w:val="12"/>
          <w:szCs w:val="12"/>
          <w:b w:val="1"/>
          <w:bCs w:val="1"/>
          <w:color w:val="auto"/>
        </w:rPr>
        <w:t>Trustee</w:t>
      </w:r>
      <w:r>
        <w:rPr>
          <w:rFonts w:ascii="Times New Roman" w:cs="Times New Roman" w:eastAsia="Times New Roman" w:hAnsi="Times New Roman"/>
          <w:sz w:val="12"/>
          <w:szCs w:val="12"/>
          <w:color w:val="auto"/>
        </w:rPr>
        <w:t>”). The Share Purchase Contracts will be issued pursuant to one or more purchase contract agreements (each, a “</w:t>
      </w:r>
      <w:r>
        <w:rPr>
          <w:rFonts w:ascii="Times New Roman" w:cs="Times New Roman" w:eastAsia="Times New Roman" w:hAnsi="Times New Roman"/>
          <w:sz w:val="12"/>
          <w:szCs w:val="12"/>
          <w:b w:val="1"/>
          <w:bCs w:val="1"/>
          <w:color w:val="auto"/>
        </w:rPr>
        <w:t>Purchase Contract Agreement</w:t>
      </w:r>
      <w:r>
        <w:rPr>
          <w:rFonts w:ascii="Times New Roman" w:cs="Times New Roman" w:eastAsia="Times New Roman" w:hAnsi="Times New Roman"/>
          <w:sz w:val="12"/>
          <w:szCs w:val="12"/>
          <w:color w:val="auto"/>
        </w:rPr>
        <w:t>”), between Weatherford Ireland and a purchase contract agent to be named therein (the “</w:t>
      </w:r>
      <w:r>
        <w:rPr>
          <w:rFonts w:ascii="Times New Roman" w:cs="Times New Roman" w:eastAsia="Times New Roman" w:hAnsi="Times New Roman"/>
          <w:sz w:val="12"/>
          <w:szCs w:val="12"/>
          <w:b w:val="1"/>
          <w:bCs w:val="1"/>
          <w:color w:val="auto"/>
        </w:rPr>
        <w:t>Purchase Contract Agent</w:t>
      </w:r>
      <w:r>
        <w:rPr>
          <w:rFonts w:ascii="Times New Roman" w:cs="Times New Roman" w:eastAsia="Times New Roman" w:hAnsi="Times New Roman"/>
          <w:sz w:val="12"/>
          <w:szCs w:val="12"/>
          <w:color w:val="auto"/>
        </w:rPr>
        <w:t>”). The Share Purchase Units will be issued pursuant to a unit agreement (each, a “</w:t>
      </w:r>
      <w:r>
        <w:rPr>
          <w:rFonts w:ascii="Times New Roman" w:cs="Times New Roman" w:eastAsia="Times New Roman" w:hAnsi="Times New Roman"/>
          <w:sz w:val="12"/>
          <w:szCs w:val="12"/>
          <w:b w:val="1"/>
          <w:bCs w:val="1"/>
          <w:color w:val="auto"/>
        </w:rPr>
        <w:t>Unit Agreement</w:t>
      </w:r>
      <w:r>
        <w:rPr>
          <w:rFonts w:ascii="Times New Roman" w:cs="Times New Roman" w:eastAsia="Times New Roman" w:hAnsi="Times New Roman"/>
          <w:sz w:val="12"/>
          <w:szCs w:val="12"/>
          <w:color w:val="auto"/>
        </w:rPr>
        <w:t>”), among the issuer party thereto, any guarantors party thereto and a unit agent to be named therein (the “</w:t>
      </w:r>
      <w:r>
        <w:rPr>
          <w:rFonts w:ascii="Times New Roman" w:cs="Times New Roman" w:eastAsia="Times New Roman" w:hAnsi="Times New Roman"/>
          <w:sz w:val="12"/>
          <w:szCs w:val="12"/>
          <w:b w:val="1"/>
          <w:bCs w:val="1"/>
          <w:color w:val="auto"/>
        </w:rPr>
        <w:t>Unit Agent</w:t>
      </w:r>
      <w:r>
        <w:rPr>
          <w:rFonts w:ascii="Times New Roman" w:cs="Times New Roman" w:eastAsia="Times New Roman" w:hAnsi="Times New Roman"/>
          <w:sz w:val="12"/>
          <w:szCs w:val="12"/>
          <w:color w:val="auto"/>
        </w:rPr>
        <w:t>”). The Option Agreements, Warrant Agreements, the Indenture, the Purchase Contract Agreements, and the Unit Agreements are hereinafter referred to collectively as the “</w:t>
      </w:r>
      <w:r>
        <w:rPr>
          <w:rFonts w:ascii="Times New Roman" w:cs="Times New Roman" w:eastAsia="Times New Roman" w:hAnsi="Times New Roman"/>
          <w:sz w:val="12"/>
          <w:szCs w:val="12"/>
          <w:b w:val="1"/>
          <w:bCs w:val="1"/>
          <w:color w:val="auto"/>
        </w:rPr>
        <w:t>Transaction Agreements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71767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134" w:name="page135"/>
    <w:bookmarkEnd w:id="134"/>
    <w:p>
      <w:pPr>
        <w:jc w:val="both"/>
        <w:spacing w:after="0" w:line="272" w:lineRule="auto"/>
        <w:rPr>
          <w:sz w:val="20"/>
          <w:szCs w:val="20"/>
          <w:color w:val="auto"/>
        </w:rPr>
      </w:pPr>
      <w:r>
        <w:rPr>
          <w:rFonts w:ascii="Times New Roman" w:cs="Times New Roman" w:eastAsia="Times New Roman" w:hAnsi="Times New Roman"/>
          <w:sz w:val="12"/>
          <w:szCs w:val="12"/>
          <w:color w:val="auto"/>
        </w:rPr>
        <w:t>We have examined the Registration Statement and the form of Indenture, which is being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Companies.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rendering the opinions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(1) at the time of execution, countersignature, issuance and delivery of any Options or Warrants, the related Option Agreement or Warrant Agreement will be the valid and legally binding obligation of each Option Agent or Warrant Agent, as applicable, and any other parties thereto (other than Weatherford Ireland); (2) at the time of execution, authentication, issuance and delivery of the Debt Securities, the Indenture will be the valid and legally binding obligation of the Trustee and any other parties thereto (other than the Companies); (3) at the time of execution, issuance and delivery of the Share Purchase Contracts, the related Purchase Contract Agreement will be the valid and legally binding obligation of the Purchase Contract Agent and any other parties thereto (other than Weatherford Ireland); and (4) at the time of execution, countersignature, issuance and delivery of the Share Purchase Units, the related Unit Agreement will be the valid and legally binding obligation of the Unit Agent and any other parties thereto (other than the Companies).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assumed further that (1) at the time of execution, countersignature, issuance and delivery by them of any applicable Transaction Agreements and the issuance by them of any Securities, each of the Companies will continue to be validly existing and in good standing under the law of its jurisdiction of organization, (2) at the time of execution, authentication, countersignature, issuance and/or delivery of the Covered Securities, the applicable Transaction Agreements will continue to have been duly authorized, executed and delivered by each Company party thereto in accordance with its organizational documents and the law of its jurisdiction of organization, (3) execution, delivery, issuance and performance by each Company of the Covered Securities and the applicable Transaction Agreements (including any supplements or amendments thereto) do not and will not constitute a breach or violation of its organizational documents or the law of its jurisdiction of organization or any other applicable laws or regulation or any judgement, injunction order or decree, (4) execution, delivery, issuance and performance by each Company of the Covered Securities and the applicable Transaction Agreements do not and will not constitute a breach or violation of, or require any consent to be obtained under, any agreement or instrument that is binding upon any Company, and (5) any Securities issuable upon exercise, exchange or conversion of any Security being offered or issued will be duly authorized, created and, if appropriate, reserved for issuance upon such exercise, exchange or conversion.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Based upon the foregoing, and subject to the qualifications, assumptions and limitations stated herein, we are of the opinion that:</w:t>
      </w:r>
    </w:p>
    <w:p>
      <w:pPr>
        <w:spacing w:after="0" w:line="155" w:lineRule="exact"/>
        <w:rPr>
          <w:sz w:val="20"/>
          <w:szCs w:val="20"/>
          <w:color w:val="auto"/>
        </w:rPr>
      </w:pPr>
    </w:p>
    <w:p>
      <w:pPr>
        <w:jc w:val="both"/>
        <w:ind w:left="440" w:hanging="227"/>
        <w:spacing w:after="0" w:line="261" w:lineRule="auto"/>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Options, assuming (a) the taking of all necessary corporate action by the Board of Directors of Weatherford Ireland, a duly constituted and acting committee of such Board of Directors or duly authorized officers of Weatherford Ireland (such Board of Directors, committee or authorized officers being referred to herein as the “</w:t>
      </w:r>
      <w:r>
        <w:rPr>
          <w:rFonts w:ascii="Times New Roman" w:cs="Times New Roman" w:eastAsia="Times New Roman" w:hAnsi="Times New Roman"/>
          <w:sz w:val="12"/>
          <w:szCs w:val="12"/>
          <w:b w:val="1"/>
          <w:bCs w:val="1"/>
          <w:color w:val="auto"/>
        </w:rPr>
        <w:t>Weatherford Ireland Board</w:t>
      </w:r>
      <w:r>
        <w:rPr>
          <w:rFonts w:ascii="Times New Roman" w:cs="Times New Roman" w:eastAsia="Times New Roman" w:hAnsi="Times New Roman"/>
          <w:sz w:val="12"/>
          <w:szCs w:val="12"/>
          <w:color w:val="auto"/>
        </w:rPr>
        <w:t>”), to approve the issuance and terms of the Options, the terms of the offering thereof and related matters and the execution and delivery of the related Option Agreement and (b) the due execution, countersignature, issuance and delivery of such Options, upon payment of the consideration for such Option provided for in the applicable definitive purchase, underwriting or similar agreement approved by the Weatherford Ireland Board and otherwise in accordance with the provisions of the applicable Option Agreement and such agreement, such Options will constitute valid and legally binding obligations of Weatherford Ireland, enforceable against Weatherford Ireland in accordance with their terms. The Options covered by the opinion in this paragraph include any Options that may be issued pursuant to the terms of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717677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5" w:name="page136"/>
    <w:bookmarkEnd w:id="135"/>
    <w:p>
      <w:pPr>
        <w:jc w:val="both"/>
        <w:ind w:left="227" w:hanging="227"/>
        <w:spacing w:after="0" w:line="263" w:lineRule="auto"/>
        <w:tabs>
          <w:tab w:leader="none" w:pos="22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Warrants, assuming (a) the taking of all necessary corporate action by the Weatherford Ireland Board to approve the issuance and terms of the Warrants, the terms of the offering thereof and related matters and the execution and delivery of the related Warrant Agreement and (b) the due execution, countersignature, issuance and delivery of such Warrants, upon payment of the consideration for such Warrants provided for in the applicable definitive purchase, underwriting or similar agreement approved by the Weatherford Ireland Board and otherwise in accordance with the provisions of the applicable Warrant Agreement and such agreement, such Warrants will constitute valid and legally binding obligations of Weatherford Ireland, enforceable against Weatherford Ireland in accordance with their terms. The Warrants covered by the opinion in this paragraph include any Warrants that may be issued pursuant to the terms of any other Securities.</w:t>
      </w:r>
    </w:p>
    <w:p>
      <w:pPr>
        <w:spacing w:after="0" w:line="122" w:lineRule="exact"/>
        <w:rPr>
          <w:rFonts w:ascii="Times New Roman" w:cs="Times New Roman" w:eastAsia="Times New Roman" w:hAnsi="Times New Roman"/>
          <w:sz w:val="12"/>
          <w:szCs w:val="12"/>
          <w:color w:val="auto"/>
        </w:rPr>
      </w:pPr>
    </w:p>
    <w:p>
      <w:pPr>
        <w:jc w:val="both"/>
        <w:ind w:left="227" w:hanging="227"/>
        <w:spacing w:after="0" w:line="263" w:lineRule="auto"/>
        <w:tabs>
          <w:tab w:leader="none" w:pos="22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Debt Securities, assuming (a) the taking of all necessary corporate or company action to approve the issuance and terms of any Debt Securities, the terms of the offering thereof and related matters by the board of directors, members, board of managers or equivalent governing body of the applicable Issuer, a duly constituted and acting committee of such governing body, or duly authorized officers of such Issuer (such board of directors, members, board of managers or equivalent governing body, committee or authorized officers being referred to herein as the “</w:t>
      </w:r>
      <w:r>
        <w:rPr>
          <w:rFonts w:ascii="Times New Roman" w:cs="Times New Roman" w:eastAsia="Times New Roman" w:hAnsi="Times New Roman"/>
          <w:sz w:val="12"/>
          <w:szCs w:val="12"/>
          <w:b w:val="1"/>
          <w:bCs w:val="1"/>
          <w:color w:val="auto"/>
        </w:rPr>
        <w:t>Issuer Board</w:t>
      </w:r>
      <w:r>
        <w:rPr>
          <w:rFonts w:ascii="Times New Roman" w:cs="Times New Roman" w:eastAsia="Times New Roman" w:hAnsi="Times New Roman"/>
          <w:sz w:val="12"/>
          <w:szCs w:val="12"/>
          <w:color w:val="auto"/>
        </w:rPr>
        <w:t>”) and (b) the due execution, authentication, issuance and delivery of such Debt Securities, upon payment of the consideration therefor provided for in the applicable definitive purchase, underwriting or similar agreement approved by such Issuer Board and otherwise in accordance with the provisions of the Indenture and such agreement, such Debt Securities will constitute valid and legally binding obligations of such Issuer, enforceable against such Issuer in accordance with their terms.</w:t>
      </w:r>
    </w:p>
    <w:p>
      <w:pPr>
        <w:spacing w:after="0" w:line="122" w:lineRule="exact"/>
        <w:rPr>
          <w:rFonts w:ascii="Times New Roman" w:cs="Times New Roman" w:eastAsia="Times New Roman" w:hAnsi="Times New Roman"/>
          <w:sz w:val="12"/>
          <w:szCs w:val="12"/>
          <w:color w:val="auto"/>
        </w:rPr>
      </w:pPr>
    </w:p>
    <w:p>
      <w:pPr>
        <w:jc w:val="both"/>
        <w:ind w:left="227" w:hanging="227"/>
        <w:spacing w:after="0" w:line="261" w:lineRule="auto"/>
        <w:tabs>
          <w:tab w:leader="none" w:pos="22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Guarantees, assuming (a) the taking of all necessary corporate or company action to approve the issuance and terms of the Guarantees and related matters by the board of directors, members, board of managers or equivalent governing body of such applicable Guarantor, a duly constituted and acting committee of such governing body or duly authorized officers of each applicable Guarantor (such board of directors, members, board of managers or equivalent governing body, committee or authorized officers being referred to herein as the “</w:t>
      </w:r>
      <w:r>
        <w:rPr>
          <w:rFonts w:ascii="Times New Roman" w:cs="Times New Roman" w:eastAsia="Times New Roman" w:hAnsi="Times New Roman"/>
          <w:sz w:val="12"/>
          <w:szCs w:val="12"/>
          <w:b w:val="1"/>
          <w:bCs w:val="1"/>
          <w:color w:val="auto"/>
        </w:rPr>
        <w:t>Guarantor Board</w:t>
      </w:r>
      <w:r>
        <w:rPr>
          <w:rFonts w:ascii="Times New Roman" w:cs="Times New Roman" w:eastAsia="Times New Roman" w:hAnsi="Times New Roman"/>
          <w:sz w:val="12"/>
          <w:szCs w:val="12"/>
          <w:color w:val="auto"/>
        </w:rPr>
        <w:t>”), (b) the due execution, authentication, issuance and delivery of the Debt Securities underlying such Guarantees, upon payment of the consideration for such Debt Securities provided for in the applicable definitive purchase, underwriting or similar agreement approved by the applicable Guarantor Board and otherwise in accordance with the provisions of the Indenture and such agreement and (c) the due execution, issuance and delivery of such Guarantees, such Guarantees will constitute valid and legally binding obligations of such Guarantors, enforceable against such Guarantors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285115</wp:posOffset>
            </wp:positionV>
            <wp:extent cx="717677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087"/>
          </w:cols>
          <w:pgMar w:left="513" w:top="657" w:right="299" w:bottom="1440" w:gutter="0" w:footer="0" w:header="0"/>
        </w:sectPr>
      </w:pPr>
    </w:p>
    <w:bookmarkStart w:id="136" w:name="page137"/>
    <w:bookmarkEnd w:id="136"/>
    <w:p>
      <w:pPr>
        <w:jc w:val="both"/>
        <w:ind w:left="440" w:hanging="227"/>
        <w:spacing w:after="0" w:line="263" w:lineRule="auto"/>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Share Purchase Contracts, assuming (a) the taking of all necessary corporate action by Weatherford Ireland Board to approve the issuance and terms of the Share Purchase Contracts, the terms of the offering thereof and related matters and the execution and delivery of the related Purchase Contract Agreement and (b) the due execution, issuance and delivery of such Share Purchase Contracts, upon payment of the consideration for such Share Purchase Contracts provided for in the applicable definitive purchase, underwriting or similar agreement approved by the Weatherford Ireland Board and otherwise in accordance with the provisions of the applicable Purchase Contract Agreement and such agreement, the Share Purchase Contracts will constitute valid and legally binding obligations of Weatherford Ireland, enforceable against Weatherford Ireland in accordance with their terms.</w:t>
      </w:r>
    </w:p>
    <w:p>
      <w:pPr>
        <w:spacing w:after="0" w:line="122" w:lineRule="exact"/>
        <w:rPr>
          <w:rFonts w:ascii="Times New Roman" w:cs="Times New Roman" w:eastAsia="Times New Roman" w:hAnsi="Times New Roman"/>
          <w:sz w:val="12"/>
          <w:szCs w:val="12"/>
          <w:color w:val="auto"/>
        </w:rPr>
      </w:pPr>
    </w:p>
    <w:p>
      <w:pPr>
        <w:jc w:val="both"/>
        <w:ind w:left="440" w:hanging="227"/>
        <w:spacing w:after="0" w:line="258" w:lineRule="auto"/>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Share Purchase Units, assuming (a) the taking of all necessary corporate or company action by the board of directors, members, board of managers or equivalent governing body of such applicable Company, a duly constituted and acting committee of such governing body or duly authorized officers of each applicable Company (such board of directors, members, board of managers or equivalent governing body, committee or authorized officers being referred to herein as the “</w:t>
      </w:r>
      <w:r>
        <w:rPr>
          <w:rFonts w:ascii="Times New Roman" w:cs="Times New Roman" w:eastAsia="Times New Roman" w:hAnsi="Times New Roman"/>
          <w:sz w:val="12"/>
          <w:szCs w:val="12"/>
          <w:b w:val="1"/>
          <w:bCs w:val="1"/>
          <w:color w:val="auto"/>
        </w:rPr>
        <w:t>Weatherford Entity Board</w:t>
      </w:r>
      <w:r>
        <w:rPr>
          <w:rFonts w:ascii="Times New Roman" w:cs="Times New Roman" w:eastAsia="Times New Roman" w:hAnsi="Times New Roman"/>
          <w:sz w:val="12"/>
          <w:szCs w:val="12"/>
          <w:color w:val="auto"/>
        </w:rPr>
        <w:t>”) to authorize and approve (1) the issuance and terms of the Share Purchase Units, the terms of the offering thereof and related matters, (2) the due execution and delivery of the Purchase Contract Agreement with respect to the Share Purchase Contracts that are a component of the Share Purchase Units and (3) the issuance and terms of the Debt Securities (and the Guarantees thereof) that are a component of the Share Purchase Units and (b) the due execution, authentication, in the case of such Debt Securities (and the Guarantees thereof), issuance and delivery of</w:t>
      </w:r>
    </w:p>
    <w:p>
      <w:pPr>
        <w:spacing w:after="0" w:line="2" w:lineRule="exact"/>
        <w:rPr>
          <w:rFonts w:ascii="Times New Roman" w:cs="Times New Roman" w:eastAsia="Times New Roman" w:hAnsi="Times New Roman"/>
          <w:sz w:val="12"/>
          <w:szCs w:val="12"/>
          <w:color w:val="auto"/>
        </w:rPr>
      </w:pPr>
    </w:p>
    <w:p>
      <w:pPr>
        <w:jc w:val="both"/>
        <w:ind w:left="440" w:hanging="8"/>
        <w:spacing w:after="0" w:line="259" w:lineRule="auto"/>
        <w:tabs>
          <w:tab w:leader="none" w:pos="626"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Purchase Units, (2) such Share Purchase Contracts and (3) such Debt Securities (and the Guarantees thereof), in each case upon the payment of the consideration therefor provided for in the applicable definitive purchase, underwriting or similar agreement approved by each applicable Weatherford Entity Board and in accordance with the provisions of the applicable Purchase Contract Agreement, in the case of such Share Purchase Contracts, and the Indenture, in the case of Debt Securities, such Share Purchase Units will constitute valid and legally binding obligations of the applicable Company, enforceable against Weatherford Ireland in accordance with their terms.</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Our opinions set forth in paragraphs 1 through 6 above are subject to the effects of (i) bankruptcy, insolvency, fraudulent conveyance, reorganization, moratorium and other similar laws relating to or affecting creditors’ rights generally, (ii) general equitable principles (whether considered in a proceeding in equity or at law), (iii) an implied covenant of good faith and fair dealing and (iv) to the effects of the possible judicial application of foreign laws or foreign governmental or judicial action affecting creditors’ rights.</w:t>
      </w:r>
    </w:p>
    <w:p>
      <w:pPr>
        <w:spacing w:after="0" w:line="11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2"/>
          <w:szCs w:val="12"/>
          <w:color w:val="auto"/>
        </w:rPr>
        <w:t>We do not express any opinion herein concerning any law other than the law of the State of New York and the federal laws of the United States,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0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2"/>
          <w:szCs w:val="12"/>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Companies in connection with the matters addressed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767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7" w:name="page138"/>
    <w:bookmarkEnd w:id="137"/>
    <w:p>
      <w:pPr>
        <w:spacing w:after="0" w:line="290" w:lineRule="auto"/>
        <w:rPr>
          <w:sz w:val="20"/>
          <w:szCs w:val="20"/>
          <w:color w:val="auto"/>
        </w:rPr>
      </w:pPr>
      <w:r>
        <w:rPr>
          <w:rFonts w:ascii="Times New Roman" w:cs="Times New Roman" w:eastAsia="Times New Roman" w:hAnsi="Times New Roman"/>
          <w:sz w:val="12"/>
          <w:szCs w:val="12"/>
          <w:color w:val="auto"/>
        </w:rPr>
        <w:t>We hereby consent to the filing of this opinion letter as Exhibit 5.1 to the Registration Statement and to the use of our name under the caption “Legal Matters” in the Prospectus included in the Registration Statement. In giving such consent, we do not admit that we are in the category of persons whose consent is required under Section 7 of the Securities 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Very truly yours,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King &amp; Spalding LLP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717677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5"/>
          <w:szCs w:val="15"/>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112395</wp:posOffset>
            </wp:positionV>
            <wp:extent cx="1847850" cy="6800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1847850" cy="68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Weatherford International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70 Sir John Rogerson's Quay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Dublin 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D02 R296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Ireland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Private and Confidential</w:t>
      </w:r>
    </w:p>
    <w:p>
      <w:pPr>
        <w:sectPr>
          <w:pgSz w:w="11900" w:h="16838" w:orient="portrait"/>
          <w:cols w:equalWidth="0" w:num="1">
            <w:col w:w="11300"/>
          </w:cols>
          <w:pgMar w:left="300" w:top="284" w:right="29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ref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FBO/SCC 661725-51</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 June 2022</w:t>
      </w:r>
    </w:p>
    <w:p>
      <w:pPr>
        <w:spacing w:after="0" w:line="301" w:lineRule="exact"/>
        <w:rPr>
          <w:sz w:val="20"/>
          <w:szCs w:val="20"/>
          <w:color w:val="auto"/>
        </w:rPr>
      </w:pPr>
    </w:p>
    <w:p>
      <w:pPr>
        <w:sectPr>
          <w:pgSz w:w="11900" w:h="16838" w:orient="portrait"/>
          <w:cols w:equalWidth="0" w:num="2">
            <w:col w:w="9920" w:space="720"/>
            <w:col w:w="660"/>
          </w:cols>
          <w:pgMar w:left="300" w:top="284"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Dear Sirs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Statement on Form S-3</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We have acted as Irish counsel to Weatherford International plc, a public limited company incorporated under the laws of Ireland (company number 540406) ("</w:t>
      </w:r>
      <w:r>
        <w:rPr>
          <w:rFonts w:ascii="Times New Roman" w:cs="Times New Roman" w:eastAsia="Times New Roman" w:hAnsi="Times New Roman"/>
          <w:sz w:val="12"/>
          <w:szCs w:val="12"/>
          <w:b w:val="1"/>
          <w:bCs w:val="1"/>
          <w:color w:val="auto"/>
        </w:rPr>
        <w:t>Weatherford Ireland</w:t>
      </w:r>
      <w:r>
        <w:rPr>
          <w:rFonts w:ascii="Times New Roman" w:cs="Times New Roman" w:eastAsia="Times New Roman" w:hAnsi="Times New Roman"/>
          <w:sz w:val="12"/>
          <w:szCs w:val="12"/>
          <w:color w:val="auto"/>
        </w:rPr>
        <w:t>") in connection with its filing (together with Weatherford International Ltd., an exempted company incorporated under the laws of Bermuda ("</w:t>
      </w:r>
      <w:r>
        <w:rPr>
          <w:rFonts w:ascii="Times New Roman" w:cs="Times New Roman" w:eastAsia="Times New Roman" w:hAnsi="Times New Roman"/>
          <w:sz w:val="12"/>
          <w:szCs w:val="12"/>
          <w:b w:val="1"/>
          <w:bCs w:val="1"/>
          <w:color w:val="auto"/>
        </w:rPr>
        <w:t>Weatherford Bermuda</w:t>
      </w:r>
      <w:r>
        <w:rPr>
          <w:rFonts w:ascii="Times New Roman" w:cs="Times New Roman" w:eastAsia="Times New Roman" w:hAnsi="Times New Roman"/>
          <w:sz w:val="12"/>
          <w:szCs w:val="12"/>
          <w:color w:val="auto"/>
        </w:rPr>
        <w:t>") and Weatherford International, LLC, a limited liability company incorporated under the laws of Delaware ("</w:t>
      </w:r>
      <w:r>
        <w:rPr>
          <w:rFonts w:ascii="Times New Roman" w:cs="Times New Roman" w:eastAsia="Times New Roman" w:hAnsi="Times New Roman"/>
          <w:sz w:val="12"/>
          <w:szCs w:val="12"/>
          <w:b w:val="1"/>
          <w:bCs w:val="1"/>
          <w:color w:val="auto"/>
        </w:rPr>
        <w:t>Weatherford Delaware</w:t>
      </w:r>
      <w:r>
        <w:rPr>
          <w:rFonts w:ascii="Times New Roman" w:cs="Times New Roman" w:eastAsia="Times New Roman" w:hAnsi="Times New Roman"/>
          <w:sz w:val="12"/>
          <w:szCs w:val="12"/>
          <w:color w:val="auto"/>
        </w:rPr>
        <w:t>", and together with Weatherford Ireland and Weatherford Bermuda, the "</w:t>
      </w:r>
      <w:r>
        <w:rPr>
          <w:rFonts w:ascii="Times New Roman" w:cs="Times New Roman" w:eastAsia="Times New Roman" w:hAnsi="Times New Roman"/>
          <w:sz w:val="12"/>
          <w:szCs w:val="12"/>
          <w:b w:val="1"/>
          <w:bCs w:val="1"/>
          <w:color w:val="auto"/>
        </w:rPr>
        <w:t>Registrants</w:t>
      </w:r>
      <w:r>
        <w:rPr>
          <w:rFonts w:ascii="Times New Roman" w:cs="Times New Roman" w:eastAsia="Times New Roman" w:hAnsi="Times New Roman"/>
          <w:sz w:val="12"/>
          <w:szCs w:val="12"/>
          <w:color w:val="auto"/>
        </w:rPr>
        <w:t>")), on the date hereof, of a registration statement on Form S-3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under the U.S.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with the U.S. Securities Exchange Commission (the "</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Pursuant to the Registration Statement, the Registrants will register, under the Securities Act, an indeterminate number of the following: (a) ordinary shares of $0.001 each (nominal value) in the capital of Weatherford Ireland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 (b) options and warrants to purchase Ordinary Shares ("</w:t>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 (c) debt securities of Weatherford Bermuda and Weatherford Delaware (either together or separately) ("</w:t>
      </w:r>
      <w:r>
        <w:rPr>
          <w:rFonts w:ascii="Times New Roman" w:cs="Times New Roman" w:eastAsia="Times New Roman" w:hAnsi="Times New Roman"/>
          <w:sz w:val="12"/>
          <w:szCs w:val="12"/>
          <w:b w:val="1"/>
          <w:bCs w:val="1"/>
          <w:color w:val="auto"/>
        </w:rPr>
        <w:t>Debt Securities</w:t>
      </w:r>
      <w:r>
        <w:rPr>
          <w:rFonts w:ascii="Times New Roman" w:cs="Times New Roman" w:eastAsia="Times New Roman" w:hAnsi="Times New Roman"/>
          <w:sz w:val="12"/>
          <w:szCs w:val="12"/>
          <w:color w:val="auto"/>
        </w:rPr>
        <w:t>"); (d) the related guarantees of Debt Securities (the "</w:t>
      </w:r>
      <w:r>
        <w:rPr>
          <w:rFonts w:ascii="Times New Roman" w:cs="Times New Roman" w:eastAsia="Times New Roman" w:hAnsi="Times New Roman"/>
          <w:sz w:val="12"/>
          <w:szCs w:val="12"/>
          <w:b w:val="1"/>
          <w:bCs w:val="1"/>
          <w:color w:val="auto"/>
        </w:rPr>
        <w:t>Guarantees</w:t>
      </w:r>
      <w:r>
        <w:rPr>
          <w:rFonts w:ascii="Times New Roman" w:cs="Times New Roman" w:eastAsia="Times New Roman" w:hAnsi="Times New Roman"/>
          <w:sz w:val="12"/>
          <w:szCs w:val="12"/>
          <w:color w:val="auto"/>
        </w:rPr>
        <w:t>"); (e) share purchase contracts representing contracts obligating holders to purchase from Weatherford Ireland and Weatherford Ireland to sell to holders a specific number of Ordinary Shares at a future date or dates ("</w:t>
      </w:r>
      <w:r>
        <w:rPr>
          <w:rFonts w:ascii="Times New Roman" w:cs="Times New Roman" w:eastAsia="Times New Roman" w:hAnsi="Times New Roman"/>
          <w:sz w:val="12"/>
          <w:szCs w:val="12"/>
          <w:b w:val="1"/>
          <w:bCs w:val="1"/>
          <w:color w:val="auto"/>
        </w:rPr>
        <w:t>Share Purchase Contracts</w:t>
      </w:r>
      <w:r>
        <w:rPr>
          <w:rFonts w:ascii="Times New Roman" w:cs="Times New Roman" w:eastAsia="Times New Roman" w:hAnsi="Times New Roman"/>
          <w:sz w:val="12"/>
          <w:szCs w:val="12"/>
          <w:color w:val="auto"/>
        </w:rPr>
        <w:t>"); and (f) share purchase units consisting of a Share Purchase Contract and either Debt Securities or debt obligations of third parties, including United States Treasury securities, securing the holder's obligations to purchase Ordinary Shares under a Share Purchase Contract ("</w:t>
      </w:r>
      <w:r>
        <w:rPr>
          <w:rFonts w:ascii="Times New Roman" w:cs="Times New Roman" w:eastAsia="Times New Roman" w:hAnsi="Times New Roman"/>
          <w:sz w:val="12"/>
          <w:szCs w:val="12"/>
          <w:b w:val="1"/>
          <w:bCs w:val="1"/>
          <w:color w:val="auto"/>
        </w:rPr>
        <w:t>Share Purchase Units</w:t>
      </w:r>
      <w:r>
        <w:rPr>
          <w:rFonts w:ascii="Times New Roman" w:cs="Times New Roman" w:eastAsia="Times New Roman" w:hAnsi="Times New Roman"/>
          <w:sz w:val="12"/>
          <w:szCs w:val="12"/>
          <w:color w:val="auto"/>
        </w:rPr>
        <w:t>" and together with Ordinary Shares, Options, Debt Securities and Share Purchase Contracts, the "</w:t>
      </w: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1180465</wp:posOffset>
            </wp:positionV>
            <wp:extent cx="71767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88265</wp:posOffset>
            </wp:positionV>
            <wp:extent cx="3509645" cy="778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3509645" cy="778510"/>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type w:val="continuous"/>
        </w:sectPr>
      </w:pPr>
    </w:p>
    <w:bookmarkStart w:id="139" w:name="page140"/>
    <w:bookmarkEnd w:id="139"/>
    <w:p>
      <w:pPr>
        <w:ind w:left="7" w:right="20"/>
        <w:spacing w:after="0" w:line="29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Debt Securities will be issued under a form of indenture filed with the Commission as an exhibit to the Registration Statement, which is to be entered into among Weatherford Ireland, Weatherford Bermuda, Weatherford Delaware and Deutsche Bank Trust Company Americas (the "</w:t>
      </w:r>
      <w:r>
        <w:rPr>
          <w:rFonts w:ascii="Times New Roman" w:cs="Times New Roman" w:eastAsia="Times New Roman" w:hAnsi="Times New Roman"/>
          <w:sz w:val="12"/>
          <w:szCs w:val="12"/>
          <w:b w:val="1"/>
          <w:bCs w:val="1"/>
          <w:color w:val="auto"/>
        </w:rPr>
        <w:t>Indenture</w:t>
      </w:r>
      <w:r>
        <w:rPr>
          <w:rFonts w:ascii="Times New Roman" w:cs="Times New Roman" w:eastAsia="Times New Roman" w:hAnsi="Times New Roman"/>
          <w:sz w:val="12"/>
          <w:szCs w:val="12"/>
          <w:color w:val="auto"/>
        </w:rPr>
        <w:t>"), as supplemented, from time to time, by one or more duly authorised, executed and lawful supplemental indenture(s).</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In connection with this Opinion, we have reviewed the corporate resolutions, records and other documents and searches listed in Schedule 1 to this Opinion (the "</w:t>
      </w:r>
      <w:r>
        <w:rPr>
          <w:rFonts w:ascii="Times New Roman" w:cs="Times New Roman" w:eastAsia="Times New Roman" w:hAnsi="Times New Roman"/>
          <w:sz w:val="12"/>
          <w:szCs w:val="12"/>
          <w:b w:val="1"/>
          <w:bCs w:val="1"/>
          <w:color w:val="auto"/>
        </w:rPr>
        <w:t>Documents</w:t>
      </w: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Based on the foregoing, and subject to the assumptions, qualification and limitations set out in Schedule 2, Schedule 3 and elsewhere in this Opinion, we are of the opinion that:</w:t>
      </w:r>
    </w:p>
    <w:p>
      <w:pPr>
        <w:spacing w:after="0" w:line="155" w:lineRule="exact"/>
        <w:rPr>
          <w:sz w:val="20"/>
          <w:szCs w:val="20"/>
          <w:color w:val="auto"/>
        </w:rPr>
      </w:pPr>
    </w:p>
    <w:p>
      <w:pPr>
        <w:ind w:left="427" w:hanging="427"/>
        <w:spacing w:after="0"/>
        <w:tabs>
          <w:tab w:leader="none" w:pos="427"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is a public limited company, duly incorporated and validly existing under the laws of Ireland;</w:t>
      </w:r>
    </w:p>
    <w:p>
      <w:pPr>
        <w:spacing w:after="0" w:line="155" w:lineRule="exact"/>
        <w:rPr>
          <w:sz w:val="20"/>
          <w:szCs w:val="20"/>
          <w:color w:val="auto"/>
        </w:rPr>
      </w:pPr>
    </w:p>
    <w:p>
      <w:pPr>
        <w:jc w:val="both"/>
        <w:ind w:left="427" w:hanging="427"/>
        <w:spacing w:after="0" w:line="266" w:lineRule="auto"/>
        <w:tabs>
          <w:tab w:leader="none" w:pos="427"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Ordinary Shares (including any Ordinary Shares issued pursuant to Options, Share Purchase Contracts or Share Purchase Units), when issued in accordance with all necessary corporate action of Weatherford Ireland (including a valid resolution of the board of directors of Weatherford Ireland or a duly appointed committee thereof), the provisions of Weatherford Ireland's constitution and any applicable prospectus or prospectus supplement, and subject to receipt by Weatherford Ireland of the full consideration payable therefor, will be validly issued, fully-paid and non-assessable (“</w:t>
      </w:r>
      <w:r>
        <w:rPr>
          <w:rFonts w:ascii="Times New Roman" w:cs="Times New Roman" w:eastAsia="Times New Roman" w:hAnsi="Times New Roman"/>
          <w:sz w:val="12"/>
          <w:szCs w:val="12"/>
          <w:b w:val="1"/>
          <w:bCs w:val="1"/>
          <w:color w:val="auto"/>
        </w:rPr>
        <w:t>non-assessable</w:t>
      </w:r>
      <w:r>
        <w:rPr>
          <w:rFonts w:ascii="Times New Roman" w:cs="Times New Roman" w:eastAsia="Times New Roman" w:hAnsi="Times New Roman"/>
          <w:sz w:val="12"/>
          <w:szCs w:val="12"/>
          <w:color w:val="auto"/>
        </w:rPr>
        <w:t>” is a phrase which has no defined meaning under Irish law, but, for the purposes of this Opinion, shall mean that the registered holders of shares are not subject to calls for additional payments on such shares);</w:t>
      </w:r>
    </w:p>
    <w:p>
      <w:pPr>
        <w:spacing w:after="0" w:line="120" w:lineRule="exact"/>
        <w:rPr>
          <w:sz w:val="20"/>
          <w:szCs w:val="20"/>
          <w:color w:val="auto"/>
        </w:rPr>
      </w:pPr>
    </w:p>
    <w:p>
      <w:pPr>
        <w:jc w:val="both"/>
        <w:ind w:left="427" w:right="20" w:hanging="427"/>
        <w:spacing w:after="0" w:line="272" w:lineRule="auto"/>
        <w:tabs>
          <w:tab w:leader="none" w:pos="427"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has the requisite power and authority under its constitution to enter into the Indenture and to perform its obligations thereunder and, if duly authorised by a valid resolution of the board of directors of Weatherford Ireland or a duly appointed committee thereof (and provided they are given in accordance with the terms of the Indenture, as supplemented by any duly authorised and executed supplemental indenture(s)), to give Guarantees of Debt Securities; and</w:t>
      </w:r>
    </w:p>
    <w:p>
      <w:pPr>
        <w:spacing w:after="0" w:line="117" w:lineRule="exact"/>
        <w:rPr>
          <w:sz w:val="20"/>
          <w:szCs w:val="20"/>
          <w:color w:val="auto"/>
        </w:rPr>
      </w:pPr>
    </w:p>
    <w:p>
      <w:pPr>
        <w:jc w:val="both"/>
        <w:ind w:left="427" w:right="20" w:hanging="427"/>
        <w:spacing w:after="0" w:line="272" w:lineRule="auto"/>
        <w:tabs>
          <w:tab w:leader="none" w:pos="427"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has the requisite power and authority under its constitution, if duly authorised by a valid resolution of the board of directors of Weatherford Ireland or a duly appointed committee thereof, to issue Share Purchase Contracts and Share Purchase Units, provided that any Debt Securities issued as part of Share Purchase Units are issued in accordance with the terms of the Indenture, as supplemented by any duly authorised, executed and lawful supplemental indenture(s).</w:t>
      </w:r>
    </w:p>
    <w:p>
      <w:pPr>
        <w:spacing w:after="0" w:line="117" w:lineRule="exact"/>
        <w:rPr>
          <w:sz w:val="20"/>
          <w:szCs w:val="20"/>
          <w:color w:val="auto"/>
        </w:rPr>
      </w:pPr>
    </w:p>
    <w:p>
      <w:pPr>
        <w:jc w:val="both"/>
        <w:ind w:left="7" w:right="20"/>
        <w:spacing w:after="0" w:line="272" w:lineRule="auto"/>
        <w:rPr>
          <w:sz w:val="20"/>
          <w:szCs w:val="20"/>
          <w:color w:val="auto"/>
        </w:rPr>
      </w:pPr>
      <w:r>
        <w:rPr>
          <w:rFonts w:ascii="Times New Roman" w:cs="Times New Roman" w:eastAsia="Times New Roman" w:hAnsi="Times New Roman"/>
          <w:sz w:val="12"/>
          <w:szCs w:val="12"/>
          <w:color w:val="auto"/>
        </w:rPr>
        <w:t>This Opinion is based upon, and limited to, the laws of Ireland in effect on the date hereof and is based on legislation published and cases fully reported before that date and our knowledge of the facts relevant to the opinions contained herein. We have assumed, without enquiry, that there is nothing in the laws of any jurisdiction other than Ireland which would, or might, affect our opinions as stated herein. We have made no investigations of, and we express no opinion on, the laws of any jurisdiction other than Ireland, or the effect thereof. This Opinion is expressed as of the date hereof and we assume no obligation to update this Opinion.</w:t>
      </w:r>
    </w:p>
    <w:p>
      <w:pPr>
        <w:spacing w:after="0" w:line="2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7" w:right="299" w:bottom="1440" w:gutter="0" w:footer="0" w:header="0"/>
        </w:sectPr>
      </w:pPr>
    </w:p>
    <w:bookmarkStart w:id="140" w:name="page141"/>
    <w:bookmarkEnd w:id="140"/>
    <w:p>
      <w:pPr>
        <w:ind w:right="20"/>
        <w:spacing w:after="0" w:line="29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 This Opinion is confined strictly to the matters expressly stated herein and is not to be read as extending, by implication or otherwise, to any other matter.</w:t>
      </w:r>
    </w:p>
    <w:p>
      <w:pPr>
        <w:spacing w:after="0" w:line="10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2"/>
          <w:szCs w:val="12"/>
          <w:color w:val="auto"/>
        </w:rPr>
        <w:t>We hereby consent to the filing of this Opinion as Exhibit 5.2 to the Registration Statement and to the reference to Matheson under the caption “Legal Matters” in the prospectus constituting a part of the Registration Statement. In giving such consent, we do not admit that we are included in the category of persons whose consent is required under section 7 of the Securities Act, or the rules and regulations of the Commission promulgated thereunder.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Opinion and the opinions given in it are governed by, and shall be construed in accordance with, the laws of Ireland.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Matheson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35909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3590925" cy="571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1087" w:right="299" w:bottom="1440" w:gutter="0" w:footer="0" w:header="0"/>
        </w:sectPr>
      </w:pPr>
    </w:p>
    <w:bookmarkStart w:id="141" w:name="page142"/>
    <w:bookmarkEnd w:id="141"/>
    <w:p>
      <w:pPr>
        <w:jc w:val="center"/>
        <w:ind w:right="-6"/>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Schedule 1</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The Documents</w:t>
      </w:r>
    </w:p>
    <w:p>
      <w:pPr>
        <w:spacing w:after="0" w:line="157" w:lineRule="exact"/>
        <w:rPr>
          <w:sz w:val="20"/>
          <w:szCs w:val="20"/>
          <w:color w:val="auto"/>
        </w:rPr>
      </w:pPr>
    </w:p>
    <w:p>
      <w:pPr>
        <w:ind w:left="427" w:hanging="427"/>
        <w:spacing w:after="0" w:line="290" w:lineRule="auto"/>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certificate of incorporation, certificate of incorporation on change of name and certificate of incorporation on re-registration as a public limited company of Weatherford Ireland, dated 3 March 2014, 20 March 2014 and 29 May 2014, respectively.</w:t>
      </w:r>
    </w:p>
    <w:p>
      <w:pPr>
        <w:spacing w:after="0" w:line="105"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Copy constitution of Weatherford Ireland, comprised of its memorandum and articles of association, adopted on 10 December 2019.</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Copy resolutions of the board of directors of Weatherford Ireland passed on 13 June 2022.</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final form of Registration Statement, including the prospectus contained therein, to be filed with the Commission.</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final form of Indenture to be filed with the Commission as an exhibit to the Registration Statement.</w:t>
      </w:r>
    </w:p>
    <w:p>
      <w:pPr>
        <w:spacing w:after="0" w:line="154" w:lineRule="exact"/>
        <w:rPr>
          <w:rFonts w:ascii="Times New Roman" w:cs="Times New Roman" w:eastAsia="Times New Roman" w:hAnsi="Times New Roman"/>
          <w:sz w:val="12"/>
          <w:szCs w:val="12"/>
          <w:color w:val="auto"/>
        </w:rPr>
      </w:pPr>
    </w:p>
    <w:p>
      <w:pPr>
        <w:ind w:left="427" w:hanging="427"/>
        <w:spacing w:after="0" w:line="290" w:lineRule="auto"/>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Searches carried out by independent law researchers on our behalf against Weatherford Ireland on 13 June 2022 in (a) the Index of Petitions and Winding-up Notices maintained at the Central Office of the High Court of Ireland; (b) the Judgments’ Office of the Central Office of the High Court of Ireland; and (c) the Irish Companies Registration Office in Dublin (the "</w:t>
      </w:r>
      <w:r>
        <w:rPr>
          <w:rFonts w:ascii="Times New Roman" w:cs="Times New Roman" w:eastAsia="Times New Roman" w:hAnsi="Times New Roman"/>
          <w:sz w:val="12"/>
          <w:szCs w:val="12"/>
          <w:b w:val="1"/>
          <w:bCs w:val="1"/>
          <w:color w:val="auto"/>
        </w:rPr>
        <w:t>Companies Registration Office</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Searches</w:t>
      </w:r>
      <w:r>
        <w:rPr>
          <w:rFonts w:ascii="Times New Roman" w:cs="Times New Roman" w:eastAsia="Times New Roman" w:hAnsi="Times New Roman"/>
          <w:sz w:val="12"/>
          <w:szCs w:val="12"/>
          <w:color w:val="auto"/>
        </w:rPr>
        <w:t>”).</w:t>
      </w:r>
    </w:p>
    <w:p>
      <w:pPr>
        <w:spacing w:after="0" w:line="105"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omnibus secretary's certificate dated 15 June 2022.</w:t>
      </w:r>
    </w:p>
    <w:p>
      <w:pPr>
        <w:spacing w:after="0" w:line="3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5" w:right="299" w:bottom="1440" w:gutter="0" w:footer="0" w:header="0"/>
        </w:sectPr>
      </w:pPr>
    </w:p>
    <w:bookmarkStart w:id="142" w:name="page143"/>
    <w:bookmarkEnd w:id="142"/>
    <w:p>
      <w:pPr>
        <w:jc w:val="center"/>
        <w:ind w:right="-6"/>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Schedule 2</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Assumptions</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For the purposes of this Opinion, we have assumed:</w:t>
      </w:r>
    </w:p>
    <w:p>
      <w:pPr>
        <w:spacing w:after="0" w:line="155" w:lineRule="exact"/>
        <w:rPr>
          <w:sz w:val="20"/>
          <w:szCs w:val="20"/>
          <w:color w:val="auto"/>
        </w:rPr>
      </w:pPr>
    </w:p>
    <w:p>
      <w:pPr>
        <w:ind w:left="427" w:hanging="427"/>
        <w:spacing w:after="0"/>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truth and accuracy of the contents of the Documents as to factual matters, but have made no independent investigation regarding such factual matters.</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signatures, initials, seals and stamps contained in, or on, the Documents submitted to us are genuine.</w:t>
      </w:r>
    </w:p>
    <w:p>
      <w:pPr>
        <w:spacing w:after="0" w:line="154"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submitted to us as originals are authentic and complete and all Documents submitted to us as copies (including without limitation any document submitted to us as a .pdf, or any other format, attachment to an email) are complete and conform to the originals of such Documents, and the originals of such Documents are authentic and complete.</w:t>
      </w:r>
    </w:p>
    <w:p>
      <w:pPr>
        <w:spacing w:after="0" w:line="105"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Indenture will be executed by all parties in the final form we have examined for the purposes of this Opinion.</w:t>
      </w:r>
    </w:p>
    <w:p>
      <w:pPr>
        <w:spacing w:after="0" w:line="154"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any supplemental indenture to the Indenture will be duly authorised, executed and delivered by all parties thereto (including Weatherford Ireland) and no such supplemental indenture will contain a term or other provision that would render the Indenture or the offer, sale, issuance, admission to trading and / or listing of Debt Securities (including Debt Securities the subject of Share Purchase Units) or the giving of Guarantees thereunder unlawful under the constitution of Weatherford Ireland or the applicable laws of any jurisdiction, including Ireland.</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to the Documents (other than Weatherford Ireland) has, and shall continue to have, the due and requisite capacity, power and authority to enter into, execute and perform its obligations under the Documents to which it is, or shall become, a party, and the Documents are, and will not become, subject to avoidance by any person under all applicable laws in any applicable jurisdictions (other than, in the case of the Weatherford Ireland, the laws of Ireland and the jurisdiction of Ireland).</w:t>
      </w:r>
    </w:p>
    <w:p>
      <w:pPr>
        <w:spacing w:after="0" w:line="116"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dated on or prior to the date hereof and on which we have expressed reliance have not been revoked or amended and remain accurate.</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resolutions of the board of directors of Weatherford Ireland on which we have expressed reliance have not been amended or rescinded and are in full force and effect.</w:t>
      </w:r>
    </w:p>
    <w:p>
      <w:pPr>
        <w:spacing w:after="0" w:line="154"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will derive a commercial benefit from entering into the Indenture, any supplemental indenture(s) and any other document referred to in, or contemplated by, the Registration Statement (including the prospectus contained therein and any prospectus supplement) and issuing Securities or giving Guarantees thereunder commensurate with the obligations undertaken by it thereunder.</w:t>
      </w:r>
    </w:p>
    <w:p>
      <w:pPr>
        <w:spacing w:after="0" w:line="103" w:lineRule="exact"/>
        <w:rPr>
          <w:rFonts w:ascii="Times New Roman" w:cs="Times New Roman" w:eastAsia="Times New Roman" w:hAnsi="Times New Roman"/>
          <w:sz w:val="12"/>
          <w:szCs w:val="12"/>
          <w:color w:val="auto"/>
        </w:rPr>
      </w:pPr>
    </w:p>
    <w:p>
      <w:pPr>
        <w:jc w:val="both"/>
        <w:ind w:left="427" w:hanging="427"/>
        <w:spacing w:after="0" w:line="274" w:lineRule="auto"/>
        <w:tabs>
          <w:tab w:leader="none" w:pos="42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time of the allotment of any Ordinary Shares (including upon the grant or issuance of any rights or securities conferring rights to be allotted, or which are convertible into, Ordinary Shares ("</w:t>
      </w:r>
      <w:r>
        <w:rPr>
          <w:rFonts w:ascii="Times New Roman" w:cs="Times New Roman" w:eastAsia="Times New Roman" w:hAnsi="Times New Roman"/>
          <w:sz w:val="12"/>
          <w:szCs w:val="12"/>
          <w:b w:val="1"/>
          <w:bCs w:val="1"/>
          <w:color w:val="auto"/>
        </w:rPr>
        <w:t>Convertible Rights</w:t>
      </w:r>
      <w:r>
        <w:rPr>
          <w:rFonts w:ascii="Times New Roman" w:cs="Times New Roman" w:eastAsia="Times New Roman" w:hAnsi="Times New Roman"/>
          <w:sz w:val="12"/>
          <w:szCs w:val="12"/>
          <w:color w:val="auto"/>
        </w:rPr>
        <w:t>"), including Options, Share Purchase Contracts and Share Purchase Units), Weatherford Ireland will have a sufficient number of authorised but unissued Ordinary Shares in its share capital (being at least equal to the number of Ordinary Shares the subject of such allotment). For the avoidance of doubt, an "allotment" includes an agreement to allot Ordinary Shares.</w:t>
      </w:r>
    </w:p>
    <w:p>
      <w:pPr>
        <w:spacing w:after="0" w:line="26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5" w:right="299" w:bottom="1440" w:gutter="0" w:footer="0" w:header="0"/>
        </w:sectPr>
      </w:pPr>
    </w:p>
    <w:bookmarkStart w:id="143" w:name="page144"/>
    <w:bookmarkEnd w:id="143"/>
    <w:p>
      <w:pPr>
        <w:jc w:val="both"/>
        <w:ind w:left="427" w:hanging="427"/>
        <w:spacing w:after="0" w:line="263"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At the time of the allotment of any Ordinary Shares (including upon the grant or issuance of any Convertible Right, including Options, Share Purchase Contracts and Share Purchase Units), to the extent required: (a) the directors of Weatherford Ireland will, in accordance with section 1021 of the Companies Act 2014 of Ireland (the “</w:t>
      </w:r>
      <w:r>
        <w:rPr>
          <w:rFonts w:ascii="Times New Roman" w:cs="Times New Roman" w:eastAsia="Times New Roman" w:hAnsi="Times New Roman"/>
          <w:sz w:val="12"/>
          <w:szCs w:val="12"/>
          <w:b w:val="1"/>
          <w:bCs w:val="1"/>
          <w:color w:val="auto"/>
        </w:rPr>
        <w:t>Companies Act</w:t>
      </w:r>
      <w:r>
        <w:rPr>
          <w:rFonts w:ascii="Times New Roman" w:cs="Times New Roman" w:eastAsia="Times New Roman" w:hAnsi="Times New Roman"/>
          <w:sz w:val="12"/>
          <w:szCs w:val="12"/>
          <w:color w:val="auto"/>
        </w:rPr>
        <w:t>”), have been generally and unconditionally authorised by the shareholders of Weatherford Ireland to allot a sufficient number of “relevant securities” (within the meaning of that section), being at least equal to the number of Ordinary Shares the subject of such allotment (including upon the grant or issuance of a Convertible Right); and (b) the directors of Weatherford Ireland will, in accordance with section 1023 of the Companies Act, have been empowered by the shareholders of Weatherford Ireland to allot such Ordinary Shares or to grant or issue such Convertible Rights as if section 1022(1) of the Companies Act did not apply to such allotment (including upon the grant or issuance of a Convertible Right).</w:t>
      </w:r>
    </w:p>
    <w:p>
      <w:pPr>
        <w:spacing w:after="0" w:line="122"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treasury shares are being re-issued, the maximum and minimum prices of re-issue shall have been determined in advance at a general meeting of Weatherford Ireland in accordance with the requirements of section 1078 of the Companies Act.</w:t>
      </w:r>
    </w:p>
    <w:p>
      <w:pPr>
        <w:spacing w:after="0" w:line="105"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Ordinary Share will be allotted and issued for less than its nominal value, and no Ordinary Share will be allotted and issued for consideration other than cash save in accordance with the provisions of sections 1027, 1028 and 1029 of the Companies Act.</w:t>
      </w:r>
    </w:p>
    <w:p>
      <w:pPr>
        <w:spacing w:after="0" w:line="105"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Ordinary Share will be allotted and issued: (a) for consideration of an undertaking from any person that he, she or another will do work or perform services for Weatherford Ireland or for any other person; (b) for consideration otherwise than in cash that includes an undertaking which is to be or may be performed more than five years after the date of allotment; or (c) for other consideration which, from time to time, is not considered good or adequate consideration.</w:t>
      </w:r>
    </w:p>
    <w:p>
      <w:pPr>
        <w:spacing w:after="0" w:line="116"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Ordinary Share shall be issued by the entry of the name of the registered holder thereof in the register of members of Weatherford Ireland confirming that such Ordinary Share has been issued fully paid-up.</w:t>
      </w:r>
    </w:p>
    <w:p>
      <w:pPr>
        <w:spacing w:after="0" w:line="154"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shall not, by virtue of or in connection with any Securities to be allotted and issued by it or the giving of any Guarantees, give any financial assistance, as contemplated by sections 82 and 1043 of the Companies Act for the purpose of any acquisition of shares in the capital of Weatherford Ireland or any company which, from time to time, is the holding company of Weatherford Ireland, save as permitted by, or pursuant to an exemption to, the said sections 82 and 1043.</w:t>
      </w:r>
    </w:p>
    <w:p>
      <w:pPr>
        <w:spacing w:after="0" w:line="116" w:lineRule="exact"/>
        <w:rPr>
          <w:rFonts w:ascii="Times New Roman" w:cs="Times New Roman" w:eastAsia="Times New Roman" w:hAnsi="Times New Roman"/>
          <w:sz w:val="12"/>
          <w:szCs w:val="12"/>
          <w:color w:val="auto"/>
        </w:rPr>
      </w:pPr>
    </w:p>
    <w:p>
      <w:pPr>
        <w:ind w:left="427" w:hanging="427"/>
        <w:spacing w:after="0" w:line="290"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Weatherford Ireland and any other entity whose obligations are guaranteed by it under the Indenture or any supplemental indenture(s) together comprise a “group” for the purposes of section 243 of the Companies Act and any person that subsequently becomes an issuer or a guarantor under the Indenture or any supplemental indenture(s) will also be a member of such group.</w:t>
      </w:r>
    </w:p>
    <w:p>
      <w:pPr>
        <w:spacing w:after="0" w:line="105"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approving the issue and sale of any Securities or the giving of any Guarantee, there shall be no intent by the directors and / or any duly authorised officer of Weatherford Ireland acting under delegated authority to give a creditor a preference which could be deemed to be an unfair preference in accordance with section 604 of the Companies Act.</w:t>
      </w:r>
    </w:p>
    <w:p>
      <w:pPr>
        <w:spacing w:after="0" w:line="2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7" w:right="299" w:bottom="1440" w:gutter="0" w:footer="0" w:header="0"/>
        </w:sectPr>
      </w:pPr>
    </w:p>
    <w:bookmarkStart w:id="144" w:name="page145"/>
    <w:bookmarkEnd w:id="144"/>
    <w:p>
      <w:pPr>
        <w:jc w:val="both"/>
        <w:ind w:left="427" w:hanging="427"/>
        <w:spacing w:after="0" w:line="272"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The obligations expressed to be assumed by each party to the Indenture are legal, valid, binding and enforceable obligations under all applicable laws and in all applicable jurisdictions, other than, in the case of Weatherford Ireland, the laws of Ireland and the jurisdiction of Ireland and any obligations expressed to be assumed by each party to any supplemental indenture(s) will be legal, valid, binding and enforceable obligations under all applicable laws and in all applicable jurisdictions, including the laws of Ireland and the jurisdiction of Ireland.</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obligation of any of the parties under the Indenture or any supplemental indenture(s) is to be performed in any jurisdiction other than Ireland, its performance will not be illegal or ineffective by virtue of the law of that jurisdiction and there are no provisions of the laws or public policy of any jurisdiction outside Ireland which would be contravened by the execution or performance of the Indenture or any supplemental indenture(s) or which would render their performance ineffective by virtue of the laws of that jurisdiction.</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Indenture, any supplemental indenture(s) and the transactions contemplated thereby and the payments to be made thereunder are not and will not be affected by any financial restrictions or sanctions arising from orders made by the Irish Minister for Finance under the Financial Transfers Act 1992 of Ireland and/or section 42 of the Criminal Justice (Terrorist Offences) Act 2005 of Ireland or the Criminal Justice (Money Laundering and Terrorist Financing) Act 2010 of Ireland.</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63"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authorisations, approvals, licences, exemptions or consents of governmental or regulatory authorities, including Ireland, with respect to the agreements or arrangements referred to in the Registration Statement (including the prospectus contained therein and any prospectus supplement) or with respect to the issue, offer or sale of any Securities or the giving of any Guarantees have been, or will be, obtained and are, or will be, in full force and effect, all Securities and Guarantees will conform with the descriptions contained in the Registration Statement (including the prospectus contained therein and any prospectus supplement) and, subject to such changes as may be required in order to comply with any requirement of Irish law, the selling restrictions contained in the Registration Statement (including the prospectus and any supplemental prospectus) have been and will, at all times, be observed and Weatherford Ireland will otherwise comply with the terms of any other lawful agreements relating to the issue, sale and/or offer of any Securities or the giving of any Guarantees.</w:t>
      </w:r>
    </w:p>
    <w:p>
      <w:pPr>
        <w:spacing w:after="0" w:line="122" w:lineRule="exact"/>
        <w:rPr>
          <w:rFonts w:ascii="Times New Roman" w:cs="Times New Roman" w:eastAsia="Times New Roman" w:hAnsi="Times New Roman"/>
          <w:sz w:val="12"/>
          <w:szCs w:val="12"/>
          <w:color w:val="auto"/>
        </w:rPr>
      </w:pPr>
    </w:p>
    <w:p>
      <w:pPr>
        <w:jc w:val="both"/>
        <w:ind w:left="427" w:hanging="427"/>
        <w:spacing w:after="0" w:line="261"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creation, issuance, offering or sale, including the marketing, of any Securities or the giving of any Guarantees will be made, effected and conducted in accordance with and will not otherwise violate any applicable laws and regulations of any jurisdiction, including Ireland, or supra-national authority, including, without limitation: (a) the securities laws and regulations of any jurisdiction or supra-national authority which impose any restrictions, or mandatory requirements, in relation to the offering or sale of securities to the public in any jurisdiction, including the obligation to prepare a prospectus or registration document relating to any securities; and</w:t>
      </w:r>
    </w:p>
    <w:p>
      <w:pPr>
        <w:spacing w:after="0" w:line="1" w:lineRule="exact"/>
        <w:rPr>
          <w:rFonts w:ascii="Times New Roman" w:cs="Times New Roman" w:eastAsia="Times New Roman" w:hAnsi="Times New Roman"/>
          <w:sz w:val="12"/>
          <w:szCs w:val="12"/>
          <w:color w:val="auto"/>
        </w:rPr>
      </w:pPr>
    </w:p>
    <w:p>
      <w:pPr>
        <w:ind w:left="427"/>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any requirement or restriction imposed by any court, governmental body or supra-national authority having jurisdiction over Weatherford Ireland or the members of their group.</w:t>
      </w:r>
    </w:p>
    <w:p>
      <w:pPr>
        <w:spacing w:after="0" w:line="142" w:lineRule="exact"/>
        <w:rPr>
          <w:rFonts w:ascii="Times New Roman" w:cs="Times New Roman" w:eastAsia="Times New Roman" w:hAnsi="Times New Roman"/>
          <w:sz w:val="12"/>
          <w:szCs w:val="12"/>
          <w:color w:val="auto"/>
        </w:rPr>
      </w:pPr>
    </w:p>
    <w:p>
      <w:pPr>
        <w:jc w:val="both"/>
        <w:ind w:left="427" w:hanging="427"/>
        <w:spacing w:after="0" w:line="266" w:lineRule="auto"/>
        <w:tabs>
          <w:tab w:leader="none" w:pos="427"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(a) Weatherford Ireland will be fully solvent at the time of and immediately following the issue of any Securities or the giving of any Guarantees; (b) no resolution or petition for the appointment of a liquidator or examiner will be passed or presented prior to the issue of any Securities or the giving of any Guarantees; (c) no receiver will have been appointed in relation to any of the assets or undertaking of Weatherford Ireland prior to the issue of any Securities or the giving of any Guarantees; and (d) no composition in satisfaction of debts, scheme of arrangement, or compromise or arrangement with creditors or members (or any class of creditors or members) will be proposed, sanctioned or approved in relation to Weatherford Ireland prior to the issue of any Securities or the giving of any Guarantees.</w:t>
      </w:r>
    </w:p>
    <w:p>
      <w:pPr>
        <w:spacing w:after="0" w:line="26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8" w:right="299" w:bottom="1440" w:gutter="0" w:footer="0" w:header="0"/>
        </w:sectPr>
      </w:pPr>
    </w:p>
    <w:bookmarkStart w:id="145" w:name="page146"/>
    <w:bookmarkEnd w:id="145"/>
    <w:p>
      <w:pPr>
        <w:jc w:val="both"/>
        <w:ind w:left="427" w:hanging="427"/>
        <w:spacing w:after="0" w:line="272" w:lineRule="auto"/>
        <w:tabs>
          <w:tab w:leader="none" w:pos="42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The information disclosed by the Searches was accurate and complete as of the date the Searches were made and has not been altered, and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No additional matters would have been disclosed by searches being carried out since that time.</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83" w:lineRule="auto"/>
        <w:tabs>
          <w:tab w:leader="none" w:pos="42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proceedings have been or will be instituted or injunction granted against Weatherford Ireland to restrain it from issuing any Securities or giving any Guarantees and the issue or giving of same would not be contrary to any state, government, court, state or quasi-governmental agency, licencing authority, local or municipal government body or regulatory authority’s order, direction, guideline, recommendation, decision, licence or requirement.</w:t>
      </w:r>
    </w:p>
    <w:p>
      <w:pPr>
        <w:spacing w:after="0" w:line="260"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absence of fraud and the presence of good faith on the part of all parties to the Indenture, any supplemental indenture(s) and any other relevant documents and their respective officers, employees, agents and advisors.</w:t>
      </w:r>
    </w:p>
    <w:p>
      <w:pPr>
        <w:spacing w:after="0" w:line="3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7" w:right="299" w:bottom="1440" w:gutter="0" w:footer="0" w:header="0"/>
        </w:sectPr>
      </w:pPr>
    </w:p>
    <w:bookmarkStart w:id="146" w:name="page147"/>
    <w:bookmarkEnd w:id="146"/>
    <w:p>
      <w:pPr>
        <w:jc w:val="center"/>
        <w:ind w:right="-6"/>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Schedule 3</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Qualifications</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The opinions in this Opinion are subject to the following qualifications:</w:t>
      </w:r>
    </w:p>
    <w:p>
      <w:pPr>
        <w:spacing w:after="0" w:line="155" w:lineRule="exact"/>
        <w:rPr>
          <w:sz w:val="20"/>
          <w:szCs w:val="20"/>
          <w:color w:val="auto"/>
        </w:rPr>
      </w:pPr>
    </w:p>
    <w:p>
      <w:pPr>
        <w:jc w:val="both"/>
        <w:ind w:left="427" w:hanging="427"/>
        <w:spacing w:after="0" w:line="272" w:lineRule="auto"/>
        <w:tabs>
          <w:tab w:leader="none" w:pos="42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search at the Companies Registration Office is not conclusively capable of revealing whether or not a winding up petition or a petition for the appointment of an examiner, receiver or liquidator has been presented or a resolution passed for the winding up of Weatherford Ireland. A search on the Index of Petitions and Winding-up Notices maintained at the Central Office of the High Court of Ireland is not capable of revealing whether or not a receiver has been appointed to Weatherford Ireland.</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66" w:lineRule="auto"/>
        <w:tabs>
          <w:tab w:leader="none" w:pos="42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 Similarly whilst a petition to wind up may be revealed by a search on Index of Petitions and Winding-up Notices maintained at the Central Office of the High Court of Ireland, the making of a winding up order may not be filed on the Index immediately and therefore our searches may not have revealed such matters.</w:t>
      </w:r>
    </w:p>
    <w:p>
      <w:pPr>
        <w:spacing w:after="0" w:line="120"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position reflected in the Searches may not be fully up to date.</w:t>
      </w:r>
    </w:p>
    <w:p>
      <w:pPr>
        <w:spacing w:after="0" w:line="152" w:lineRule="exact"/>
        <w:rPr>
          <w:rFonts w:ascii="Times New Roman" w:cs="Times New Roman" w:eastAsia="Times New Roman" w:hAnsi="Times New Roman"/>
          <w:sz w:val="12"/>
          <w:szCs w:val="12"/>
          <w:color w:val="auto"/>
        </w:rPr>
      </w:pPr>
    </w:p>
    <w:p>
      <w:pPr>
        <w:ind w:left="427" w:right="20" w:hanging="427"/>
        <w:spacing w:after="0" w:line="294" w:lineRule="auto"/>
        <w:tabs>
          <w:tab w:leader="none" w:pos="42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expressions “</w:t>
      </w:r>
      <w:r>
        <w:rPr>
          <w:rFonts w:ascii="Times New Roman" w:cs="Times New Roman" w:eastAsia="Times New Roman" w:hAnsi="Times New Roman"/>
          <w:sz w:val="12"/>
          <w:szCs w:val="12"/>
          <w:i w:val="1"/>
          <w:iCs w:val="1"/>
          <w:color w:val="auto"/>
        </w:rPr>
        <w:t>validly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valid and binding</w:t>
      </w:r>
      <w:r>
        <w:rPr>
          <w:rFonts w:ascii="Times New Roman" w:cs="Times New Roman" w:eastAsia="Times New Roman" w:hAnsi="Times New Roman"/>
          <w:sz w:val="12"/>
          <w:szCs w:val="12"/>
          <w:color w:val="auto"/>
        </w:rPr>
        <w:t>” when used in this Opinion mean that the obligations expressed to be assumed are of a type which the courts of Ireland will treat as valid and binding. It does not mean that these obligations will necessarily be enforced in all circumstances in accordance with their terms. In particular, enforcement of obligations may be:</w:t>
      </w:r>
    </w:p>
    <w:p>
      <w:pPr>
        <w:spacing w:after="0" w:line="103" w:lineRule="exact"/>
        <w:rPr>
          <w:rFonts w:ascii="Times New Roman" w:cs="Times New Roman" w:eastAsia="Times New Roman" w:hAnsi="Times New Roman"/>
          <w:sz w:val="12"/>
          <w:szCs w:val="12"/>
          <w:color w:val="auto"/>
        </w:rPr>
      </w:pPr>
    </w:p>
    <w:p>
      <w:pPr>
        <w:ind w:left="867" w:hanging="428"/>
        <w:spacing w:after="0" w:line="290" w:lineRule="auto"/>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limited by general principles of equity, in particular, equitable remedies (such as an order for specific performance or an injunction) which are discretionary and are not available where damages are considered to be an adequate remedy;</w:t>
      </w:r>
    </w:p>
    <w:p>
      <w:pPr>
        <w:spacing w:after="0" w:line="105" w:lineRule="exact"/>
        <w:rPr>
          <w:rFonts w:ascii="Times New Roman" w:cs="Times New Roman" w:eastAsia="Times New Roman" w:hAnsi="Times New Roman"/>
          <w:sz w:val="12"/>
          <w:szCs w:val="12"/>
          <w:color w:val="auto"/>
        </w:rPr>
      </w:pPr>
    </w:p>
    <w:p>
      <w:pPr>
        <w:ind w:left="867" w:right="20" w:hanging="428"/>
        <w:spacing w:after="0" w:line="290" w:lineRule="auto"/>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any limitations arising from examinership, administration, bankruptcy, insolvency, moratoria, receivership, liquidation, reorganisation, court scheme of arrangement, arrangement and similar laws affecting the rights of creditors;</w:t>
      </w:r>
    </w:p>
    <w:p>
      <w:pPr>
        <w:spacing w:after="0" w:line="105" w:lineRule="exact"/>
        <w:rPr>
          <w:rFonts w:ascii="Times New Roman" w:cs="Times New Roman" w:eastAsia="Times New Roman" w:hAnsi="Times New Roman"/>
          <w:sz w:val="12"/>
          <w:szCs w:val="12"/>
          <w:color w:val="auto"/>
        </w:rPr>
      </w:pPr>
    </w:p>
    <w:p>
      <w:pPr>
        <w:ind w:left="867" w:hanging="428"/>
        <w:spacing w:after="0"/>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limited by the provisions of the law of Ireland applicable to contracts held to have been frustrated by events happening after their execution;</w:t>
      </w:r>
    </w:p>
    <w:p>
      <w:pPr>
        <w:spacing w:after="0" w:line="154" w:lineRule="exact"/>
        <w:rPr>
          <w:rFonts w:ascii="Times New Roman" w:cs="Times New Roman" w:eastAsia="Times New Roman" w:hAnsi="Times New Roman"/>
          <w:sz w:val="12"/>
          <w:szCs w:val="12"/>
          <w:color w:val="auto"/>
        </w:rPr>
      </w:pPr>
    </w:p>
    <w:p>
      <w:pPr>
        <w:ind w:left="867" w:hanging="428"/>
        <w:spacing w:after="0" w:line="290" w:lineRule="auto"/>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invalidated if and to the extent that performance or observance arising in a jurisdiction outside Ireland would be unlawful, unenforceable, or contrary to public policy or to the exchange control regulations under the law of such jurisdiction;</w:t>
      </w:r>
    </w:p>
    <w:p>
      <w:pPr>
        <w:spacing w:after="0" w:line="105" w:lineRule="exact"/>
        <w:rPr>
          <w:rFonts w:ascii="Times New Roman" w:cs="Times New Roman" w:eastAsia="Times New Roman" w:hAnsi="Times New Roman"/>
          <w:sz w:val="12"/>
          <w:szCs w:val="12"/>
          <w:color w:val="auto"/>
        </w:rPr>
      </w:pPr>
    </w:p>
    <w:p>
      <w:pPr>
        <w:ind w:left="867" w:hanging="428"/>
        <w:spacing w:after="0"/>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invalidated by reason of fraud; and</w:t>
      </w:r>
    </w:p>
    <w:p>
      <w:pPr>
        <w:spacing w:after="0" w:line="154" w:lineRule="exact"/>
        <w:rPr>
          <w:rFonts w:ascii="Times New Roman" w:cs="Times New Roman" w:eastAsia="Times New Roman" w:hAnsi="Times New Roman"/>
          <w:sz w:val="12"/>
          <w:szCs w:val="12"/>
          <w:color w:val="auto"/>
        </w:rPr>
      </w:pPr>
    </w:p>
    <w:p>
      <w:pPr>
        <w:ind w:left="867" w:hanging="428"/>
        <w:spacing w:after="0"/>
        <w:tabs>
          <w:tab w:leader="none" w:pos="867"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barred under the Statutes of Limitations of 1957 of Ireland (as amended from time to time) or may be or become subject to the defence of set-off or counterclaim.</w:t>
      </w:r>
    </w:p>
    <w:p>
      <w:pPr>
        <w:spacing w:after="0" w:line="154"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Companies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one hundred days or such period as the court in question may determine). Prohibited steps include steps taken to enforce any security over the company’s property, the commencement or continuation of proceedings or execution or other legal process or the levying of distress against the company or its property and the appointment of a receiver.</w:t>
      </w:r>
    </w:p>
    <w:p>
      <w:pPr>
        <w:spacing w:after="0" w:line="2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5" w:right="299" w:bottom="1440" w:gutter="0" w:footer="0" w:header="0"/>
        </w:sectPr>
      </w:pPr>
    </w:p>
    <w:bookmarkStart w:id="147" w:name="page148"/>
    <w:bookmarkEnd w:id="147"/>
    <w:p>
      <w:pPr>
        <w:jc w:val="both"/>
        <w:ind w:left="427" w:hanging="427"/>
        <w:spacing w:after="0" w:line="272" w:lineRule="auto"/>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6322695</wp:posOffset>
            </wp:positionH>
            <wp:positionV relativeFrom="page">
              <wp:posOffset>426085</wp:posOffset>
            </wp:positionV>
            <wp:extent cx="104013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040130" cy="180340"/>
                    </a:xfrm>
                    <a:prstGeom prst="rect">
                      <a:avLst/>
                    </a:prstGeom>
                    <a:noFill/>
                  </pic:spPr>
                </pic:pic>
              </a:graphicData>
            </a:graphic>
          </wp:anchor>
        </w:drawing>
        <w:t>Under the provisions of the Companies Act, an examiner can be appointed on a petition to the Circuit Court, if certain criteria are met. It is not possible for anyone other than a party to the relevant proceedings or the solicitors on record for such parties to inspect the Circuit Court files to ascertain whether a petition for the appointment of an examiner has been made in the Circuit Court, and we have made no searches or enquiries in this regard in respect of Weatherford Ireland.</w:t>
      </w:r>
    </w:p>
    <w:p>
      <w:pPr>
        <w:spacing w:after="0" w:line="116" w:lineRule="exact"/>
        <w:rPr>
          <w:rFonts w:ascii="Times New Roman" w:cs="Times New Roman" w:eastAsia="Times New Roman" w:hAnsi="Times New Roman"/>
          <w:sz w:val="12"/>
          <w:szCs w:val="12"/>
          <w:color w:val="auto"/>
        </w:rPr>
      </w:pPr>
    </w:p>
    <w:p>
      <w:pPr>
        <w:jc w:val="both"/>
        <w:ind w:left="427" w:hanging="427"/>
        <w:spacing w:after="0" w:line="272" w:lineRule="auto"/>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contractual provision conferring or imposing a remedy or an obligation consequent upon default may not be enforceable if it were construed by an Irish court as being a penalty, particularly if it involved enforcing an additional pecuniary remedy (such as a default or overdue interest) referable to such default and which does not constitute a genuine and reasonable pre-estimate of the damage likely to be suffered as a result of the default in payment of the amount in question or the termination in question; further, recovery may be limited by laws requiring mitigation of loss suffered.</w:t>
      </w:r>
    </w:p>
    <w:p>
      <w:pPr>
        <w:spacing w:after="0" w:line="116" w:lineRule="exact"/>
        <w:rPr>
          <w:rFonts w:ascii="Times New Roman" w:cs="Times New Roman" w:eastAsia="Times New Roman" w:hAnsi="Times New Roman"/>
          <w:sz w:val="12"/>
          <w:szCs w:val="12"/>
          <w:color w:val="auto"/>
        </w:rPr>
      </w:pPr>
    </w:p>
    <w:p>
      <w:pPr>
        <w:ind w:left="427" w:right="20" w:hanging="427"/>
        <w:spacing w:after="0" w:line="290" w:lineRule="auto"/>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Irish court may not give effect to an indemnity given by any party to the extent it is in respect of legal costs incurred by an unsuccessful litigator or to the extent that it is in respect of litigation costs which are not awarded by the court.</w:t>
      </w:r>
    </w:p>
    <w:p>
      <w:pPr>
        <w:spacing w:after="0" w:line="105" w:lineRule="exact"/>
        <w:rPr>
          <w:rFonts w:ascii="Times New Roman" w:cs="Times New Roman" w:eastAsia="Times New Roman" w:hAnsi="Times New Roman"/>
          <w:sz w:val="12"/>
          <w:szCs w:val="12"/>
          <w:color w:val="auto"/>
        </w:rPr>
      </w:pPr>
    </w:p>
    <w:p>
      <w:pPr>
        <w:jc w:val="both"/>
        <w:ind w:left="427" w:hanging="427"/>
        <w:spacing w:after="0" w:line="269" w:lineRule="auto"/>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proceedings being brought in an Irish court in respect of a monetary obligation expressed to be payable in a currency other than euro, an Irish court would have the power to give a judgment to pay a currency other than euro but may decline to do so in its discretion and an Irish court might not enforce the benefit of currency conversion or indemnity clauses and, with respect to a bankruptcy, liquidation, insolvency, reorganisation or similar proceeding, the law of Ireland may require that all claims or debts be converted into euro at an exchange rate determined by the court as at a date related thereto, such as the date of commencement of a winding up.</w:t>
      </w:r>
    </w:p>
    <w:p>
      <w:pPr>
        <w:spacing w:after="0" w:line="268"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Opinion does not deal with the tax treatment of the issuance and transfer of any Securities or the giving or transfer of any Guarantees or any payments in respect of any Securities or any Guarantees.</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party is vested with a discretion or may determine a matter in his or its opinion, the law of Ireland may require that such discretion is exercised reasonably or that such opinion is based upon reasonable grounds.</w:t>
      </w:r>
    </w:p>
    <w:p>
      <w:pPr>
        <w:spacing w:after="0" w:line="154" w:lineRule="exact"/>
        <w:rPr>
          <w:rFonts w:ascii="Times New Roman" w:cs="Times New Roman" w:eastAsia="Times New Roman" w:hAnsi="Times New Roman"/>
          <w:sz w:val="12"/>
          <w:szCs w:val="12"/>
          <w:color w:val="auto"/>
        </w:rPr>
      </w:pPr>
    </w:p>
    <w:p>
      <w:pPr>
        <w:ind w:left="427" w:hanging="427"/>
        <w:spacing w:after="0" w:line="290" w:lineRule="auto"/>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courts of Ireland may interpret restrictively any provision purporting to allow the beneficiary of a guarantee or other suretyship to make a material amendment to the obligations to which the guarantee or suretyship relates without further reference to the guarantor or surety.</w:t>
      </w:r>
    </w:p>
    <w:p>
      <w:pPr>
        <w:spacing w:after="0" w:line="105"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Irish court may not give effect to any provision of a contract which (a) provides for a matter to be determined by future agreement or negotiation; or (b) it considers to be devoid of any meaning, vague or uncertain.</w:t>
      </w:r>
    </w:p>
    <w:p>
      <w:pPr>
        <w:spacing w:after="0" w:line="154" w:lineRule="exact"/>
        <w:rPr>
          <w:rFonts w:ascii="Times New Roman" w:cs="Times New Roman" w:eastAsia="Times New Roman" w:hAnsi="Times New Roman"/>
          <w:sz w:val="12"/>
          <w:szCs w:val="12"/>
          <w:color w:val="auto"/>
        </w:rPr>
      </w:pPr>
    </w:p>
    <w:p>
      <w:pPr>
        <w:ind w:left="427" w:hanging="427"/>
        <w:spacing w:after="0"/>
        <w:tabs>
          <w:tab w:leader="none" w:pos="42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right of set-off provided for in a contract or another document may not be enforceable in all circumstances.</w:t>
      </w:r>
    </w:p>
    <w:p>
      <w:pPr>
        <w:spacing w:after="0" w:line="3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1087" w:right="2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2"/>
          <w:szCs w:val="12"/>
          <w:b w:val="1"/>
          <w:bCs w:val="1"/>
          <w:color w:val="auto"/>
        </w:rPr>
        <w:t>Exhibit 5.3</w:t>
      </w:r>
    </w:p>
    <w:p>
      <w:pPr>
        <w:spacing w:after="0" w:line="301"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b w:val="1"/>
          <w:bCs w:val="1"/>
          <w:color w:val="auto"/>
        </w:rPr>
        <w:t>CONYERS DILL &amp; PEARMAN LIMITED</w:t>
      </w:r>
    </w:p>
    <w:p>
      <w:pPr>
        <w:spacing w:after="0" w:line="157"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color w:val="auto"/>
        </w:rPr>
        <w:t>Clarendon House, 2 Church Street</w:t>
      </w:r>
    </w:p>
    <w:p>
      <w:pPr>
        <w:spacing w:after="0" w:line="21"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color w:val="auto"/>
        </w:rPr>
        <w:t>Hamilton HM 11,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656080" cy="255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1656080" cy="255905"/>
                    </a:xfrm>
                    <a:prstGeom prst="rect">
                      <a:avLst/>
                    </a:prstGeom>
                    <a:noFill/>
                  </pic:spPr>
                </pic:pic>
              </a:graphicData>
            </a:graphic>
          </wp:anchor>
        </w:drawing>
      </w:r>
    </w:p>
    <w:p>
      <w:pPr>
        <w:spacing w:after="0" w:line="123"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color w:val="auto"/>
        </w:rPr>
        <w:t>Mail: PO Box HM 666, Hamilton HM CX, Bermuda</w:t>
      </w:r>
    </w:p>
    <w:p>
      <w:pPr>
        <w:spacing w:after="0" w:line="21"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color w:val="auto"/>
        </w:rPr>
        <w:t>T +1 441 295 1422</w:t>
      </w:r>
    </w:p>
    <w:p>
      <w:pPr>
        <w:spacing w:after="0" w:line="141" w:lineRule="exact"/>
        <w:rPr>
          <w:sz w:val="20"/>
          <w:szCs w:val="20"/>
          <w:color w:val="auto"/>
        </w:rPr>
      </w:pPr>
    </w:p>
    <w:p>
      <w:pPr>
        <w:ind w:left="6787"/>
        <w:spacing w:after="0"/>
        <w:rPr>
          <w:sz w:val="20"/>
          <w:szCs w:val="20"/>
          <w:color w:val="auto"/>
        </w:rPr>
      </w:pPr>
      <w:r>
        <w:rPr>
          <w:rFonts w:ascii="Times New Roman" w:cs="Times New Roman" w:eastAsia="Times New Roman" w:hAnsi="Times New Roman"/>
          <w:sz w:val="12"/>
          <w:szCs w:val="12"/>
          <w:b w:val="1"/>
          <w:bCs w:val="1"/>
          <w:color w:val="auto"/>
        </w:rPr>
        <w:t>conyers.com</w:t>
      </w:r>
    </w:p>
    <w:p>
      <w:pPr>
        <w:spacing w:after="0" w:line="1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15 June 2022</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Weatherford International Ltd.</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Clarendon House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2 Church Street</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Hamilton HM 11</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Bermuda</w:t>
      </w:r>
    </w:p>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Dear Sirs</w:t>
      </w:r>
    </w:p>
    <w:p>
      <w:pPr>
        <w:spacing w:after="0" w:line="1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Re: Weatherford International Ltd. (the “Company”)</w:t>
      </w:r>
    </w:p>
    <w:p>
      <w:pPr>
        <w:spacing w:after="0" w:line="155"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2"/>
          <w:szCs w:val="12"/>
          <w:color w:val="auto"/>
        </w:rPr>
        <w:t>We have acted as special Bermuda legal counsel to the Company in connection with a registration statement on form S-3 (Registration No. 333-) filed with the U.S. Securities and Exchange Commission (the "</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on 15 June 2022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which term does not include any other document or agreement whether or not specifically referred to therein or attached as an exhibit or schedule thereto) relating to the shelf registration under the U.S.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of debt securities, ("</w:t>
      </w:r>
      <w:r>
        <w:rPr>
          <w:rFonts w:ascii="Times New Roman" w:cs="Times New Roman" w:eastAsia="Times New Roman" w:hAnsi="Times New Roman"/>
          <w:sz w:val="12"/>
          <w:szCs w:val="12"/>
          <w:b w:val="1"/>
          <w:bCs w:val="1"/>
          <w:color w:val="auto"/>
        </w:rPr>
        <w:t>Debt Securities</w:t>
      </w:r>
      <w:r>
        <w:rPr>
          <w:rFonts w:ascii="Times New Roman" w:cs="Times New Roman" w:eastAsia="Times New Roman" w:hAnsi="Times New Roman"/>
          <w:sz w:val="12"/>
          <w:szCs w:val="12"/>
          <w:color w:val="auto"/>
        </w:rPr>
        <w:t>"), and guarantees of debt securities (“</w:t>
      </w:r>
      <w:r>
        <w:rPr>
          <w:rFonts w:ascii="Times New Roman" w:cs="Times New Roman" w:eastAsia="Times New Roman" w:hAnsi="Times New Roman"/>
          <w:sz w:val="12"/>
          <w:szCs w:val="12"/>
          <w:b w:val="1"/>
          <w:bCs w:val="1"/>
          <w:color w:val="auto"/>
        </w:rPr>
        <w:t>Guaranties</w:t>
      </w:r>
      <w:r>
        <w:rPr>
          <w:rFonts w:ascii="Times New Roman" w:cs="Times New Roman" w:eastAsia="Times New Roman" w:hAnsi="Times New Roman"/>
          <w:sz w:val="12"/>
          <w:szCs w:val="12"/>
          <w:color w:val="auto"/>
        </w:rPr>
        <w:t>”) to be issued pursuant to an Indenture (as defined below) (collectively, the "</w:t>
      </w: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left="447" w:hanging="447"/>
        <w:spacing w:after="0"/>
        <w:tabs>
          <w:tab w:leader="none" w:pos="447" w:val="left"/>
        </w:tabs>
        <w:numPr>
          <w:ilvl w:val="0"/>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DOCUMENTS REVIEWED</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For the purposes of giving this opinion, we have examined a copy of the Registration Statement. We have also reviewed:</w:t>
      </w:r>
    </w:p>
    <w:p>
      <w:pPr>
        <w:spacing w:after="0" w:line="153"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2"/>
          <w:szCs w:val="12"/>
          <w:color w:val="auto"/>
        </w:rPr>
        <w:t>copies of the memorandum of association and the bye-laws of the Company (together, the “</w:t>
      </w:r>
      <w:r>
        <w:rPr>
          <w:rFonts w:ascii="Times New Roman" w:cs="Times New Roman" w:eastAsia="Times New Roman" w:hAnsi="Times New Roman"/>
          <w:sz w:val="12"/>
          <w:szCs w:val="12"/>
          <w:b w:val="1"/>
          <w:bCs w:val="1"/>
          <w:color w:val="auto"/>
        </w:rPr>
        <w:t>Constitutional Documents</w:t>
      </w:r>
      <w:r>
        <w:rPr>
          <w:rFonts w:ascii="Times New Roman" w:cs="Times New Roman" w:eastAsia="Times New Roman" w:hAnsi="Times New Roman"/>
          <w:sz w:val="12"/>
          <w:szCs w:val="12"/>
          <w:color w:val="auto"/>
        </w:rPr>
        <w:t>”), each certified by the Assistant Secretary of the Company on 15 June 2022;</w:t>
      </w:r>
    </w:p>
    <w:p>
      <w:pPr>
        <w:spacing w:after="0" w:line="155"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copies of unanimous written resolutions of its directors dated 14 June 2022 (the "</w:t>
      </w:r>
      <w:r>
        <w:rPr>
          <w:rFonts w:ascii="Times New Roman" w:cs="Times New Roman" w:eastAsia="Times New Roman" w:hAnsi="Times New Roman"/>
          <w:sz w:val="12"/>
          <w:szCs w:val="12"/>
          <w:b w:val="1"/>
          <w:bCs w:val="1"/>
          <w:color w:val="auto"/>
        </w:rPr>
        <w:t>Resolutions</w:t>
      </w:r>
      <w:r>
        <w:rPr>
          <w:rFonts w:ascii="Times New Roman" w:cs="Times New Roman" w:eastAsia="Times New Roman" w:hAnsi="Times New Roman"/>
          <w:sz w:val="12"/>
          <w:szCs w:val="12"/>
          <w:color w:val="auto"/>
        </w:rPr>
        <w:t>") certified by the Assistant Secretary of the Company on 15 June 2022 ;</w:t>
      </w:r>
    </w:p>
    <w:p>
      <w:pPr>
        <w:spacing w:after="0" w:line="157" w:lineRule="exact"/>
        <w:rPr>
          <w:sz w:val="20"/>
          <w:szCs w:val="20"/>
          <w:color w:val="auto"/>
        </w:rPr>
      </w:pPr>
    </w:p>
    <w:p>
      <w:pPr>
        <w:ind w:left="447" w:right="20"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a copy of the form of base indenture filed as Exhibit 4.8 to the Registration Statement and made between Weatherford International plc, the Company, Weatherford International, LLC and Deutsche Bank Trust Company Americas as trustee (the “</w:t>
      </w:r>
      <w:r>
        <w:rPr>
          <w:rFonts w:ascii="Times New Roman" w:cs="Times New Roman" w:eastAsia="Times New Roman" w:hAnsi="Times New Roman"/>
          <w:sz w:val="12"/>
          <w:szCs w:val="12"/>
          <w:b w:val="1"/>
          <w:bCs w:val="1"/>
          <w:color w:val="auto"/>
        </w:rPr>
        <w:t>Indenture</w:t>
      </w:r>
      <w:r>
        <w:rPr>
          <w:rFonts w:ascii="Times New Roman" w:cs="Times New Roman" w:eastAsia="Times New Roman" w:hAnsi="Times New Roman"/>
          <w:sz w:val="12"/>
          <w:szCs w:val="12"/>
          <w:color w:val="auto"/>
        </w:rPr>
        <w:t>”); and</w:t>
      </w:r>
    </w:p>
    <w:p>
      <w:pPr>
        <w:spacing w:after="0" w:line="106"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2"/>
          <w:szCs w:val="12"/>
          <w:color w:val="auto"/>
        </w:rPr>
        <w:t>such other documents and made such enquiries as to questions of law as we have deemed necessary in order to render the opinion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7677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289" w:right="299" w:bottom="1440" w:gutter="0" w:footer="0" w:header="0"/>
        </w:sectPr>
      </w:pPr>
    </w:p>
    <w:bookmarkStart w:id="149" w:name="page150"/>
    <w:bookmarkEnd w:id="149"/>
    <w:p>
      <w:pPr>
        <w:ind w:left="447" w:hanging="447"/>
        <w:spacing w:after="0"/>
        <w:tabs>
          <w:tab w:leader="none" w:pos="447"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ASSUMPTIONS</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We have assumed:</w:t>
      </w:r>
    </w:p>
    <w:p>
      <w:pPr>
        <w:spacing w:after="0" w:line="155" w:lineRule="exact"/>
        <w:rPr>
          <w:sz w:val="20"/>
          <w:szCs w:val="20"/>
          <w:color w:val="auto"/>
        </w:rPr>
      </w:pPr>
    </w:p>
    <w:p>
      <w:pPr>
        <w:jc w:val="both"/>
        <w:ind w:left="447"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the genuineness and authenticity of all signatures and the conformity to the originals of all copies (whether or not certified) examined by us and the authenticity and completeness of the originals from which such copies were taken;</w:t>
      </w:r>
    </w:p>
    <w:p>
      <w:pPr>
        <w:spacing w:after="0" w:line="106" w:lineRule="exact"/>
        <w:rPr>
          <w:sz w:val="20"/>
          <w:szCs w:val="20"/>
          <w:color w:val="auto"/>
        </w:rPr>
      </w:pPr>
    </w:p>
    <w:p>
      <w:pPr>
        <w:jc w:val="both"/>
        <w:ind w:left="447"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06"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2"/>
          <w:szCs w:val="12"/>
          <w:color w:val="auto"/>
        </w:rPr>
        <w:t>the accuracy and completeness of all factual representations made in the Registration Statement and other documents reviewed by us;</w:t>
      </w:r>
    </w:p>
    <w:p>
      <w:pPr>
        <w:spacing w:after="0" w:line="155" w:lineRule="exact"/>
        <w:rPr>
          <w:sz w:val="20"/>
          <w:szCs w:val="20"/>
          <w:color w:val="auto"/>
        </w:rPr>
      </w:pPr>
    </w:p>
    <w:p>
      <w:pPr>
        <w:jc w:val="both"/>
        <w:ind w:left="447" w:hanging="438"/>
        <w:spacing w:after="0" w:line="265" w:lineRule="auto"/>
        <w:tabs>
          <w:tab w:leader="none" w:pos="426"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2"/>
          <w:szCs w:val="12"/>
          <w:color w:val="auto"/>
        </w:rPr>
        <w:t>that the Resolutions were passed at one or more duly convened, constituted and quorate meetings, or by unanimous written resolutions, remain in full force and effect and have not been, and will not be, rescinded or amended;</w:t>
      </w:r>
    </w:p>
    <w:p>
      <w:pPr>
        <w:spacing w:after="0" w:line="281"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2"/>
          <w:szCs w:val="12"/>
          <w:color w:val="auto"/>
        </w:rPr>
        <w:t>that the Company will issue the Securities in furtherance of its objects as set out in its memorandum of association;</w:t>
      </w:r>
    </w:p>
    <w:p>
      <w:pPr>
        <w:spacing w:after="0" w:line="155"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2"/>
          <w:szCs w:val="12"/>
          <w:color w:val="auto"/>
        </w:rPr>
        <w:t>that the Constitutional Documents will not be amended in any manner that would affect the opinions expressed herein;</w:t>
      </w:r>
    </w:p>
    <w:p>
      <w:pPr>
        <w:spacing w:after="0" w:line="155"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color w:val="auto"/>
        </w:rPr>
        <w:t>that there is no provision of the law of any jurisdiction, other than Bermuda, which would have any implication in relation to the opinions expressed herein;</w:t>
      </w:r>
    </w:p>
    <w:p>
      <w:pPr>
        <w:spacing w:after="0" w:line="155" w:lineRule="exact"/>
        <w:rPr>
          <w:sz w:val="20"/>
          <w:szCs w:val="20"/>
          <w:color w:val="auto"/>
        </w:rPr>
      </w:pPr>
    </w:p>
    <w:p>
      <w:pPr>
        <w:jc w:val="both"/>
        <w:ind w:left="447" w:hanging="438"/>
        <w:spacing w:after="0" w:line="272" w:lineRule="auto"/>
        <w:tabs>
          <w:tab w:leader="none" w:pos="426" w:val="left"/>
        </w:tabs>
        <w:rPr>
          <w:sz w:val="20"/>
          <w:szCs w:val="20"/>
          <w:color w:val="auto"/>
        </w:rPr>
      </w:pPr>
      <w:r>
        <w:rPr>
          <w:rFonts w:ascii="Times New Roman" w:cs="Times New Roman" w:eastAsia="Times New Roman" w:hAnsi="Times New Roman"/>
          <w:sz w:val="12"/>
          <w:szCs w:val="12"/>
          <w:color w:val="auto"/>
        </w:rPr>
        <w:t>2.8.</w:t>
      </w:r>
      <w:r>
        <w:rPr>
          <w:sz w:val="20"/>
          <w:szCs w:val="20"/>
          <w:color w:val="auto"/>
        </w:rPr>
        <w:tab/>
      </w:r>
      <w:r>
        <w:rPr>
          <w:rFonts w:ascii="Times New Roman" w:cs="Times New Roman" w:eastAsia="Times New Roman" w:hAnsi="Times New Roman"/>
          <w:sz w:val="12"/>
          <w:szCs w:val="12"/>
          <w:color w:val="auto"/>
        </w:rPr>
        <w:t>that the form and terms of any and all Securities or other securities (or other obligations, rights, currencies, commodities or other subject matter) comprising the same or subject thereto,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Constitutional Documents nor any applicable law, regulation, order or decree in Bermuda;</w:t>
      </w:r>
    </w:p>
    <w:p>
      <w:pPr>
        <w:spacing w:after="0" w:line="117" w:lineRule="exact"/>
        <w:rPr>
          <w:sz w:val="20"/>
          <w:szCs w:val="20"/>
          <w:color w:val="auto"/>
        </w:rPr>
      </w:pPr>
    </w:p>
    <w:p>
      <w:pPr>
        <w:jc w:val="both"/>
        <w:ind w:left="447" w:hanging="438"/>
        <w:spacing w:after="0" w:line="272" w:lineRule="auto"/>
        <w:tabs>
          <w:tab w:leader="none" w:pos="426"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2"/>
          <w:szCs w:val="12"/>
          <w:color w:val="auto"/>
        </w:rPr>
        <w:t>that all necessary corporate action will be taken to authorise and approve any issuance of Securities, the terms of the offering thereof and related matters, and that the applicable definitive purchase, underwriting or similar agreement and, if Debt Securities are to be issued or if the Company is to provide a guarantee thereof, the applicable indenture and any applicable supplements thereto, will be duly approved, executed and delivered by or on behalf of the Company and all other parties thereto;</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7677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5" w:right="299" w:bottom="1440" w:gutter="0" w:footer="0" w:header="0"/>
        </w:sectPr>
      </w:pPr>
    </w:p>
    <w:bookmarkStart w:id="150" w:name="page151"/>
    <w:bookmarkEnd w:id="150"/>
    <w:p>
      <w:pPr>
        <w:ind w:left="447" w:right="20"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2.10.</w:t>
      </w:r>
      <w:r>
        <w:rPr>
          <w:sz w:val="20"/>
          <w:szCs w:val="20"/>
          <w:color w:val="auto"/>
        </w:rPr>
        <w:tab/>
      </w:r>
      <w:r>
        <w:rPr>
          <w:rFonts w:ascii="Times New Roman" w:cs="Times New Roman" w:eastAsia="Times New Roman" w:hAnsi="Times New Roman"/>
          <w:sz w:val="12"/>
          <w:szCs w:val="12"/>
          <w:color w:val="auto"/>
        </w:rPr>
        <w:t>that the applicable purchase, underwriting or similar agreement, any Debt Security, any indenture and any supplement thereto and any other agreement or other document relating to any Security will be valid and binding in accordance with its terms pursuant to its governing law;</w:t>
      </w:r>
    </w:p>
    <w:p>
      <w:pPr>
        <w:spacing w:after="0" w:line="106" w:lineRule="exact"/>
        <w:rPr>
          <w:sz w:val="20"/>
          <w:szCs w:val="20"/>
          <w:color w:val="auto"/>
        </w:rPr>
      </w:pPr>
    </w:p>
    <w:p>
      <w:pPr>
        <w:ind w:left="447" w:right="20"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2.11.</w:t>
      </w:r>
      <w:r>
        <w:rPr>
          <w:sz w:val="20"/>
          <w:szCs w:val="20"/>
          <w:color w:val="auto"/>
        </w:rPr>
        <w:tab/>
      </w:r>
      <w:r>
        <w:rPr>
          <w:rFonts w:ascii="Times New Roman" w:cs="Times New Roman" w:eastAsia="Times New Roman" w:hAnsi="Times New Roman"/>
          <w:sz w:val="12"/>
          <w:szCs w:val="12"/>
          <w:color w:val="auto"/>
        </w:rPr>
        <w:t>that any Guarantees shall be in the same form as set out in the Indenture, that each party to the Indenture (other than the Company) has the requisite capacity, power and authority to enter into and perform its respective obligations under the Indenture and each party to the Indenture will duly execute and deliver the Indenture, and that the Indenture will be valid and binding under New York Law; and</w:t>
      </w:r>
    </w:p>
    <w:p>
      <w:pPr>
        <w:spacing w:after="0" w:line="106" w:lineRule="exact"/>
        <w:rPr>
          <w:sz w:val="20"/>
          <w:szCs w:val="20"/>
          <w:color w:val="auto"/>
        </w:rPr>
      </w:pPr>
    </w:p>
    <w:p>
      <w:pPr>
        <w:ind w:left="447" w:right="20"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2.12.</w:t>
      </w:r>
      <w:r>
        <w:rPr>
          <w:sz w:val="20"/>
          <w:szCs w:val="20"/>
          <w:color w:val="auto"/>
        </w:rPr>
        <w:tab/>
      </w:r>
      <w:r>
        <w:rPr>
          <w:rFonts w:ascii="Times New Roman" w:cs="Times New Roman" w:eastAsia="Times New Roman" w:hAnsi="Times New Roman"/>
          <w:sz w:val="12"/>
          <w:szCs w:val="12"/>
          <w:color w:val="auto"/>
        </w:rPr>
        <w:t>that the issuance and sale of and payment for the Securities will be in accordance with the applicable purchase, underwriting or similar agreement duly approved by the Board of Directors, the Registration Statement (including the prospectus set forth therein and any applicable supplement thereto) and, if Debt Securities are to be issued, the applicable indenture and any applicable supplements thereto.</w:t>
      </w:r>
    </w:p>
    <w:p>
      <w:pPr>
        <w:spacing w:after="0" w:line="104" w:lineRule="exact"/>
        <w:rPr>
          <w:sz w:val="20"/>
          <w:szCs w:val="20"/>
          <w:color w:val="auto"/>
        </w:rPr>
      </w:pPr>
    </w:p>
    <w:p>
      <w:pPr>
        <w:ind w:left="447" w:hanging="447"/>
        <w:spacing w:after="0"/>
        <w:tabs>
          <w:tab w:leader="none" w:pos="447" w:val="left"/>
        </w:tabs>
        <w:numPr>
          <w:ilvl w:val="0"/>
          <w:numId w:val="1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QUALIFICATIONS</w:t>
      </w:r>
    </w:p>
    <w:p>
      <w:pPr>
        <w:spacing w:after="0" w:line="157"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color w:val="auto"/>
        </w:rPr>
        <w:t>The obligations of the Company in connection with any Security and any indenture or other agreement or document relating thereto:</w:t>
      </w:r>
    </w:p>
    <w:p>
      <w:pPr>
        <w:spacing w:after="0" w:line="155" w:lineRule="exact"/>
        <w:rPr>
          <w:sz w:val="20"/>
          <w:szCs w:val="20"/>
          <w:color w:val="auto"/>
        </w:rPr>
      </w:pPr>
    </w:p>
    <w:p>
      <w:pPr>
        <w:jc w:val="both"/>
        <w:ind w:left="887" w:hanging="448"/>
        <w:spacing w:after="0" w:line="272" w:lineRule="auto"/>
        <w:tabs>
          <w:tab w:leader="none" w:pos="88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be subject to the laws from time to time in effect relating to bankruptcy, insolvency, liquidation, possessory liens, rights of set off, reorganisation, amalgamation, merger,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16" w:lineRule="exact"/>
        <w:rPr>
          <w:rFonts w:ascii="Times New Roman" w:cs="Times New Roman" w:eastAsia="Times New Roman" w:hAnsi="Times New Roman"/>
          <w:sz w:val="12"/>
          <w:szCs w:val="12"/>
          <w:color w:val="auto"/>
        </w:rPr>
      </w:pPr>
    </w:p>
    <w:p>
      <w:pPr>
        <w:ind w:left="887" w:hanging="448"/>
        <w:spacing w:after="0"/>
        <w:tabs>
          <w:tab w:leader="none" w:pos="88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be subject to statutory limitation of the time within which proceedings may be brought;</w:t>
      </w:r>
    </w:p>
    <w:p>
      <w:pPr>
        <w:spacing w:after="0" w:line="154" w:lineRule="exact"/>
        <w:rPr>
          <w:rFonts w:ascii="Times New Roman" w:cs="Times New Roman" w:eastAsia="Times New Roman" w:hAnsi="Times New Roman"/>
          <w:sz w:val="12"/>
          <w:szCs w:val="12"/>
          <w:color w:val="auto"/>
        </w:rPr>
      </w:pPr>
    </w:p>
    <w:p>
      <w:pPr>
        <w:ind w:left="887" w:hanging="448"/>
        <w:spacing w:after="0"/>
        <w:tabs>
          <w:tab w:leader="none" w:pos="88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be subject to general principles of equity and, as such, specific performance and injunctive relief, being equitable remedies, may not be available;</w:t>
      </w:r>
    </w:p>
    <w:p>
      <w:pPr>
        <w:spacing w:after="0" w:line="154" w:lineRule="exact"/>
        <w:rPr>
          <w:rFonts w:ascii="Times New Roman" w:cs="Times New Roman" w:eastAsia="Times New Roman" w:hAnsi="Times New Roman"/>
          <w:sz w:val="12"/>
          <w:szCs w:val="12"/>
          <w:color w:val="auto"/>
        </w:rPr>
      </w:pPr>
    </w:p>
    <w:p>
      <w:pPr>
        <w:ind w:left="887" w:hanging="448"/>
        <w:spacing w:after="0"/>
        <w:tabs>
          <w:tab w:leader="none" w:pos="88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not be given effect to by a Bermuda court if and to the extent they constitute the payment of an amount which is in the nature of a penalty; and</w:t>
      </w:r>
    </w:p>
    <w:p>
      <w:pPr>
        <w:spacing w:after="0" w:line="154" w:lineRule="exact"/>
        <w:rPr>
          <w:rFonts w:ascii="Times New Roman" w:cs="Times New Roman" w:eastAsia="Times New Roman" w:hAnsi="Times New Roman"/>
          <w:sz w:val="12"/>
          <w:szCs w:val="12"/>
          <w:color w:val="auto"/>
        </w:rPr>
      </w:pPr>
    </w:p>
    <w:p>
      <w:pPr>
        <w:ind w:left="887" w:hanging="448"/>
        <w:spacing w:after="0" w:line="290" w:lineRule="auto"/>
        <w:tabs>
          <w:tab w:leader="none" w:pos="88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06" w:lineRule="exact"/>
        <w:rPr>
          <w:sz w:val="20"/>
          <w:szCs w:val="20"/>
          <w:color w:val="auto"/>
        </w:rPr>
      </w:pPr>
    </w:p>
    <w:p>
      <w:pPr>
        <w:jc w:val="both"/>
        <w:ind w:left="447" w:hanging="438"/>
        <w:spacing w:after="0" w:line="272" w:lineRule="auto"/>
        <w:tabs>
          <w:tab w:leader="none" w:pos="426"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2"/>
          <w:szCs w:val="12"/>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Securities by the Company as described in the Registration Statement and is not to be relied upon in respect of any other matter.</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7677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51" w:name="page152"/>
    <w:bookmarkEnd w:id="151"/>
    <w:p>
      <w:pPr>
        <w:ind w:left="447" w:hanging="447"/>
        <w:spacing w:after="0"/>
        <w:tabs>
          <w:tab w:leader="none" w:pos="447" w:val="left"/>
        </w:tabs>
        <w:numPr>
          <w:ilvl w:val="0"/>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OPINIONS</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On the basis of and subject to the foregoing we are of the opinion that:</w:t>
      </w:r>
    </w:p>
    <w:p>
      <w:pPr>
        <w:spacing w:after="0" w:line="155"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The Company is duly incorporated and existing under the laws of Bermuda in good standing (meaning solely that it has not failed to make any filing with any Bermuda governmental authority under the Companies Act</w:t>
      </w:r>
    </w:p>
    <w:p>
      <w:pPr>
        <w:spacing w:after="0" w:line="21"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12"/>
          <w:szCs w:val="12"/>
          <w:color w:val="auto"/>
        </w:rPr>
        <w:t>1981, or to pay any Bermuda government fee or tax, which would make it liable to be struck off the Register of Companies and thereby cease to exist under the laws of Bermuda).</w:t>
      </w:r>
    </w:p>
    <w:p>
      <w:pPr>
        <w:spacing w:after="0" w:line="143" w:lineRule="exact"/>
        <w:rPr>
          <w:sz w:val="20"/>
          <w:szCs w:val="20"/>
          <w:color w:val="auto"/>
        </w:rPr>
      </w:pPr>
    </w:p>
    <w:p>
      <w:pPr>
        <w:ind w:left="7"/>
        <w:spacing w:after="0"/>
        <w:tabs>
          <w:tab w:leader="none" w:pos="426"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2"/>
          <w:szCs w:val="12"/>
          <w:color w:val="auto"/>
        </w:rPr>
        <w:t>Upon the due issuance of the Debt Securities and payment of the consideration therefor, such Debt Securities will be validly issued.</w:t>
      </w:r>
    </w:p>
    <w:p>
      <w:pPr>
        <w:spacing w:after="0" w:line="155" w:lineRule="exact"/>
        <w:rPr>
          <w:sz w:val="20"/>
          <w:szCs w:val="20"/>
          <w:color w:val="auto"/>
        </w:rPr>
      </w:pPr>
    </w:p>
    <w:p>
      <w:pPr>
        <w:jc w:val="both"/>
        <w:ind w:left="447" w:hanging="438"/>
        <w:spacing w:after="0" w:line="290" w:lineRule="auto"/>
        <w:tabs>
          <w:tab w:leader="none" w:pos="426"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When a Guaranty is endorsed, authenticated and delivered by the trustee of the relevant series of debt securities upon the issuance of such debt securities, such Guaranty will constitute the valid and binding obligations of the Company enforceable in accordance with the terms thereof.</w:t>
      </w:r>
    </w:p>
    <w:p>
      <w:pPr>
        <w:spacing w:after="0" w:line="106" w:lineRule="exact"/>
        <w:rPr>
          <w:sz w:val="20"/>
          <w:szCs w:val="20"/>
          <w:color w:val="auto"/>
        </w:rPr>
      </w:pPr>
    </w:p>
    <w:p>
      <w:pPr>
        <w:jc w:val="both"/>
        <w:ind w:left="7"/>
        <w:spacing w:after="0" w:line="272" w:lineRule="auto"/>
        <w:rPr>
          <w:sz w:val="20"/>
          <w:szCs w:val="20"/>
          <w:color w:val="auto"/>
        </w:rPr>
      </w:pPr>
      <w:r>
        <w:rPr>
          <w:rFonts w:ascii="Times New Roman" w:cs="Times New Roman" w:eastAsia="Times New Roman" w:hAnsi="Times New Roman"/>
          <w:sz w:val="12"/>
          <w:szCs w:val="12"/>
          <w:color w:val="auto"/>
        </w:rPr>
        <w:t>We hereby consent to the filing of this opinion as an exhibit to the Registration Statement and to the references to our firm under the caption “Legal Matter”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/s/ Conyers Dill &amp; Pearman Limited</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Conyers Dill &amp; Pearman Limited</w:t>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conyers.com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767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5" w:right="2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2"/>
          <w:szCs w:val="12"/>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7380" cy="296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627380"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KPMG LLP</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811 Main Street</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Houston, TX 77002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7"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2"/>
          <w:szCs w:val="12"/>
          <w:color w:val="auto"/>
        </w:rPr>
        <w:t>We consent to the use of our reports dated February 17, 2022, with respect to the consolidated financial statements and financial statement schedule II of Weatherford International plc and subsidiaries, and the effectiveness of internal control over financial reporting,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836930"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836930" cy="1803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Houston,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June 15, 2022</w:t>
      </w:r>
    </w:p>
    <w:p>
      <w:pPr>
        <w:spacing w:after="0" w:line="1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KPMG LLP, a Delaware limited liability partnership and a member firm of</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the KPMG global organization of independent member firms affiliated with</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296545</wp:posOffset>
            </wp:positionV>
            <wp:extent cx="71767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5"/>
          <w:szCs w:val="15"/>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7677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71767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121920</wp:posOffset>
            </wp:positionV>
            <wp:extent cx="17957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1795780" cy="5715"/>
                    </a:xfrm>
                    <a:prstGeom prst="rect">
                      <a:avLst/>
                    </a:prstGeom>
                    <a:noFill/>
                  </pic:spPr>
                </pic:pic>
              </a:graphicData>
            </a:graphic>
          </wp:anchor>
        </w:drawing>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T-1</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STATEMENT OF ELIGIBILITY UNDER THE TRUST INDENTURE ACT OF 1939 OF A CORPORATION DESIGNATED TO ACT AS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129540</wp:posOffset>
            </wp:positionV>
            <wp:extent cx="17957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1795780" cy="571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80" w:type="dxa"/>
            <w:vAlign w:val="bottom"/>
          </w:tcPr>
          <w:p>
            <w:pPr>
              <w:spacing w:after="0"/>
              <w:rPr>
                <w:sz w:val="12"/>
                <w:szCs w:val="12"/>
                <w:color w:val="auto"/>
              </w:rPr>
            </w:pPr>
          </w:p>
        </w:tc>
        <w:tc>
          <w:tcPr>
            <w:tcW w:w="7740" w:type="dxa"/>
            <w:vAlign w:val="bottom"/>
            <w:gridSpan w:val="3"/>
          </w:tcPr>
          <w:p>
            <w:pPr>
              <w:jc w:val="center"/>
              <w:ind w:right="2559"/>
              <w:spacing w:after="0"/>
              <w:rPr>
                <w:sz w:val="20"/>
                <w:szCs w:val="20"/>
                <w:color w:val="auto"/>
              </w:rPr>
            </w:pPr>
            <w:r>
              <w:rPr>
                <w:rFonts w:ascii="Times New Roman" w:cs="Times New Roman" w:eastAsia="Times New Roman" w:hAnsi="Times New Roman"/>
                <w:sz w:val="12"/>
                <w:szCs w:val="12"/>
                <w:b w:val="1"/>
                <w:bCs w:val="1"/>
                <w:color w:val="auto"/>
              </w:rPr>
              <w:t>DEUTSCHE BANK TRUST COMPANY AMERICAS</w:t>
            </w:r>
          </w:p>
        </w:tc>
      </w:tr>
      <w:tr>
        <w:trPr>
          <w:trHeight w:val="148"/>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699"/>
              <w:spacing w:after="0"/>
              <w:rPr>
                <w:sz w:val="20"/>
                <w:szCs w:val="20"/>
                <w:color w:val="auto"/>
              </w:rPr>
            </w:pPr>
            <w:r>
              <w:rPr>
                <w:rFonts w:ascii="Times New Roman" w:cs="Times New Roman" w:eastAsia="Times New Roman" w:hAnsi="Times New Roman"/>
                <w:sz w:val="12"/>
                <w:szCs w:val="12"/>
                <w:b w:val="1"/>
                <w:bCs w:val="1"/>
                <w:color w:val="auto"/>
              </w:rPr>
              <w:t>(formerly BANKERS TRUST COMPANY)</w:t>
            </w:r>
          </w:p>
        </w:tc>
      </w:tr>
      <w:tr>
        <w:trPr>
          <w:trHeight w:val="159"/>
        </w:trPr>
        <w:tc>
          <w:tcPr>
            <w:tcW w:w="3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580" w:type="dxa"/>
            <w:vAlign w:val="bottom"/>
            <w:gridSpan w:val="2"/>
          </w:tcPr>
          <w:p>
            <w:pPr>
              <w:jc w:val="center"/>
              <w:ind w:right="3699"/>
              <w:spacing w:after="0"/>
              <w:rPr>
                <w:sz w:val="20"/>
                <w:szCs w:val="20"/>
                <w:color w:val="auto"/>
              </w:rPr>
            </w:pPr>
            <w:r>
              <w:rPr>
                <w:rFonts w:ascii="Times New Roman" w:cs="Times New Roman" w:eastAsia="Times New Roman" w:hAnsi="Times New Roman"/>
                <w:sz w:val="12"/>
                <w:szCs w:val="12"/>
                <w:color w:val="auto"/>
              </w:rPr>
              <w:t>(Exact name of trustee as specified in its charter)</w:t>
            </w:r>
          </w:p>
        </w:tc>
      </w:tr>
      <w:tr>
        <w:trPr>
          <w:trHeight w:val="281"/>
        </w:trPr>
        <w:tc>
          <w:tcPr>
            <w:tcW w:w="3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NEW YORK</w:t>
            </w:r>
          </w:p>
        </w:tc>
        <w:tc>
          <w:tcPr>
            <w:tcW w:w="7740" w:type="dxa"/>
            <w:vAlign w:val="bottom"/>
            <w:gridSpan w:val="3"/>
          </w:tcPr>
          <w:p>
            <w:pPr>
              <w:ind w:left="6860"/>
              <w:spacing w:after="0"/>
              <w:rPr>
                <w:sz w:val="20"/>
                <w:szCs w:val="20"/>
                <w:color w:val="auto"/>
              </w:rPr>
            </w:pPr>
            <w:r>
              <w:rPr>
                <w:rFonts w:ascii="Times New Roman" w:cs="Times New Roman" w:eastAsia="Times New Roman" w:hAnsi="Times New Roman"/>
                <w:sz w:val="12"/>
                <w:szCs w:val="12"/>
                <w:b w:val="1"/>
                <w:bCs w:val="1"/>
                <w:color w:val="auto"/>
              </w:rPr>
              <w:t>13-4941247</w:t>
            </w:r>
          </w:p>
        </w:tc>
      </w:tr>
      <w:tr>
        <w:trPr>
          <w:trHeight w:val="146"/>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(Jurisdiction of Incorporation or</w:t>
            </w: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760" w:type="dxa"/>
            <w:vAlign w:val="bottom"/>
          </w:tcPr>
          <w:p>
            <w:pPr>
              <w:ind w:left="288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9"/>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organization if not a U.S. national bank)</w:t>
            </w: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760" w:type="dxa"/>
            <w:vAlign w:val="bottom"/>
          </w:tcPr>
          <w:p>
            <w:pPr>
              <w:ind w:left="2880"/>
              <w:spacing w:after="0"/>
              <w:rPr>
                <w:sz w:val="20"/>
                <w:szCs w:val="20"/>
                <w:color w:val="auto"/>
              </w:rPr>
            </w:pPr>
            <w:r>
              <w:rPr>
                <w:rFonts w:ascii="Times New Roman" w:cs="Times New Roman" w:eastAsia="Times New Roman" w:hAnsi="Times New Roman"/>
                <w:sz w:val="12"/>
                <w:szCs w:val="12"/>
                <w:color w:val="auto"/>
                <w:w w:val="99"/>
              </w:rPr>
              <w:t>Identification no.)</w:t>
            </w:r>
          </w:p>
        </w:tc>
      </w:tr>
      <w:tr>
        <w:trPr>
          <w:trHeight w:val="279"/>
        </w:trPr>
        <w:tc>
          <w:tcPr>
            <w:tcW w:w="3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 COLUMBUS CIRCLE</w:t>
            </w:r>
          </w:p>
        </w:tc>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48"/>
        </w:trPr>
        <w:tc>
          <w:tcPr>
            <w:tcW w:w="3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NEW YORK, NEW YORK</w:t>
            </w:r>
          </w:p>
        </w:tc>
        <w:tc>
          <w:tcPr>
            <w:tcW w:w="7740" w:type="dxa"/>
            <w:vAlign w:val="bottom"/>
            <w:gridSpan w:val="3"/>
          </w:tcPr>
          <w:p>
            <w:pPr>
              <w:ind w:left="6860"/>
              <w:spacing w:after="0"/>
              <w:rPr>
                <w:sz w:val="20"/>
                <w:szCs w:val="20"/>
                <w:color w:val="auto"/>
              </w:rPr>
            </w:pPr>
            <w:r>
              <w:rPr>
                <w:rFonts w:ascii="Times New Roman" w:cs="Times New Roman" w:eastAsia="Times New Roman" w:hAnsi="Times New Roman"/>
                <w:sz w:val="12"/>
                <w:szCs w:val="12"/>
                <w:b w:val="1"/>
                <w:bCs w:val="1"/>
                <w:color w:val="auto"/>
              </w:rPr>
              <w:t>10005</w:t>
            </w:r>
          </w:p>
        </w:tc>
      </w:tr>
      <w:tr>
        <w:trPr>
          <w:trHeight w:val="146"/>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(Address of principal</w:t>
            </w: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760" w:type="dxa"/>
            <w:vAlign w:val="bottom"/>
          </w:tcPr>
          <w:p>
            <w:pPr>
              <w:ind w:left="2880"/>
              <w:spacing w:after="0"/>
              <w:rPr>
                <w:sz w:val="20"/>
                <w:szCs w:val="20"/>
                <w:color w:val="auto"/>
              </w:rPr>
            </w:pPr>
            <w:r>
              <w:rPr>
                <w:rFonts w:ascii="Times New Roman" w:cs="Times New Roman" w:eastAsia="Times New Roman" w:hAnsi="Times New Roman"/>
                <w:sz w:val="12"/>
                <w:szCs w:val="12"/>
                <w:color w:val="auto"/>
              </w:rPr>
              <w:t>(Zip Code)</w:t>
            </w:r>
          </w:p>
        </w:tc>
      </w:tr>
      <w:tr>
        <w:trPr>
          <w:trHeight w:val="159"/>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executive offices)</w:t>
            </w: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279"/>
        </w:trPr>
        <w:tc>
          <w:tcPr>
            <w:tcW w:w="3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80" w:type="dxa"/>
            <w:vAlign w:val="bottom"/>
            <w:gridSpan w:val="2"/>
          </w:tcPr>
          <w:p>
            <w:pPr>
              <w:jc w:val="center"/>
              <w:ind w:right="3719"/>
              <w:spacing w:after="0"/>
              <w:rPr>
                <w:sz w:val="20"/>
                <w:szCs w:val="20"/>
                <w:color w:val="auto"/>
              </w:rPr>
            </w:pPr>
            <w:r>
              <w:rPr>
                <w:rFonts w:ascii="Times New Roman" w:cs="Times New Roman" w:eastAsia="Times New Roman" w:hAnsi="Times New Roman"/>
                <w:sz w:val="12"/>
                <w:szCs w:val="12"/>
                <w:b w:val="1"/>
                <w:bCs w:val="1"/>
                <w:color w:val="auto"/>
              </w:rPr>
              <w:t>Deutsche Bank Trust Company Americas</w:t>
            </w:r>
          </w:p>
        </w:tc>
      </w:tr>
      <w:tr>
        <w:trPr>
          <w:trHeight w:val="146"/>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719"/>
              <w:spacing w:after="0"/>
              <w:rPr>
                <w:sz w:val="20"/>
                <w:szCs w:val="20"/>
                <w:color w:val="auto"/>
              </w:rPr>
            </w:pPr>
            <w:r>
              <w:rPr>
                <w:rFonts w:ascii="Times New Roman" w:cs="Times New Roman" w:eastAsia="Times New Roman" w:hAnsi="Times New Roman"/>
                <w:sz w:val="12"/>
                <w:szCs w:val="12"/>
                <w:b w:val="1"/>
                <w:bCs w:val="1"/>
                <w:color w:val="auto"/>
              </w:rPr>
              <w:t>Attention: Mirko Mieth</w:t>
            </w:r>
          </w:p>
        </w:tc>
      </w:tr>
      <w:tr>
        <w:trPr>
          <w:trHeight w:val="146"/>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719"/>
              <w:spacing w:after="0"/>
              <w:rPr>
                <w:sz w:val="20"/>
                <w:szCs w:val="20"/>
                <w:color w:val="auto"/>
              </w:rPr>
            </w:pPr>
            <w:r>
              <w:rPr>
                <w:rFonts w:ascii="Times New Roman" w:cs="Times New Roman" w:eastAsia="Times New Roman" w:hAnsi="Times New Roman"/>
                <w:sz w:val="12"/>
                <w:szCs w:val="12"/>
                <w:b w:val="1"/>
                <w:bCs w:val="1"/>
                <w:color w:val="auto"/>
              </w:rPr>
              <w:t>Legal Department</w:t>
            </w:r>
          </w:p>
        </w:tc>
      </w:tr>
      <w:tr>
        <w:trPr>
          <w:trHeight w:val="146"/>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699"/>
              <w:spacing w:after="0"/>
              <w:rPr>
                <w:sz w:val="20"/>
                <w:szCs w:val="20"/>
                <w:color w:val="auto"/>
              </w:rPr>
            </w:pPr>
            <w:r>
              <w:rPr>
                <w:rFonts w:ascii="Times New Roman" w:cs="Times New Roman" w:eastAsia="Times New Roman" w:hAnsi="Times New Roman"/>
                <w:sz w:val="12"/>
                <w:szCs w:val="12"/>
                <w:b w:val="1"/>
                <w:bCs w:val="1"/>
                <w:color w:val="auto"/>
              </w:rPr>
              <w:t>1 Columbus Circle, 19th Floor</w:t>
            </w:r>
          </w:p>
        </w:tc>
      </w:tr>
      <w:tr>
        <w:trPr>
          <w:trHeight w:val="146"/>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719"/>
              <w:spacing w:after="0"/>
              <w:rPr>
                <w:sz w:val="20"/>
                <w:szCs w:val="20"/>
                <w:color w:val="auto"/>
              </w:rPr>
            </w:pPr>
            <w:r>
              <w:rPr>
                <w:rFonts w:ascii="Times New Roman" w:cs="Times New Roman" w:eastAsia="Times New Roman" w:hAnsi="Times New Roman"/>
                <w:sz w:val="12"/>
                <w:szCs w:val="12"/>
                <w:b w:val="1"/>
                <w:bCs w:val="1"/>
                <w:color w:val="auto"/>
              </w:rPr>
              <w:t>New York, New York 10019</w:t>
            </w:r>
          </w:p>
        </w:tc>
      </w:tr>
      <w:tr>
        <w:trPr>
          <w:trHeight w:val="148"/>
        </w:trPr>
        <w:tc>
          <w:tcPr>
            <w:tcW w:w="3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580" w:type="dxa"/>
            <w:vAlign w:val="bottom"/>
            <w:gridSpan w:val="2"/>
          </w:tcPr>
          <w:p>
            <w:pPr>
              <w:jc w:val="center"/>
              <w:ind w:right="3719"/>
              <w:spacing w:after="0"/>
              <w:rPr>
                <w:sz w:val="20"/>
                <w:szCs w:val="20"/>
                <w:color w:val="auto"/>
              </w:rPr>
            </w:pPr>
            <w:r>
              <w:rPr>
                <w:rFonts w:ascii="Times New Roman" w:cs="Times New Roman" w:eastAsia="Times New Roman" w:hAnsi="Times New Roman"/>
                <w:sz w:val="12"/>
                <w:szCs w:val="12"/>
                <w:b w:val="1"/>
                <w:bCs w:val="1"/>
                <w:color w:val="auto"/>
              </w:rPr>
              <w:t>(212) 250 – 1663</w:t>
            </w:r>
          </w:p>
        </w:tc>
      </w:tr>
      <w:tr>
        <w:trPr>
          <w:trHeight w:val="159"/>
        </w:trPr>
        <w:tc>
          <w:tcPr>
            <w:tcW w:w="3080" w:type="dxa"/>
            <w:vAlign w:val="bottom"/>
          </w:tcPr>
          <w:p>
            <w:pPr>
              <w:spacing w:after="0"/>
              <w:rPr>
                <w:sz w:val="13"/>
                <w:szCs w:val="13"/>
                <w:color w:val="auto"/>
              </w:rPr>
            </w:pPr>
          </w:p>
        </w:tc>
        <w:tc>
          <w:tcPr>
            <w:tcW w:w="7740" w:type="dxa"/>
            <w:vAlign w:val="bottom"/>
            <w:gridSpan w:val="3"/>
          </w:tcPr>
          <w:p>
            <w:pPr>
              <w:jc w:val="center"/>
              <w:ind w:right="2559"/>
              <w:spacing w:after="0"/>
              <w:rPr>
                <w:sz w:val="20"/>
                <w:szCs w:val="20"/>
                <w:color w:val="auto"/>
              </w:rPr>
            </w:pPr>
            <w:r>
              <w:rPr>
                <w:rFonts w:ascii="Times New Roman" w:cs="Times New Roman" w:eastAsia="Times New Roman" w:hAnsi="Times New Roman"/>
                <w:sz w:val="12"/>
                <w:szCs w:val="12"/>
                <w:color w:val="auto"/>
              </w:rPr>
              <w:t>(Name, address and telephone number of agent for service)</w:t>
            </w:r>
          </w:p>
        </w:tc>
      </w:tr>
      <w:tr>
        <w:trPr>
          <w:trHeight w:val="184"/>
        </w:trPr>
        <w:tc>
          <w:tcPr>
            <w:tcW w:w="3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3760" w:type="dxa"/>
            <w:vAlign w:val="bottom"/>
          </w:tcPr>
          <w:p>
            <w:pPr>
              <w:spacing w:after="0"/>
              <w:rPr>
                <w:sz w:val="15"/>
                <w:szCs w:val="15"/>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w:t>
      </w:r>
      <w:r>
        <w:rPr>
          <w:rFonts w:ascii="Times New Roman" w:cs="Times New Roman" w:eastAsia="Times New Roman" w:hAnsi="Times New Roman"/>
          <w:sz w:val="8"/>
          <w:szCs w:val="8"/>
          <w:b w:val="1"/>
          <w:bCs w:val="1"/>
          <w:color w:val="auto"/>
        </w:rPr>
        <w:t>eatherford</w:t>
      </w:r>
      <w:r>
        <w:rPr>
          <w:rFonts w:ascii="Times New Roman" w:cs="Times New Roman" w:eastAsia="Times New Roman" w:hAnsi="Times New Roman"/>
          <w:sz w:val="12"/>
          <w:szCs w:val="12"/>
          <w:b w:val="1"/>
          <w:bCs w:val="1"/>
          <w:color w:val="auto"/>
        </w:rPr>
        <w:t xml:space="preserve"> I</w:t>
      </w:r>
      <w:r>
        <w:rPr>
          <w:rFonts w:ascii="Times New Roman" w:cs="Times New Roman" w:eastAsia="Times New Roman" w:hAnsi="Times New Roman"/>
          <w:sz w:val="8"/>
          <w:szCs w:val="8"/>
          <w:b w:val="1"/>
          <w:bCs w:val="1"/>
          <w:color w:val="auto"/>
        </w:rPr>
        <w:t>nternational public limited company</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obligor as specified in its charter)</w:t>
      </w:r>
    </w:p>
    <w:p>
      <w:pPr>
        <w:sectPr>
          <w:pgSz w:w="11900" w:h="16838" w:orient="portrait"/>
          <w:cols w:equalWidth="0" w:num="1">
            <w:col w:w="11300"/>
          </w:cols>
          <w:pgMar w:left="300" w:top="284" w:right="299" w:bottom="1440" w:gutter="0" w:footer="0" w:header="0"/>
        </w:sectPr>
      </w:pPr>
    </w:p>
    <w:p>
      <w:pPr>
        <w:spacing w:after="0" w:line="14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b w:val="1"/>
          <w:bCs w:val="1"/>
          <w:color w:val="auto"/>
        </w:rPr>
        <w:t>Ireland</w:t>
      </w:r>
    </w:p>
    <w:p>
      <w:pPr>
        <w:spacing w:after="0" w:line="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98-0606750</w:t>
      </w:r>
    </w:p>
    <w:p>
      <w:pPr>
        <w:spacing w:after="0" w:line="2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2"/>
          <w:szCs w:val="12"/>
          <w:color w:val="auto"/>
        </w:rPr>
        <w:t>(I.R.S. Employer</w:t>
      </w:r>
    </w:p>
    <w:p>
      <w:pPr>
        <w:spacing w:after="0" w:line="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2"/>
          <w:szCs w:val="12"/>
          <w:color w:val="auto"/>
        </w:rPr>
        <w:t>Identification Number)</w:t>
      </w:r>
    </w:p>
    <w:p>
      <w:pPr>
        <w:spacing w:after="0" w:line="141" w:lineRule="exact"/>
        <w:rPr>
          <w:sz w:val="20"/>
          <w:szCs w:val="20"/>
          <w:color w:val="auto"/>
        </w:rPr>
      </w:pPr>
    </w:p>
    <w:p>
      <w:pPr>
        <w:sectPr>
          <w:pgSz w:w="11900" w:h="16838" w:orient="portrait"/>
          <w:cols w:equalWidth="0" w:num="2">
            <w:col w:w="7600" w:space="720"/>
            <w:col w:w="2980"/>
          </w:cols>
          <w:pgMar w:left="300" w:top="284"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2000 St. James Place, Houston, Texas 77056</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b w:val="1"/>
                <w:bCs w:val="1"/>
                <w:color w:val="auto"/>
              </w:rPr>
              <w:t>Weatherford International Ltd.</w:t>
            </w:r>
          </w:p>
        </w:tc>
        <w:tc>
          <w:tcPr>
            <w:tcW w:w="2300" w:type="dxa"/>
            <w:vAlign w:val="bottom"/>
          </w:tcPr>
          <w:p>
            <w:pPr>
              <w:spacing w:after="0"/>
              <w:rPr>
                <w:sz w:val="12"/>
                <w:szCs w:val="12"/>
                <w:color w:val="auto"/>
              </w:rPr>
            </w:pPr>
          </w:p>
        </w:tc>
        <w:tc>
          <w:tcPr>
            <w:tcW w:w="4240" w:type="dxa"/>
            <w:vAlign w:val="bottom"/>
          </w:tcPr>
          <w:p>
            <w:pPr>
              <w:jc w:val="center"/>
              <w:ind w:right="1119"/>
              <w:spacing w:after="0"/>
              <w:rPr>
                <w:sz w:val="20"/>
                <w:szCs w:val="20"/>
                <w:color w:val="auto"/>
              </w:rPr>
            </w:pPr>
            <w:r>
              <w:rPr>
                <w:rFonts w:ascii="Times New Roman" w:cs="Times New Roman" w:eastAsia="Times New Roman" w:hAnsi="Times New Roman"/>
                <w:sz w:val="12"/>
                <w:szCs w:val="12"/>
                <w:b w:val="1"/>
                <w:bCs w:val="1"/>
                <w:color w:val="auto"/>
              </w:rPr>
              <w:t>Weatherford International, LLC</w:t>
            </w:r>
          </w:p>
        </w:tc>
      </w:tr>
      <w:tr>
        <w:trPr>
          <w:trHeight w:val="144"/>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color w:val="auto"/>
              </w:rPr>
              <w:t>(Exact name of co-registrant as specified in its charter)</w:t>
            </w:r>
          </w:p>
        </w:tc>
        <w:tc>
          <w:tcPr>
            <w:tcW w:w="2300" w:type="dxa"/>
            <w:vAlign w:val="bottom"/>
          </w:tcPr>
          <w:p>
            <w:pPr>
              <w:spacing w:after="0"/>
              <w:rPr>
                <w:sz w:val="12"/>
                <w:szCs w:val="12"/>
                <w:color w:val="auto"/>
              </w:rPr>
            </w:pPr>
          </w:p>
        </w:tc>
        <w:tc>
          <w:tcPr>
            <w:tcW w:w="4240" w:type="dxa"/>
            <w:vAlign w:val="bottom"/>
          </w:tcPr>
          <w:p>
            <w:pPr>
              <w:jc w:val="center"/>
              <w:ind w:right="1139"/>
              <w:spacing w:after="0"/>
              <w:rPr>
                <w:sz w:val="20"/>
                <w:szCs w:val="20"/>
                <w:color w:val="auto"/>
              </w:rPr>
            </w:pPr>
            <w:r>
              <w:rPr>
                <w:rFonts w:ascii="Times New Roman" w:cs="Times New Roman" w:eastAsia="Times New Roman" w:hAnsi="Times New Roman"/>
                <w:sz w:val="12"/>
                <w:szCs w:val="12"/>
                <w:color w:val="auto"/>
              </w:rPr>
              <w:t>(Exact name of co-registrant as specified in its charter)</w:t>
            </w:r>
          </w:p>
        </w:tc>
      </w:tr>
      <w:tr>
        <w:trPr>
          <w:trHeight w:val="148"/>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b w:val="1"/>
                <w:bCs w:val="1"/>
                <w:color w:val="auto"/>
                <w:w w:val="99"/>
              </w:rPr>
              <w:t>Bermuda</w:t>
            </w:r>
          </w:p>
        </w:tc>
        <w:tc>
          <w:tcPr>
            <w:tcW w:w="2300" w:type="dxa"/>
            <w:vAlign w:val="bottom"/>
          </w:tcPr>
          <w:p>
            <w:pPr>
              <w:spacing w:after="0"/>
              <w:rPr>
                <w:sz w:val="12"/>
                <w:szCs w:val="12"/>
                <w:color w:val="auto"/>
              </w:rPr>
            </w:pPr>
          </w:p>
        </w:tc>
        <w:tc>
          <w:tcPr>
            <w:tcW w:w="4240" w:type="dxa"/>
            <w:vAlign w:val="bottom"/>
          </w:tcPr>
          <w:p>
            <w:pPr>
              <w:jc w:val="center"/>
              <w:ind w:right="1119"/>
              <w:spacing w:after="0"/>
              <w:rPr>
                <w:sz w:val="20"/>
                <w:szCs w:val="20"/>
                <w:color w:val="auto"/>
              </w:rPr>
            </w:pPr>
            <w:r>
              <w:rPr>
                <w:rFonts w:ascii="Times New Roman" w:cs="Times New Roman" w:eastAsia="Times New Roman" w:hAnsi="Times New Roman"/>
                <w:sz w:val="12"/>
                <w:szCs w:val="12"/>
                <w:b w:val="1"/>
                <w:bCs w:val="1"/>
                <w:color w:val="auto"/>
              </w:rPr>
              <w:t>Delaware</w:t>
            </w:r>
          </w:p>
        </w:tc>
      </w:tr>
      <w:tr>
        <w:trPr>
          <w:trHeight w:val="144"/>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2300" w:type="dxa"/>
            <w:vAlign w:val="bottom"/>
          </w:tcPr>
          <w:p>
            <w:pPr>
              <w:spacing w:after="0"/>
              <w:rPr>
                <w:sz w:val="12"/>
                <w:szCs w:val="12"/>
                <w:color w:val="auto"/>
              </w:rPr>
            </w:pPr>
          </w:p>
        </w:tc>
        <w:tc>
          <w:tcPr>
            <w:tcW w:w="4240" w:type="dxa"/>
            <w:vAlign w:val="bottom"/>
          </w:tcPr>
          <w:p>
            <w:pPr>
              <w:jc w:val="center"/>
              <w:ind w:right="1139"/>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r>
      <w:tr>
        <w:trPr>
          <w:trHeight w:val="148"/>
        </w:trPr>
        <w:tc>
          <w:tcPr>
            <w:tcW w:w="4240" w:type="dxa"/>
            <w:vAlign w:val="bottom"/>
          </w:tcPr>
          <w:p>
            <w:pPr>
              <w:jc w:val="right"/>
              <w:ind w:right="999"/>
              <w:spacing w:after="0"/>
              <w:rPr>
                <w:sz w:val="20"/>
                <w:szCs w:val="20"/>
                <w:color w:val="auto"/>
              </w:rPr>
            </w:pPr>
            <w:r>
              <w:rPr>
                <w:rFonts w:ascii="Times New Roman" w:cs="Times New Roman" w:eastAsia="Times New Roman" w:hAnsi="Times New Roman"/>
                <w:sz w:val="12"/>
                <w:szCs w:val="12"/>
                <w:b w:val="1"/>
                <w:bCs w:val="1"/>
                <w:color w:val="auto"/>
              </w:rPr>
              <w:t>98-0371344</w:t>
            </w:r>
          </w:p>
        </w:tc>
        <w:tc>
          <w:tcPr>
            <w:tcW w:w="520" w:type="dxa"/>
            <w:vAlign w:val="bottom"/>
          </w:tcPr>
          <w:p>
            <w:pPr>
              <w:spacing w:after="0"/>
              <w:rPr>
                <w:sz w:val="12"/>
                <w:szCs w:val="12"/>
                <w:color w:val="auto"/>
              </w:rPr>
            </w:pPr>
          </w:p>
        </w:tc>
        <w:tc>
          <w:tcPr>
            <w:tcW w:w="6540" w:type="dxa"/>
            <w:vAlign w:val="bottom"/>
            <w:gridSpan w:val="2"/>
          </w:tcPr>
          <w:p>
            <w:pPr>
              <w:jc w:val="right"/>
              <w:ind w:right="2359"/>
              <w:spacing w:after="0"/>
              <w:rPr>
                <w:sz w:val="20"/>
                <w:szCs w:val="20"/>
                <w:color w:val="auto"/>
              </w:rPr>
            </w:pPr>
            <w:r>
              <w:rPr>
                <w:rFonts w:ascii="Times New Roman" w:cs="Times New Roman" w:eastAsia="Times New Roman" w:hAnsi="Times New Roman"/>
                <w:sz w:val="12"/>
                <w:szCs w:val="12"/>
                <w:b w:val="1"/>
                <w:bCs w:val="1"/>
                <w:color w:val="auto"/>
              </w:rPr>
              <w:t>33-0430755</w:t>
            </w:r>
          </w:p>
        </w:tc>
      </w:tr>
      <w:tr>
        <w:trPr>
          <w:trHeight w:val="144"/>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color w:val="auto"/>
              </w:rPr>
              <w:t>(I.R.S. Employer Identification Number)</w:t>
            </w:r>
          </w:p>
        </w:tc>
        <w:tc>
          <w:tcPr>
            <w:tcW w:w="2300" w:type="dxa"/>
            <w:vAlign w:val="bottom"/>
          </w:tcPr>
          <w:p>
            <w:pPr>
              <w:spacing w:after="0"/>
              <w:rPr>
                <w:sz w:val="12"/>
                <w:szCs w:val="12"/>
                <w:color w:val="auto"/>
              </w:rPr>
            </w:pPr>
          </w:p>
        </w:tc>
        <w:tc>
          <w:tcPr>
            <w:tcW w:w="4240" w:type="dxa"/>
            <w:vAlign w:val="bottom"/>
          </w:tcPr>
          <w:p>
            <w:pPr>
              <w:jc w:val="center"/>
              <w:ind w:right="1119"/>
              <w:spacing w:after="0"/>
              <w:rPr>
                <w:sz w:val="20"/>
                <w:szCs w:val="20"/>
                <w:color w:val="auto"/>
              </w:rPr>
            </w:pPr>
            <w:r>
              <w:rPr>
                <w:rFonts w:ascii="Times New Roman" w:cs="Times New Roman" w:eastAsia="Times New Roman" w:hAnsi="Times New Roman"/>
                <w:sz w:val="12"/>
                <w:szCs w:val="12"/>
                <w:color w:val="auto"/>
              </w:rPr>
              <w:t>(I.R.S. Employer Identification Number)</w:t>
            </w:r>
          </w:p>
        </w:tc>
      </w:tr>
      <w:tr>
        <w:trPr>
          <w:trHeight w:val="146"/>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b w:val="1"/>
                <w:bCs w:val="1"/>
                <w:color w:val="auto"/>
              </w:rPr>
              <w:t>2000 St. James Place, Houston, Texas 77056</w:t>
            </w:r>
          </w:p>
        </w:tc>
        <w:tc>
          <w:tcPr>
            <w:tcW w:w="2300" w:type="dxa"/>
            <w:vAlign w:val="bottom"/>
          </w:tcPr>
          <w:p>
            <w:pPr>
              <w:spacing w:after="0"/>
              <w:rPr>
                <w:sz w:val="12"/>
                <w:szCs w:val="12"/>
                <w:color w:val="auto"/>
              </w:rPr>
            </w:pPr>
          </w:p>
        </w:tc>
        <w:tc>
          <w:tcPr>
            <w:tcW w:w="4240" w:type="dxa"/>
            <w:vAlign w:val="bottom"/>
          </w:tcPr>
          <w:p>
            <w:pPr>
              <w:jc w:val="center"/>
              <w:ind w:right="1119"/>
              <w:spacing w:after="0"/>
              <w:rPr>
                <w:sz w:val="20"/>
                <w:szCs w:val="20"/>
                <w:color w:val="auto"/>
              </w:rPr>
            </w:pPr>
            <w:r>
              <w:rPr>
                <w:rFonts w:ascii="Times New Roman" w:cs="Times New Roman" w:eastAsia="Times New Roman" w:hAnsi="Times New Roman"/>
                <w:sz w:val="12"/>
                <w:szCs w:val="12"/>
                <w:b w:val="1"/>
                <w:bCs w:val="1"/>
                <w:color w:val="auto"/>
              </w:rPr>
              <w:t>2000 St. James Place, Houston, Texas 77056</w:t>
            </w:r>
          </w:p>
        </w:tc>
      </w:tr>
      <w:tr>
        <w:trPr>
          <w:trHeight w:val="148"/>
        </w:trPr>
        <w:tc>
          <w:tcPr>
            <w:tcW w:w="4240" w:type="dxa"/>
            <w:vAlign w:val="bottom"/>
          </w:tcPr>
          <w:p>
            <w:pPr>
              <w:jc w:val="right"/>
              <w:ind w:right="919"/>
              <w:spacing w:after="0"/>
              <w:rPr>
                <w:sz w:val="20"/>
                <w:szCs w:val="20"/>
                <w:color w:val="auto"/>
              </w:rPr>
            </w:pPr>
            <w:r>
              <w:rPr>
                <w:rFonts w:ascii="Times New Roman" w:cs="Times New Roman" w:eastAsia="Times New Roman" w:hAnsi="Times New Roman"/>
                <w:sz w:val="12"/>
                <w:szCs w:val="12"/>
                <w:b w:val="1"/>
                <w:bCs w:val="1"/>
                <w:color w:val="auto"/>
              </w:rPr>
              <w:t>(713) 836-4000</w:t>
            </w:r>
          </w:p>
        </w:tc>
        <w:tc>
          <w:tcPr>
            <w:tcW w:w="520" w:type="dxa"/>
            <w:vAlign w:val="bottom"/>
          </w:tcPr>
          <w:p>
            <w:pPr>
              <w:spacing w:after="0"/>
              <w:rPr>
                <w:sz w:val="12"/>
                <w:szCs w:val="12"/>
                <w:color w:val="auto"/>
              </w:rPr>
            </w:pPr>
          </w:p>
        </w:tc>
        <w:tc>
          <w:tcPr>
            <w:tcW w:w="6540" w:type="dxa"/>
            <w:vAlign w:val="bottom"/>
            <w:gridSpan w:val="2"/>
          </w:tcPr>
          <w:p>
            <w:pPr>
              <w:jc w:val="right"/>
              <w:ind w:right="2279"/>
              <w:spacing w:after="0"/>
              <w:rPr>
                <w:sz w:val="20"/>
                <w:szCs w:val="20"/>
                <w:color w:val="auto"/>
              </w:rPr>
            </w:pPr>
            <w:r>
              <w:rPr>
                <w:rFonts w:ascii="Times New Roman" w:cs="Times New Roman" w:eastAsia="Times New Roman" w:hAnsi="Times New Roman"/>
                <w:sz w:val="12"/>
                <w:szCs w:val="12"/>
                <w:b w:val="1"/>
                <w:bCs w:val="1"/>
                <w:color w:val="auto"/>
              </w:rPr>
              <w:t>(713) 836-4000</w:t>
            </w:r>
          </w:p>
        </w:tc>
      </w:tr>
      <w:tr>
        <w:trPr>
          <w:trHeight w:val="146"/>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w:t>
            </w:r>
          </w:p>
        </w:tc>
        <w:tc>
          <w:tcPr>
            <w:tcW w:w="6540" w:type="dxa"/>
            <w:vAlign w:val="bottom"/>
            <w:gridSpan w:val="2"/>
          </w:tcPr>
          <w:p>
            <w:pPr>
              <w:jc w:val="center"/>
              <w:ind w:left="1059"/>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w:t>
            </w:r>
          </w:p>
        </w:tc>
      </w:tr>
      <w:tr>
        <w:trPr>
          <w:trHeight w:val="159"/>
        </w:trPr>
        <w:tc>
          <w:tcPr>
            <w:tcW w:w="4760" w:type="dxa"/>
            <w:vAlign w:val="bottom"/>
            <w:gridSpan w:val="2"/>
          </w:tcPr>
          <w:p>
            <w:pPr>
              <w:jc w:val="center"/>
              <w:ind w:left="939"/>
              <w:spacing w:after="0"/>
              <w:rPr>
                <w:sz w:val="20"/>
                <w:szCs w:val="20"/>
                <w:color w:val="auto"/>
              </w:rPr>
            </w:pPr>
            <w:r>
              <w:rPr>
                <w:rFonts w:ascii="Times New Roman" w:cs="Times New Roman" w:eastAsia="Times New Roman" w:hAnsi="Times New Roman"/>
                <w:sz w:val="12"/>
                <w:szCs w:val="12"/>
                <w:color w:val="auto"/>
              </w:rPr>
              <w:t>of co-registrant’s principal executive offices)</w:t>
            </w:r>
          </w:p>
        </w:tc>
        <w:tc>
          <w:tcPr>
            <w:tcW w:w="2300" w:type="dxa"/>
            <w:vAlign w:val="bottom"/>
          </w:tcPr>
          <w:p>
            <w:pPr>
              <w:spacing w:after="0"/>
              <w:rPr>
                <w:sz w:val="13"/>
                <w:szCs w:val="13"/>
                <w:color w:val="auto"/>
              </w:rPr>
            </w:pPr>
          </w:p>
        </w:tc>
        <w:tc>
          <w:tcPr>
            <w:tcW w:w="4240" w:type="dxa"/>
            <w:vAlign w:val="bottom"/>
          </w:tcPr>
          <w:p>
            <w:pPr>
              <w:jc w:val="center"/>
              <w:ind w:right="1119"/>
              <w:spacing w:after="0"/>
              <w:rPr>
                <w:sz w:val="20"/>
                <w:szCs w:val="20"/>
                <w:color w:val="auto"/>
              </w:rPr>
            </w:pPr>
            <w:r>
              <w:rPr>
                <w:rFonts w:ascii="Times New Roman" w:cs="Times New Roman" w:eastAsia="Times New Roman" w:hAnsi="Times New Roman"/>
                <w:sz w:val="12"/>
                <w:szCs w:val="12"/>
                <w:color w:val="auto"/>
              </w:rPr>
              <w:t>of co-registrant’s principal executive offices)</w:t>
            </w:r>
          </w:p>
        </w:tc>
      </w:tr>
      <w:tr>
        <w:trPr>
          <w:trHeight w:val="184"/>
        </w:trPr>
        <w:tc>
          <w:tcPr>
            <w:tcW w:w="4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240" w:type="dxa"/>
            <w:vAlign w:val="bottom"/>
          </w:tcPr>
          <w:p>
            <w:pPr>
              <w:spacing w:after="0"/>
              <w:rPr>
                <w:sz w:val="15"/>
                <w:szCs w:val="15"/>
                <w:color w:val="auto"/>
              </w:rPr>
            </w:pPr>
          </w:p>
        </w:tc>
      </w:tr>
      <w:tr>
        <w:trPr>
          <w:trHeight w:val="315"/>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40" w:type="dxa"/>
            <w:vAlign w:val="bottom"/>
            <w:gridSpan w:val="2"/>
          </w:tcPr>
          <w:p>
            <w:pPr>
              <w:jc w:val="center"/>
              <w:ind w:right="4719"/>
              <w:spacing w:after="0"/>
              <w:rPr>
                <w:sz w:val="20"/>
                <w:szCs w:val="20"/>
                <w:color w:val="auto"/>
              </w:rPr>
            </w:pP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8"/>
                <w:szCs w:val="8"/>
                <w:b w:val="1"/>
                <w:bCs w:val="1"/>
                <w:color w:val="auto"/>
              </w:rPr>
              <w:t>ebt</w:t>
            </w:r>
            <w:r>
              <w:rPr>
                <w:rFonts w:ascii="Times New Roman" w:cs="Times New Roman" w:eastAsia="Times New Roman" w:hAnsi="Times New Roman"/>
                <w:sz w:val="12"/>
                <w:szCs w:val="12"/>
                <w:b w:val="1"/>
                <w:bCs w:val="1"/>
                <w:color w:val="auto"/>
              </w:rPr>
              <w:t xml:space="preserve"> S</w:t>
            </w:r>
            <w:r>
              <w:rPr>
                <w:rFonts w:ascii="Times New Roman" w:cs="Times New Roman" w:eastAsia="Times New Roman" w:hAnsi="Times New Roman"/>
                <w:sz w:val="8"/>
                <w:szCs w:val="8"/>
                <w:b w:val="1"/>
                <w:bCs w:val="1"/>
                <w:color w:val="auto"/>
              </w:rPr>
              <w:t>ecurities</w:t>
            </w:r>
          </w:p>
        </w:tc>
      </w:tr>
      <w:tr>
        <w:trPr>
          <w:trHeight w:val="159"/>
        </w:trPr>
        <w:tc>
          <w:tcPr>
            <w:tcW w:w="4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540" w:type="dxa"/>
            <w:vAlign w:val="bottom"/>
            <w:gridSpan w:val="2"/>
          </w:tcPr>
          <w:p>
            <w:pPr>
              <w:jc w:val="center"/>
              <w:ind w:right="4719"/>
              <w:spacing w:after="0"/>
              <w:rPr>
                <w:sz w:val="20"/>
                <w:szCs w:val="20"/>
                <w:color w:val="auto"/>
              </w:rPr>
            </w:pPr>
            <w:r>
              <w:rPr>
                <w:rFonts w:ascii="Times New Roman" w:cs="Times New Roman" w:eastAsia="Times New Roman" w:hAnsi="Times New Roman"/>
                <w:sz w:val="12"/>
                <w:szCs w:val="12"/>
                <w:color w:val="auto"/>
              </w:rPr>
              <w:t>(Title of the Indenture securities)</w:t>
            </w:r>
          </w:p>
        </w:tc>
      </w:tr>
      <w:tr>
        <w:trPr>
          <w:trHeight w:val="184"/>
        </w:trPr>
        <w:tc>
          <w:tcPr>
            <w:tcW w:w="4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452"/>
        </w:trPr>
        <w:tc>
          <w:tcPr>
            <w:tcW w:w="4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84" w:right="2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b w:val="1"/>
          <w:bCs w:val="1"/>
          <w:color w:val="auto"/>
        </w:rPr>
        <w:t>Item 1. General Information.</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Furnish the following information as to the trustee.</w:t>
      </w:r>
    </w:p>
    <w:p>
      <w:pPr>
        <w:spacing w:after="0" w:line="155" w:lineRule="exact"/>
        <w:rPr>
          <w:sz w:val="20"/>
          <w:szCs w:val="20"/>
          <w:color w:val="auto"/>
        </w:rPr>
      </w:pPr>
    </w:p>
    <w:p>
      <w:pPr>
        <w:ind w:left="1320" w:hanging="448"/>
        <w:spacing w:after="0"/>
        <w:tabs>
          <w:tab w:leader="none" w:pos="13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and address of each examining or supervising authority to which it is subject.</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3"/>
              </w:rPr>
              <w:t>Name</w:t>
            </w:r>
          </w:p>
        </w:tc>
        <w:tc>
          <w:tcPr>
            <w:tcW w:w="458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w:t>
            </w:r>
          </w:p>
        </w:tc>
      </w:tr>
      <w:tr>
        <w:trPr>
          <w:trHeight w:val="20"/>
        </w:trPr>
        <w:tc>
          <w:tcPr>
            <w:tcW w:w="3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7"/>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Federal Reserve Bank (2nd District)</w:t>
            </w: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York, NY</w:t>
            </w:r>
          </w:p>
        </w:tc>
      </w:tr>
      <w:tr>
        <w:trPr>
          <w:trHeight w:val="146"/>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Federal Deposit Insurance Corporation</w:t>
            </w: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Washington, D.C.</w:t>
            </w:r>
          </w:p>
        </w:tc>
      </w:tr>
      <w:tr>
        <w:trPr>
          <w:trHeight w:val="159"/>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 York State Banking Department</w:t>
            </w: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Albany, NY</w:t>
            </w:r>
          </w:p>
        </w:tc>
      </w:tr>
    </w:tbl>
    <w:p>
      <w:pPr>
        <w:spacing w:after="0" w:line="134" w:lineRule="exact"/>
        <w:rPr>
          <w:sz w:val="20"/>
          <w:szCs w:val="20"/>
          <w:color w:val="auto"/>
        </w:rPr>
      </w:pPr>
    </w:p>
    <w:p>
      <w:pPr>
        <w:ind w:left="1320" w:right="7100" w:hanging="448"/>
        <w:spacing w:after="0" w:line="290" w:lineRule="auto"/>
        <w:tabs>
          <w:tab w:leader="none" w:pos="1326"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it is authorized to exercise corporate trust powers. Yes.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Affiliations with Obligor.</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If the obligor is an affiliate of the Trustee, describe each such affiliation.</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none.</w:t>
      </w:r>
    </w:p>
    <w:p>
      <w:pPr>
        <w:sectPr>
          <w:pgSz w:w="11900" w:h="16838" w:orient="portrait"/>
          <w:cols w:equalWidth="0" w:num="1">
            <w:col w:w="11300"/>
          </w:cols>
          <w:pgMar w:left="300" w:top="802" w:right="299" w:bottom="1440" w:gutter="0" w:footer="0" w:header="0"/>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3. -15.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 of Exhibits.</w:t>
      </w:r>
    </w:p>
    <w:p>
      <w:pPr>
        <w:spacing w:after="0" w:line="155" w:lineRule="exact"/>
        <w:rPr>
          <w:sz w:val="20"/>
          <w:szCs w:val="20"/>
          <w:color w:val="auto"/>
        </w:rPr>
      </w:pPr>
    </w:p>
    <w:p>
      <w:pPr>
        <w:sectPr>
          <w:pgSz w:w="11900" w:h="16838" w:orient="portrait"/>
          <w:cols w:equalWidth="0" w:num="2">
            <w:col w:w="580" w:space="300"/>
            <w:col w:w="10420"/>
          </w:cols>
          <w:pgMar w:left="300" w:top="802" w:right="29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1 -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Restated Organization Certificate of Bankers Trust Company dated August 31, 1998; Certificate of Amendment of the Organization Certificate of Bankers Trust Company</w:t>
            </w:r>
          </w:p>
        </w:tc>
      </w:tr>
      <w:tr>
        <w:trPr>
          <w:trHeight w:val="146"/>
        </w:trPr>
        <w:tc>
          <w:tcPr>
            <w:tcW w:w="2200" w:type="dxa"/>
            <w:vAlign w:val="bottom"/>
          </w:tcPr>
          <w:p>
            <w:pPr>
              <w:spacing w:after="0"/>
              <w:rPr>
                <w:sz w:val="12"/>
                <w:szCs w:val="12"/>
                <w:color w:val="auto"/>
              </w:rPr>
            </w:pP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dated September 25, 1998; Certificate of Amendment of the Organization Certificate of Bankers Trust Company dated December 18, 1998;Certificate of Amendment of the</w:t>
            </w:r>
          </w:p>
        </w:tc>
      </w:tr>
      <w:tr>
        <w:trPr>
          <w:trHeight w:val="146"/>
        </w:trPr>
        <w:tc>
          <w:tcPr>
            <w:tcW w:w="2200" w:type="dxa"/>
            <w:vAlign w:val="bottom"/>
          </w:tcPr>
          <w:p>
            <w:pPr>
              <w:spacing w:after="0"/>
              <w:rPr>
                <w:sz w:val="12"/>
                <w:szCs w:val="12"/>
                <w:color w:val="auto"/>
              </w:rPr>
            </w:pP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Organization Certificate of Bankers Trust Company dated September 3, 1999; and Certificate of Amendment of the Organization Certificate of Bankers Trust Company</w:t>
            </w:r>
          </w:p>
        </w:tc>
      </w:tr>
      <w:tr>
        <w:trPr>
          <w:trHeight w:val="159"/>
        </w:trPr>
        <w:tc>
          <w:tcPr>
            <w:tcW w:w="2200" w:type="dxa"/>
            <w:vAlign w:val="bottom"/>
          </w:tcPr>
          <w:p>
            <w:pPr>
              <w:spacing w:after="0"/>
              <w:rPr>
                <w:sz w:val="13"/>
                <w:szCs w:val="13"/>
                <w:color w:val="auto"/>
              </w:rPr>
            </w:pP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dated March 14, 2002, incorporated herein by reference to Exhibit 1 filed with Form T-1 Statement, Registration No. 333-201810.</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2 -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Certificate of Authority to commence business, incorporated herein by reference to Exhibit 2 filed with Form T-1 Statement, Registration No. 333-201810.</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3 -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Authorization of the Trustee to exercise corporate trust powers, incorporated herein by reference to Exhibit 3 filed with Form T-1 Statement, Registration No. 333-201810.</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4 -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 copy of existing By-Laws of Deutsche Bank Trust Company Americas, dated April 29, 2021 (see attached).</w:t>
            </w:r>
          </w:p>
        </w:tc>
      </w:tr>
      <w:tr>
        <w:trPr>
          <w:trHeight w:val="476"/>
        </w:trPr>
        <w:tc>
          <w:tcPr>
            <w:tcW w:w="22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802" w:right="299" w:bottom="1440" w:gutter="0" w:footer="0" w:header="0"/>
          <w:type w:val="continuous"/>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5 -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Not applicable.</w:t>
            </w:r>
          </w:p>
        </w:tc>
      </w:tr>
      <w:tr>
        <w:trPr>
          <w:trHeight w:val="281"/>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6 -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Consent of Bankers Trust Company required by Section 321(b) of the Act, incorporated herein by reference to Exhibit 6 filed with Form T-1 Statement, Registration</w:t>
            </w:r>
          </w:p>
        </w:tc>
      </w:tr>
      <w:tr>
        <w:trPr>
          <w:trHeight w:val="159"/>
        </w:trPr>
        <w:tc>
          <w:tcPr>
            <w:tcW w:w="2200" w:type="dxa"/>
            <w:vAlign w:val="bottom"/>
          </w:tcPr>
          <w:p>
            <w:pPr>
              <w:spacing w:after="0"/>
              <w:rPr>
                <w:sz w:val="13"/>
                <w:szCs w:val="13"/>
                <w:color w:val="auto"/>
              </w:rPr>
            </w:pP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No. 333-201810.</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7 -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 copy of the latest report of condition of the trustee published pursuant to law or the requirements of its supervising or examining authority.</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8 -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Not Applicable.</w:t>
            </w:r>
          </w:p>
        </w:tc>
      </w:tr>
      <w:tr>
        <w:trPr>
          <w:trHeight w:val="293"/>
        </w:trPr>
        <w:tc>
          <w:tcPr>
            <w:tcW w:w="220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Exhibit 9 -</w:t>
            </w:r>
          </w:p>
        </w:tc>
        <w:tc>
          <w:tcPr>
            <w:tcW w:w="910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Not Applicable.</w:t>
            </w:r>
          </w:p>
        </w:tc>
      </w:tr>
      <w:tr>
        <w:trPr>
          <w:trHeight w:val="458"/>
        </w:trPr>
        <w:tc>
          <w:tcPr>
            <w:tcW w:w="22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4" w:right="29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7" w:lineRule="exact"/>
        <w:rPr>
          <w:sz w:val="20"/>
          <w:szCs w:val="20"/>
          <w:color w:val="auto"/>
        </w:rPr>
      </w:pPr>
    </w:p>
    <w:p>
      <w:pPr>
        <w:ind w:firstLine="439"/>
        <w:spacing w:after="0" w:line="290" w:lineRule="auto"/>
        <w:rPr>
          <w:sz w:val="20"/>
          <w:szCs w:val="20"/>
          <w:color w:val="auto"/>
        </w:rPr>
      </w:pPr>
      <w:r>
        <w:rPr>
          <w:rFonts w:ascii="Times New Roman" w:cs="Times New Roman" w:eastAsia="Times New Roman" w:hAnsi="Times New Roman"/>
          <w:sz w:val="12"/>
          <w:szCs w:val="12"/>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day of June, 2022.</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DEUTSCHE BANK TRUST COMPANY AMERICAS</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 Jacqueline Bartnick</w:t>
      </w:r>
    </w:p>
    <w:p>
      <w:pPr>
        <w:spacing w:after="0" w:line="21" w:lineRule="exact"/>
        <w:rPr>
          <w:sz w:val="20"/>
          <w:szCs w:val="20"/>
          <w:color w:val="auto"/>
        </w:rPr>
      </w:pPr>
    </w:p>
    <w:p>
      <w:pPr>
        <w:ind w:left="5380"/>
        <w:spacing w:after="0"/>
        <w:tabs>
          <w:tab w:leader="none" w:pos="57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Name: Jacqueline Bartnick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-86360</wp:posOffset>
            </wp:positionV>
            <wp:extent cx="358521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3585210" cy="571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2"/>
          <w:szCs w:val="1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296545</wp:posOffset>
            </wp:positionV>
            <wp:extent cx="717677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BY-LAWS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DEUTSCHE BANK TRUST COMPANY AMERICAS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STOCKHOLDERS</w:t>
      </w:r>
    </w:p>
    <w:p>
      <w:pPr>
        <w:spacing w:after="0" w:line="15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Annual Meeting</w:t>
      </w:r>
      <w:r>
        <w:rPr>
          <w:rFonts w:ascii="Times New Roman" w:cs="Times New Roman" w:eastAsia="Times New Roman" w:hAnsi="Times New Roman"/>
          <w:sz w:val="12"/>
          <w:szCs w:val="12"/>
          <w:color w:val="auto"/>
        </w:rPr>
        <w:t>. The annual meeting of the stockholders of Deutsche Bank Trust Company Americas (the “Company”) shall be held in the City of New York within the State of New York within the first four months of the Company’s fiscal year, on such date and at such time and place as the board of directors of the Company (“Board of Directors” or “Board”) may designate in the call or in a waiver of notice thereof, for the purpose of electing directors and for the transaction of such other business as may properly be brought before the meeting.</w:t>
      </w:r>
    </w:p>
    <w:p>
      <w:pPr>
        <w:spacing w:after="0" w:line="117" w:lineRule="exact"/>
        <w:rPr>
          <w:sz w:val="20"/>
          <w:szCs w:val="20"/>
          <w:color w:val="auto"/>
        </w:rPr>
      </w:pPr>
    </w:p>
    <w:p>
      <w:pPr>
        <w:jc w:val="both"/>
        <w:ind w:firstLine="879"/>
        <w:spacing w:after="0" w:line="261" w:lineRule="auto"/>
        <w:rPr>
          <w:sz w:val="20"/>
          <w:szCs w:val="20"/>
          <w:color w:val="auto"/>
        </w:rPr>
      </w:pP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Special Meetings</w:t>
      </w:r>
      <w:r>
        <w:rPr>
          <w:rFonts w:ascii="Times New Roman" w:cs="Times New Roman" w:eastAsia="Times New Roman" w:hAnsi="Times New Roman"/>
          <w:sz w:val="12"/>
          <w:szCs w:val="12"/>
          <w:color w:val="auto"/>
        </w:rPr>
        <w:t>. Special meetings of the stockholders of the Company may be called by the Board of Directors or by the President, and shall be called by the President or by the Secretary upon the written request of the holders of record of at least twenty-five percent (25%) of the shares of stock of the Company issued and outstanding and entitled to vote, at such times. If for a period of thirteen months after the last annual meeting, there is a failure to elect a sufficient number of directors to conduct the business of the Company, the Board of Directors shall call a special meeting for the election of directors within two weeks after the expiration of such period; otherwise, holders of record of ten percent (10%) of the shares of stock of the Company entitled to vote in an election of directors may, in writing, demand the call of a special meeting at the office of the Company for the election of directors, specifying the date and month thereof, but not less than two nor more than three months from the date of such call. At any such special meeting called on demand of stockholders, the stockholders attending, in person or by proxy, and entitled to vote in an election of directors shall constitute a quorum for the purpose of electing directors, but not for the transaction of any other business.</w:t>
      </w:r>
    </w:p>
    <w:p>
      <w:pPr>
        <w:spacing w:after="0" w:line="125" w:lineRule="exact"/>
        <w:rPr>
          <w:sz w:val="20"/>
          <w:szCs w:val="20"/>
          <w:color w:val="auto"/>
        </w:rPr>
      </w:pPr>
    </w:p>
    <w:p>
      <w:pPr>
        <w:jc w:val="both"/>
        <w:ind w:firstLine="879"/>
        <w:spacing w:after="0" w:line="266" w:lineRule="auto"/>
        <w:rPr>
          <w:sz w:val="20"/>
          <w:szCs w:val="20"/>
          <w:color w:val="auto"/>
        </w:rPr>
      </w:pP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Notice of Meetings</w:t>
      </w:r>
      <w:r>
        <w:rPr>
          <w:rFonts w:ascii="Times New Roman" w:cs="Times New Roman" w:eastAsia="Times New Roman" w:hAnsi="Times New Roman"/>
          <w:sz w:val="12"/>
          <w:szCs w:val="12"/>
          <w:color w:val="auto"/>
        </w:rPr>
        <w:t>. Notice of the time, place and purpose of every meeting of stockholders shall be delivered personally or mailed not less than 10 nor more than 50 days before the date of such meeting (or any other action) to each stockholder of record entitled to vote, at his post office address appearing upon the records of the Company or at such other address as shall be furnished in writing by him to the Secretary of the Company for such purpose. Such further notice shall be given as may be required by law or by these By-Laws. Any meeting may be held without notice if all stockholders entitled to vote are present in person or by proxy, or if notice is waived in writing, either before or after the meeting, by those not present.</w:t>
      </w:r>
    </w:p>
    <w:p>
      <w:pPr>
        <w:spacing w:after="0" w:line="120"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Quorum</w:t>
      </w:r>
      <w:r>
        <w:rPr>
          <w:rFonts w:ascii="Times New Roman" w:cs="Times New Roman" w:eastAsia="Times New Roman" w:hAnsi="Times New Roman"/>
          <w:sz w:val="12"/>
          <w:szCs w:val="12"/>
          <w:color w:val="auto"/>
        </w:rPr>
        <w:t>. The holders of record of at least a majority of the shares of the stock of the Company issued and outstanding and entitled to vote, present in person or by proxy, shall, except as otherwise provided by law, by the Company’s Organization Certificate or by these By-Laws, constitute a quorum at all meetings of the stockholders; if there be no such quorum, the holders of a majority of such shares so present or represented may adjourn the meeting from time to time until a quorum shall have been obtained.</w:t>
      </w:r>
    </w:p>
    <w:p>
      <w:pPr>
        <w:spacing w:after="0" w:line="117" w:lineRule="exact"/>
        <w:rPr>
          <w:sz w:val="20"/>
          <w:szCs w:val="20"/>
          <w:color w:val="auto"/>
        </w:rPr>
      </w:pPr>
    </w:p>
    <w:p>
      <w:pPr>
        <w:jc w:val="both"/>
        <w:ind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1.05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Organization of Meetings</w:t>
      </w:r>
      <w:r>
        <w:rPr>
          <w:rFonts w:ascii="Times New Roman" w:cs="Times New Roman" w:eastAsia="Times New Roman" w:hAnsi="Times New Roman"/>
          <w:sz w:val="12"/>
          <w:szCs w:val="12"/>
          <w:color w:val="auto"/>
        </w:rPr>
        <w:t>. Meetings of the stockholders shall be presided over by the Chairman of the Board or, if he is not present, by the President or, if he is not present, by a chairman to be chosen at the meeting. The Secretary of the Company, or in his absence an Assistant Secretary, shall act as secretary of the meeting, if present.</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bookmarkStart w:id="158" w:name="page159"/>
    <w:bookmarkEnd w:id="158"/>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1.06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Voting</w:t>
      </w:r>
      <w:r>
        <w:rPr>
          <w:rFonts w:ascii="Times New Roman" w:cs="Times New Roman" w:eastAsia="Times New Roman" w:hAnsi="Times New Roman"/>
          <w:sz w:val="12"/>
          <w:szCs w:val="12"/>
          <w:color w:val="auto"/>
        </w:rPr>
        <w:t>. At each meeting of stockholders, except as otherwise provided by statute, the Company’s Organization Certificate or these By-Laws, every holder of record of stock entitled to vote shall be entitled to one vote in person or by proxy for each share of such stock standing in his name on the records of the Company. Elections of directors shall be determined by a plurality of the votes cast thereat and, except as otherwise provided by statute, the Company’s Organization Certificate or these By-Laws, all other action shall be determined by a majority of the votes cast at such meeting.</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At all elections of directors, the voting shall be by ballot or in such other manner as may be determined by the stockholders present in person or by proxy entitled to vote at such election.</w:t>
      </w:r>
    </w:p>
    <w:p>
      <w:pPr>
        <w:spacing w:after="0" w:line="15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1.07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Action by Consent</w:t>
      </w:r>
      <w:r>
        <w:rPr>
          <w:rFonts w:ascii="Times New Roman" w:cs="Times New Roman" w:eastAsia="Times New Roman" w:hAnsi="Times New Roman"/>
          <w:sz w:val="12"/>
          <w:szCs w:val="12"/>
          <w:color w:val="auto"/>
        </w:rPr>
        <w:t>. Except as may otherwise be provided in the Company’s Organization Certificate, any action required or permitted to be taken at any meeting of stockholders may be taken without a meeting, without prior notice and without a vote if, prior to such action, a written consent or consents thereto, setting forth such action, is signed by all the holders of record of shares of the stock of the Company, issued and outstanding and entitled to vote thereon, having not less than the minimum number of votes that would be necessary to authorize or take such action at a meeting at which all shares entitled to vote thereon were present and voted.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DIRECTORS</w:t>
      </w:r>
    </w:p>
    <w:p>
      <w:pPr>
        <w:spacing w:after="0" w:line="155"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2.01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Chairman of the Board</w:t>
      </w:r>
      <w:r>
        <w:rPr>
          <w:rFonts w:ascii="Times New Roman" w:cs="Times New Roman" w:eastAsia="Times New Roman" w:hAnsi="Times New Roman"/>
          <w:sz w:val="12"/>
          <w:szCs w:val="12"/>
          <w:color w:val="auto"/>
        </w:rPr>
        <w:t>. Following the election of the Board of Directors at each annual meeting, the elected Board shall appoint one of its members as Chairman. The Chairman of the Board shall preside at all meetings of the Board of Directors and of the stockholders, and he shall perform such other duties and have such other powers as from time to time may be prescribed by the Board of Directors.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u w:val="single" w:color="auto"/>
          <w:color w:val="auto"/>
        </w:rPr>
        <w:t>Section 2.02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Lead Independent Director</w:t>
      </w:r>
      <w:r>
        <w:rPr>
          <w:rFonts w:ascii="Times New Roman" w:cs="Times New Roman" w:eastAsia="Times New Roman" w:hAnsi="Times New Roman"/>
          <w:sz w:val="12"/>
          <w:szCs w:val="12"/>
          <w:color w:val="auto"/>
        </w:rPr>
        <w:t>. Following the election of the Board of Directors at each annual meeting, the elected Board may appoint one of its independent members as its Lead Independent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When the Chairman of the Board is not present at a meeting of the Board of Directors, the Lead Independent Director, if there be one, shall preside.</w:t>
      </w:r>
    </w:p>
    <w:p>
      <w:pPr>
        <w:spacing w:after="0" w:line="143"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2.03</w:t>
      </w:r>
      <w:r>
        <w:rPr>
          <w:rFonts w:ascii="Times New Roman" w:cs="Times New Roman" w:eastAsia="Times New Roman" w:hAnsi="Times New Roman"/>
          <w:sz w:val="12"/>
          <w:szCs w:val="12"/>
          <w:color w:val="auto"/>
        </w:rPr>
        <w:t>. Director Emeritu</w:t>
      </w:r>
      <w:r>
        <w:rPr>
          <w:rFonts w:ascii="Times New Roman" w:cs="Times New Roman" w:eastAsia="Times New Roman" w:hAnsi="Times New Roman"/>
          <w:sz w:val="12"/>
          <w:szCs w:val="12"/>
          <w:u w:val="single" w:color="auto"/>
          <w:color w:val="auto"/>
        </w:rPr>
        <w:t>s</w:t>
      </w:r>
      <w:r>
        <w:rPr>
          <w:rFonts w:ascii="Times New Roman" w:cs="Times New Roman" w:eastAsia="Times New Roman" w:hAnsi="Times New Roman"/>
          <w:sz w:val="12"/>
          <w:szCs w:val="12"/>
          <w:color w:val="auto"/>
        </w:rPr>
        <w:t>. The Board of Directors may from time to time elect one or more Directors Emeritus. Each Director Emeritus shall be elected for a term expiring on the date of the regular meeting of the Board of Directors following the next annual meeting. No Director Emeritus shall be considered a "director" for purposes of these By-Laws or for any other purpose.</w:t>
      </w:r>
    </w:p>
    <w:p>
      <w:pPr>
        <w:spacing w:after="0" w:line="106"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2.04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Powers, Number, Quorum, Term, Vacancies, Removal</w:t>
      </w:r>
      <w:r>
        <w:rPr>
          <w:rFonts w:ascii="Times New Roman" w:cs="Times New Roman" w:eastAsia="Times New Roman" w:hAnsi="Times New Roman"/>
          <w:sz w:val="12"/>
          <w:szCs w:val="12"/>
          <w:color w:val="auto"/>
        </w:rPr>
        <w:t>. The business and affairs of the Company shall be managed by or under the direction of the Board of Directors which may exercise all such powers of the Company and do all such lawful acts and things as are not by statute or by the Company’s Organization Certificate or by these By-Laws required to be exercised or done by the stockholders.</w:t>
      </w:r>
    </w:p>
    <w:p>
      <w:pPr>
        <w:spacing w:after="0" w:line="106"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color w:val="auto"/>
        </w:rPr>
        <w:t>The number of directors may be changed by a resolution passed by a majority of the members of the Board of Directors or by a vote of the holders of record of at least a majority of the shares of stock of the Company issued and outstanding and entitled to vote, but at all times the Board of Directors must consist of not less than seven nor more than thirty directors. No more than one-third of the directors shall be active officers or employees of the Company. At least one-half of the directors must be citizens of the United States at the time of their election and during their continuance in office.</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59" w:name="page160"/>
    <w:bookmarkEnd w:id="159"/>
    <w:p>
      <w:pPr>
        <w:jc w:val="both"/>
        <w:ind w:firstLine="879"/>
        <w:spacing w:after="0" w:line="261" w:lineRule="auto"/>
        <w:rPr>
          <w:sz w:val="20"/>
          <w:szCs w:val="20"/>
          <w:color w:val="auto"/>
        </w:rPr>
      </w:pPr>
      <w:r>
        <w:rPr>
          <w:rFonts w:ascii="Times New Roman" w:cs="Times New Roman" w:eastAsia="Times New Roman" w:hAnsi="Times New Roman"/>
          <w:sz w:val="12"/>
          <w:szCs w:val="12"/>
          <w:color w:val="auto"/>
        </w:rPr>
        <w:t>Except as otherwise required by law, rule or regulation, or by the Company’s Organization Certificate,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Any one or more members of the Board may participate in a meeting of the Board by means of a conference telephone or video, or other similar communications equipment allowing all persons participating in the meeting to hear each other at the same time. Participation by such means shall constitute presence in person at a meeting. Whether or not a quorum shall be present at any meeting of the Board of Directors or a committee thereof, a majority of the directors present thereat may adjourn the meeting from time to time; notice of the adjourned meeting shall be given to the directors who were not present at the time of the adjournment, but if the time and place of the adjourned meeting are announced, no additional notice shall be required to be given to the directors present at the time of adjournment.</w:t>
      </w:r>
    </w:p>
    <w:p>
      <w:pPr>
        <w:spacing w:after="0" w:line="125"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color w:val="auto"/>
        </w:rPr>
        <w:t>Directors shall hold office until the next annual election and until their successors shall have been elected and shall have qualified. Director vacancies not exceeding one-third of the whole number of the Board of Directors may be filled by the affirmative vote of a majority of the directors then in office, and the directors so elected shall hold office for the balance of the unexpired term.</w:t>
      </w:r>
    </w:p>
    <w:p>
      <w:pPr>
        <w:spacing w:after="0" w:line="106"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color w:val="auto"/>
        </w:rPr>
        <w:t>Any one or more of the directors of the Company may be removed either with or without cause at any time by a vote of the holders of record of at least a majority of the shares of stock of the Company, issued and outstanding and entitled to vote, and thereupon the term of the director or directors who shall have been so removed shall forthwith terminate and there shall be a vacancy or vacancies in the Board of Directors, to be filled by a vote of the stockholders as provided in these By-Laws.</w:t>
      </w:r>
    </w:p>
    <w:p>
      <w:pPr>
        <w:spacing w:after="0" w:line="117" w:lineRule="exact"/>
        <w:rPr>
          <w:sz w:val="20"/>
          <w:szCs w:val="20"/>
          <w:color w:val="auto"/>
        </w:rPr>
      </w:pPr>
    </w:p>
    <w:p>
      <w:pPr>
        <w:jc w:val="both"/>
        <w:ind w:firstLine="879"/>
        <w:spacing w:after="0" w:line="266" w:lineRule="auto"/>
        <w:rPr>
          <w:sz w:val="20"/>
          <w:szCs w:val="20"/>
          <w:color w:val="auto"/>
        </w:rPr>
      </w:pPr>
      <w:r>
        <w:rPr>
          <w:rFonts w:ascii="Times New Roman" w:cs="Times New Roman" w:eastAsia="Times New Roman" w:hAnsi="Times New Roman"/>
          <w:sz w:val="12"/>
          <w:szCs w:val="12"/>
          <w:u w:val="single" w:color="auto"/>
          <w:color w:val="auto"/>
        </w:rPr>
        <w:t>Section 2.05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Meetings, Notice</w:t>
      </w:r>
      <w:r>
        <w:rPr>
          <w:rFonts w:ascii="Times New Roman" w:cs="Times New Roman" w:eastAsia="Times New Roman" w:hAnsi="Times New Roman"/>
          <w:sz w:val="12"/>
          <w:szCs w:val="12"/>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and its Executive Committee shall be held as often as may be required under applicable law, and special meetings may be held at any time upon the call of two directors, the Chairman of the Board or the President, by oral, telegraphic or written notice duly served on or sent or mailed to each director not less than two days before such meeting. Any meeting may be held without notice, if all directors are present, or if notice is waived in writing, either before or after the meeting, by those not present.</w:t>
      </w:r>
    </w:p>
    <w:p>
      <w:pPr>
        <w:spacing w:after="0" w:line="120"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2.06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Compensation</w:t>
      </w:r>
      <w:r>
        <w:rPr>
          <w:rFonts w:ascii="Times New Roman" w:cs="Times New Roman" w:eastAsia="Times New Roman" w:hAnsi="Times New Roman"/>
          <w:sz w:val="12"/>
          <w:szCs w:val="12"/>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The Board of Directors shall also have power, in its discretion, to provide for and pay to directors rendering services to the Company not ordinarily rendered by directors, as such, special compensation appropriate to the value of such services, as determined by the Board from time to time.</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60" w:name="page161"/>
    <w:bookmarkEnd w:id="160"/>
    <w:p>
      <w:pPr>
        <w:jc w:val="center"/>
        <w:ind w:right="-6"/>
        <w:spacing w:after="0"/>
        <w:rPr>
          <w:sz w:val="20"/>
          <w:szCs w:val="20"/>
          <w:color w:val="auto"/>
        </w:rPr>
      </w:pPr>
      <w:r>
        <w:rPr>
          <w:rFonts w:ascii="Times New Roman" w:cs="Times New Roman" w:eastAsia="Times New Roman" w:hAnsi="Times New Roman"/>
          <w:sz w:val="12"/>
          <w:szCs w:val="12"/>
          <w:u w:val="single" w:color="auto"/>
          <w:color w:val="auto"/>
        </w:rPr>
        <w:t>ARTICLE III</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u w:val="single" w:color="auto"/>
          <w:color w:val="auto"/>
        </w:rPr>
        <w:t>COMMITTEES</w:t>
      </w:r>
    </w:p>
    <w:p>
      <w:pPr>
        <w:spacing w:after="0" w:line="155" w:lineRule="exact"/>
        <w:rPr>
          <w:sz w:val="20"/>
          <w:szCs w:val="20"/>
          <w:color w:val="auto"/>
        </w:rPr>
      </w:pPr>
    </w:p>
    <w:p>
      <w:pPr>
        <w:jc w:val="both"/>
        <w:ind w:left="7"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3.01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Executive Committee</w:t>
      </w:r>
      <w:r>
        <w:rPr>
          <w:rFonts w:ascii="Times New Roman" w:cs="Times New Roman" w:eastAsia="Times New Roman" w:hAnsi="Times New Roman"/>
          <w:sz w:val="12"/>
          <w:szCs w:val="12"/>
          <w:color w:val="auto"/>
        </w:rPr>
        <w:t>. There shall be an Executive Committee of the Board who shall be appointed annually by resolution adopted by the majority of the entire Board of Directors. The Chairman of the Board shall preside at meetings of the Executive Committee. In his absence, the Chief Executive Officer or, in his absence, the President or any Co-President or, in their absence, such other member of the Executive Committee as the Executive Committee from time to time may designate shall preside at such meetings.</w:t>
      </w:r>
    </w:p>
    <w:p>
      <w:pPr>
        <w:spacing w:after="0" w:line="117" w:lineRule="exact"/>
        <w:rPr>
          <w:sz w:val="20"/>
          <w:szCs w:val="20"/>
          <w:color w:val="auto"/>
        </w:rPr>
      </w:pPr>
    </w:p>
    <w:p>
      <w:pPr>
        <w:jc w:val="both"/>
        <w:ind w:left="7"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3.02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Audit and Fiduciary Committee</w:t>
      </w:r>
      <w:r>
        <w:rPr>
          <w:rFonts w:ascii="Times New Roman" w:cs="Times New Roman" w:eastAsia="Times New Roman" w:hAnsi="Times New Roman"/>
          <w:sz w:val="12"/>
          <w:szCs w:val="12"/>
          <w:color w:val="auto"/>
        </w:rPr>
        <w:t>. There shall be an Audit and Fiduciary Committee appointed annually by resolution adopted by a majority of the entire Board of Directors which shall consist of such number of independent directors, as may from time to time be fixed by the Audit and Fiduciary Committee charter adopted by the Board of Directors.</w:t>
      </w:r>
    </w:p>
    <w:p>
      <w:pPr>
        <w:spacing w:after="0" w:line="106" w:lineRule="exact"/>
        <w:rPr>
          <w:sz w:val="20"/>
          <w:szCs w:val="20"/>
          <w:color w:val="auto"/>
        </w:rPr>
      </w:pPr>
    </w:p>
    <w:p>
      <w:pPr>
        <w:jc w:val="both"/>
        <w:ind w:left="7"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3.03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Other Committees</w:t>
      </w:r>
      <w:r>
        <w:rPr>
          <w:rFonts w:ascii="Times New Roman" w:cs="Times New Roman" w:eastAsia="Times New Roman" w:hAnsi="Times New Roman"/>
          <w:sz w:val="12"/>
          <w:szCs w:val="12"/>
          <w:color w:val="auto"/>
        </w:rPr>
        <w:t>. The Board of Directors shall have the power to appoint any other Committees as may seem necessary, and from time to time to suspend or continue the powers and duties of such Committees. Each Committee appointed pursuant to this Article shall serve at the pleasure of the Board of Directors.</w:t>
      </w:r>
    </w:p>
    <w:p>
      <w:pPr>
        <w:spacing w:after="0" w:line="106"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u w:val="single" w:color="auto"/>
          <w:color w:val="auto"/>
        </w:rPr>
        <w:t>Section 3.04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Limitations.</w:t>
      </w:r>
      <w:r>
        <w:rPr>
          <w:rFonts w:ascii="Times New Roman" w:cs="Times New Roman" w:eastAsia="Times New Roman" w:hAnsi="Times New Roman"/>
          <w:sz w:val="12"/>
          <w:szCs w:val="12"/>
          <w:color w:val="auto"/>
        </w:rPr>
        <w:t xml:space="preserve"> No committee shall have the authority as to the following matters: (i) the submission to stockholders of any action that needs stockholders' authorization under New York Banking Law;</w:t>
      </w:r>
    </w:p>
    <w:p>
      <w:pPr>
        <w:spacing w:after="0" w:line="21" w:lineRule="exact"/>
        <w:rPr>
          <w:sz w:val="20"/>
          <w:szCs w:val="20"/>
          <w:color w:val="auto"/>
        </w:rPr>
      </w:pPr>
    </w:p>
    <w:p>
      <w:pPr>
        <w:jc w:val="both"/>
        <w:ind w:left="7" w:right="20" w:hanging="7"/>
        <w:spacing w:after="0" w:line="261" w:lineRule="auto"/>
        <w:tabs>
          <w:tab w:leader="none" w:pos="19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filling of vacancies in the Board of Directors or in any such committee; (iii) the fixing of compensation of the directors for serving on the Board of Directors or on any committee; (iv) the amendment or repeal of these By-Laws, or the adoption of new by-laws; (v) the amendment or repeal of any resolution of the Board of Directors which by its terms shall not be so amendable or repealable; or (vi) the taking of action which is expressly required by any provision of New York Banking Law to be taken at a meeting of the Board of Directors or by a specified proportion of the directors.</w:t>
      </w:r>
    </w:p>
    <w:p>
      <w:pPr>
        <w:spacing w:after="0" w:line="1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u w:val="single" w:color="auto"/>
          <w:color w:val="auto"/>
        </w:rPr>
        <w:t>ARTICLE IV</w:t>
      </w:r>
    </w:p>
    <w:p>
      <w:pPr>
        <w:spacing w:after="0" w:line="15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u w:val="single" w:color="auto"/>
          <w:color w:val="auto"/>
        </w:rPr>
        <w:t>OFFICERS</w:t>
      </w:r>
    </w:p>
    <w:p>
      <w:pPr>
        <w:spacing w:after="0" w:line="155" w:lineRule="exact"/>
        <w:rPr>
          <w:sz w:val="20"/>
          <w:szCs w:val="20"/>
          <w:color w:val="auto"/>
        </w:rPr>
      </w:pPr>
    </w:p>
    <w:p>
      <w:pPr>
        <w:jc w:val="both"/>
        <w:ind w:left="7" w:firstLine="879"/>
        <w:spacing w:after="0" w:line="269" w:lineRule="auto"/>
        <w:rPr>
          <w:sz w:val="20"/>
          <w:szCs w:val="20"/>
          <w:color w:val="auto"/>
        </w:rPr>
      </w:pPr>
      <w:r>
        <w:rPr>
          <w:rFonts w:ascii="Times New Roman" w:cs="Times New Roman" w:eastAsia="Times New Roman" w:hAnsi="Times New Roman"/>
          <w:sz w:val="12"/>
          <w:szCs w:val="12"/>
          <w:u w:val="single" w:color="auto"/>
          <w:color w:val="auto"/>
        </w:rPr>
        <w:t>Section 4.01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Titles and Election</w:t>
      </w:r>
      <w:r>
        <w:rPr>
          <w:rFonts w:ascii="Times New Roman" w:cs="Times New Roman" w:eastAsia="Times New Roman" w:hAnsi="Times New Roman"/>
          <w:sz w:val="12"/>
          <w:szCs w:val="12"/>
          <w:color w:val="auto"/>
        </w:rPr>
        <w:t>. The officers of the Company, who shall be chosen by the Board of Directors within twenty-five days after each annual meeting of stockholders, shall be a President, Chief Executive Officer, Chief Risk Officer, Chief Financial Officer, Treasurer, Secretary, and a General Auditor. The Board of Directors from time to time may elect one or more Managing Directors, Directors, Vice Presidents, Assistant Secretaries, Assistant Treasurers and such other officers and agents as it shall deem necessary, and may define their powers and duties. Any number of offices may be held by the same person, except the offices of President and Secretary.</w:t>
      </w:r>
    </w:p>
    <w:p>
      <w:pPr>
        <w:spacing w:after="0" w:line="26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u w:val="single" w:color="auto"/>
          <w:color w:val="auto"/>
        </w:rPr>
        <w:t>Section 4.02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Terms of Office</w:t>
      </w:r>
      <w:r>
        <w:rPr>
          <w:rFonts w:ascii="Times New Roman" w:cs="Times New Roman" w:eastAsia="Times New Roman" w:hAnsi="Times New Roman"/>
          <w:sz w:val="12"/>
          <w:szCs w:val="12"/>
          <w:color w:val="auto"/>
        </w:rPr>
        <w:t>. Each officer shall hold office for the term for which he is elected or appointed, and until his successor has been elected or appointed and qualified.</w:t>
      </w:r>
    </w:p>
    <w:p>
      <w:pPr>
        <w:spacing w:after="0" w:line="15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u w:val="single" w:color="auto"/>
          <w:color w:val="auto"/>
        </w:rPr>
        <w:t>Section 4.03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Removal</w:t>
      </w:r>
      <w:r>
        <w:rPr>
          <w:rFonts w:ascii="Times New Roman" w:cs="Times New Roman" w:eastAsia="Times New Roman" w:hAnsi="Times New Roman"/>
          <w:sz w:val="12"/>
          <w:szCs w:val="12"/>
          <w:color w:val="auto"/>
        </w:rPr>
        <w:t>. Any officer may be removed, either with or without cause, at any time, by the affirmative vote of a majority of the Board of Directors.</w:t>
      </w:r>
    </w:p>
    <w:p>
      <w:pPr>
        <w:spacing w:after="0" w:line="155" w:lineRule="exact"/>
        <w:rPr>
          <w:sz w:val="20"/>
          <w:szCs w:val="20"/>
          <w:color w:val="auto"/>
        </w:rPr>
      </w:pPr>
    </w:p>
    <w:p>
      <w:pPr>
        <w:jc w:val="both"/>
        <w:ind w:left="7"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4.04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Resignations</w:t>
      </w:r>
      <w:r>
        <w:rPr>
          <w:rFonts w:ascii="Times New Roman" w:cs="Times New Roman" w:eastAsia="Times New Roman" w:hAnsi="Times New Roman"/>
          <w:sz w:val="12"/>
          <w:szCs w:val="12"/>
          <w:color w:val="auto"/>
        </w:rPr>
        <w:t>. Any officer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06" w:lineRule="exact"/>
        <w:rPr>
          <w:sz w:val="20"/>
          <w:szCs w:val="20"/>
          <w:color w:val="auto"/>
        </w:rPr>
      </w:pPr>
    </w:p>
    <w:p>
      <w:pPr>
        <w:jc w:val="both"/>
        <w:ind w:left="7"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4.05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Vacancies</w:t>
      </w:r>
      <w:r>
        <w:rPr>
          <w:rFonts w:ascii="Times New Roman" w:cs="Times New Roman" w:eastAsia="Times New Roman" w:hAnsi="Times New Roman"/>
          <w:sz w:val="12"/>
          <w:szCs w:val="12"/>
          <w:color w:val="auto"/>
        </w:rPr>
        <w:t>. If the office of any officer or agent becomes vacant by reason of death, resignation, retirement, disqualification, removal from office or otherwise, the Board of Directors may choose a successor, who shall hold office for the unexpired term in respect of which such vacancy occurred.</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61" w:name="page162"/>
    <w:bookmarkEnd w:id="161"/>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4.06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President</w:t>
      </w:r>
      <w:r>
        <w:rPr>
          <w:rFonts w:ascii="Times New Roman" w:cs="Times New Roman" w:eastAsia="Times New Roman" w:hAnsi="Times New Roman"/>
          <w:sz w:val="12"/>
          <w:szCs w:val="12"/>
          <w:color w:val="auto"/>
        </w:rPr>
        <w:t>. The President shall have general authority to exercise all the powers necessary for the President of the Company. In the absence of the Chairman and the Lead Independent Director, the President shall preside at all meetings of the Board of Directors and of the stockholders. The President shall have the power to execute bonds, mortgages and other contracts, agreements and instruments of the Company, and he shall perform such other duties and have such other powers as may be incident to the office of the president of a corporation and as from time to time may otherwise be prescribed by the Board of Directors.</w:t>
      </w:r>
    </w:p>
    <w:p>
      <w:pPr>
        <w:spacing w:after="0" w:line="117" w:lineRule="exact"/>
        <w:rPr>
          <w:sz w:val="20"/>
          <w:szCs w:val="20"/>
          <w:color w:val="auto"/>
        </w:rPr>
      </w:pPr>
    </w:p>
    <w:p>
      <w:pPr>
        <w:jc w:val="both"/>
        <w:ind w:firstLine="879"/>
        <w:spacing w:after="0" w:line="263" w:lineRule="auto"/>
        <w:rPr>
          <w:sz w:val="20"/>
          <w:szCs w:val="20"/>
          <w:color w:val="auto"/>
        </w:rPr>
      </w:pPr>
      <w:r>
        <w:rPr>
          <w:rFonts w:ascii="Times New Roman" w:cs="Times New Roman" w:eastAsia="Times New Roman" w:hAnsi="Times New Roman"/>
          <w:sz w:val="12"/>
          <w:szCs w:val="12"/>
          <w:u w:val="single" w:color="auto"/>
          <w:color w:val="auto"/>
        </w:rPr>
        <w:t>Section 4.07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Chief Executive Officer</w:t>
      </w:r>
      <w:r>
        <w:rPr>
          <w:rFonts w:ascii="Times New Roman" w:cs="Times New Roman" w:eastAsia="Times New Roman" w:hAnsi="Times New Roman"/>
          <w:sz w:val="12"/>
          <w:szCs w:val="12"/>
          <w:color w:val="auto"/>
        </w:rPr>
        <w:t>. Unless otherwise determined by the Board of Directors, the President shall be the Chief Executive Officer of the Company. The Chief Executive Officer shall exercise the powers and perform the duties usual to the chief executive officer and, subject to the control of the Board of Directors, shall have general management and control of the affairs and business of the Company; he shall appoint and discharge employees and agents of the Company (other than officers elected by the Board of Directors); he shall see that all orders and resolutions of the Board of Directors are carried into effect; he shall have the power to execute bonds, mortgages and other contracts, agreements and instruments of the Company, and he shall perform such other duties and have such other powers as may be incident to the office of the chief executive officer of a corporation and as from time to time may otherwise be prescribed by the Board of Directors.</w:t>
      </w:r>
    </w:p>
    <w:p>
      <w:pPr>
        <w:spacing w:after="0" w:line="122" w:lineRule="exact"/>
        <w:rPr>
          <w:sz w:val="20"/>
          <w:szCs w:val="20"/>
          <w:color w:val="auto"/>
        </w:rPr>
      </w:pPr>
    </w:p>
    <w:p>
      <w:pPr>
        <w:jc w:val="both"/>
        <w:ind w:right="20"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4.08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Chief Risk Officer</w:t>
      </w:r>
      <w:r>
        <w:rPr>
          <w:rFonts w:ascii="Times New Roman" w:cs="Times New Roman" w:eastAsia="Times New Roman" w:hAnsi="Times New Roman"/>
          <w:sz w:val="12"/>
          <w:szCs w:val="12"/>
          <w:color w:val="auto"/>
        </w:rPr>
        <w:t>. The Chief Risk Officer shall have the responsibility for the risk management and monitoring of the Company. The Chief Risk Officer shall have the power to execute bonds, notes, mortgages and other contracts, agreements and instruments of the Company, and he shall perform such other duties and have such other powers as may be incident to his office and as from time to time may otherwise be prescribed by the Board of Directors.</w:t>
      </w:r>
    </w:p>
    <w:p>
      <w:pPr>
        <w:spacing w:after="0" w:line="117" w:lineRule="exact"/>
        <w:rPr>
          <w:sz w:val="20"/>
          <w:szCs w:val="20"/>
          <w:color w:val="auto"/>
        </w:rPr>
      </w:pPr>
    </w:p>
    <w:p>
      <w:pPr>
        <w:jc w:val="both"/>
        <w:ind w:firstLine="879"/>
        <w:spacing w:after="0" w:line="283" w:lineRule="auto"/>
        <w:rPr>
          <w:sz w:val="20"/>
          <w:szCs w:val="20"/>
          <w:color w:val="auto"/>
        </w:rPr>
      </w:pPr>
      <w:r>
        <w:rPr>
          <w:rFonts w:ascii="Times New Roman" w:cs="Times New Roman" w:eastAsia="Times New Roman" w:hAnsi="Times New Roman"/>
          <w:sz w:val="12"/>
          <w:szCs w:val="12"/>
          <w:u w:val="single" w:color="auto"/>
          <w:color w:val="auto"/>
        </w:rPr>
        <w:t>Section 4.09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Chief Financial Officer</w:t>
      </w:r>
      <w:r>
        <w:rPr>
          <w:rFonts w:ascii="Times New Roman" w:cs="Times New Roman" w:eastAsia="Times New Roman" w:hAnsi="Times New Roman"/>
          <w:sz w:val="12"/>
          <w:szCs w:val="12"/>
          <w:color w:val="auto"/>
        </w:rPr>
        <w:t>. The Chief Financial Officer shall have the responsibility for reporting to the Board of Directors on the financial condition of the Company, preparing and submitting all financial reports required by applicable law, and preparing annual financial statements of the Company and coordinating with qualified third party auditors to ensure such financial statements are audited in accordance with applicable law.</w:t>
      </w:r>
    </w:p>
    <w:p>
      <w:pPr>
        <w:spacing w:after="0" w:line="260"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Treasurer</w:t>
      </w:r>
      <w:r>
        <w:rPr>
          <w:rFonts w:ascii="Times New Roman" w:cs="Times New Roman" w:eastAsia="Times New Roman" w:hAnsi="Times New Roman"/>
          <w:sz w:val="12"/>
          <w:szCs w:val="12"/>
          <w:color w:val="auto"/>
        </w:rPr>
        <w:t>. The Treasurer shall have the custody of the corporate funds and securities and shall keep full and accurate accounts of receipts and disbursements in books belonging to the Company and shall deposit all moneys, and other valuable effects in the name and to the credit of the Company, in such depositories as may be designated by the Board of Directors. He shall disburse the funds of the Company as may be ordered by the Board, taking proper vouchers for such disbursements, and shall render to the directors whenever they may require it an account of all his transactions as Treasurer and of the financial condition of the Company.</w:t>
      </w:r>
    </w:p>
    <w:p>
      <w:pPr>
        <w:spacing w:after="0" w:line="117" w:lineRule="exact"/>
        <w:rPr>
          <w:sz w:val="20"/>
          <w:szCs w:val="20"/>
          <w:color w:val="auto"/>
        </w:rPr>
      </w:pPr>
    </w:p>
    <w:p>
      <w:pPr>
        <w:jc w:val="both"/>
        <w:ind w:firstLine="879"/>
        <w:spacing w:after="0" w:line="266" w:lineRule="auto"/>
        <w:rPr>
          <w:sz w:val="20"/>
          <w:szCs w:val="20"/>
          <w:color w:val="auto"/>
        </w:rPr>
      </w:pPr>
      <w:r>
        <w:rPr>
          <w:rFonts w:ascii="Times New Roman" w:cs="Times New Roman" w:eastAsia="Times New Roman" w:hAnsi="Times New Roman"/>
          <w:sz w:val="12"/>
          <w:szCs w:val="12"/>
          <w:u w:val="single" w:color="auto"/>
          <w:color w:val="auto"/>
        </w:rPr>
        <w:t>Section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Secretary</w:t>
      </w:r>
      <w:r>
        <w:rPr>
          <w:rFonts w:ascii="Times New Roman" w:cs="Times New Roman" w:eastAsia="Times New Roman" w:hAnsi="Times New Roman"/>
          <w:sz w:val="12"/>
          <w:szCs w:val="12"/>
          <w:color w:val="auto"/>
        </w:rPr>
        <w:t>. The Secretary shall attend all sessions of the Board of Directors and all meetings of the stockholders and record all votes and the minutes of proceedings in records or books to be kept for that purpose. He shall give, or cause to be given, notice of all meetings of the stockholders and of the Board of Directors and shall perform such other duties and have such other powers as may be incident to the office of the secretary of a corporation and as from time to time may otherwise be prescribed by the Board of Directors. The Secretary shall have and be the custodian of the stock records and all other books, records and papers of the Company (other than financial) and shall see that all books, reports, statements, certificates and other documents and records required by law are properly kept and filed.</w:t>
      </w: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2" w:name="page163"/>
    <w:bookmarkEnd w:id="162"/>
    <w:p>
      <w:pPr>
        <w:jc w:val="both"/>
        <w:ind w:firstLine="879"/>
        <w:spacing w:after="0" w:line="261" w:lineRule="auto"/>
        <w:rPr>
          <w:sz w:val="20"/>
          <w:szCs w:val="20"/>
          <w:color w:val="auto"/>
        </w:rPr>
      </w:pPr>
      <w:r>
        <w:rPr>
          <w:rFonts w:ascii="Times New Roman" w:cs="Times New Roman" w:eastAsia="Times New Roman" w:hAnsi="Times New Roman"/>
          <w:sz w:val="12"/>
          <w:szCs w:val="12"/>
          <w:u w:val="single" w:color="auto"/>
          <w:color w:val="auto"/>
        </w:rPr>
        <w:t>Section 4.12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General Auditor</w:t>
      </w:r>
      <w:r>
        <w:rPr>
          <w:rFonts w:ascii="Times New Roman" w:cs="Times New Roman" w:eastAsia="Times New Roman" w:hAnsi="Times New Roman"/>
          <w:sz w:val="12"/>
          <w:szCs w:val="12"/>
          <w:color w:val="auto"/>
        </w:rPr>
        <w:t>. The General Auditor shall be responsible, through the Audit and Fiduciary Committee, to the Board of Directors for the determination of the program of the internal audit function and the evaluation of the adequacy of the system of internal controls. Subject to the Board of Directors, the General Auditor shall have and may exercise all the powers and shall perform all the duties usual to such office and shall have such other powers as may be prescribed or assigned to him from time to time by the Board of Directors or vested in him by law or by these By-Laws. He shall perform such other duties and shall make such investigations, examinations and reports as may be prescribed or required by the Audit and Fiduciary Committee. The General Auditor shall have unrestricted access to all records and premises of the Company and shall delegate such authority to his subordinates. He shall have the duty to report to the Audit and Fiduciary Committee on all matters concerning the internal audit program and the adequacy of the system of internal controls of the Company which he deems advisable or which the Audit and Fiduciary Committee may request.</w:t>
      </w:r>
    </w:p>
    <w:p>
      <w:pPr>
        <w:spacing w:after="0" w:line="12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4.13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Managing Directors, Directors and Vice Presidents</w:t>
      </w:r>
      <w:r>
        <w:rPr>
          <w:rFonts w:ascii="Times New Roman" w:cs="Times New Roman" w:eastAsia="Times New Roman" w:hAnsi="Times New Roman"/>
          <w:sz w:val="12"/>
          <w:szCs w:val="12"/>
          <w:color w:val="auto"/>
        </w:rPr>
        <w:t>. If chosen, the Managing Directors, Directors and Vice Presidents, in the order of their seniority, shall, in the absence or disability of the President, exercise all of the powers and duties of the President. Such Managing Directors, Directors and Vice Presidents shall have the power to execute bonds, notes, mortgages and other contracts, agreements and instruments of the Company, and they shall perform such other duties and have such other powers as may be incident to their respective offices and as from time to time may be prescribed by the Board of Directors or the President.</w:t>
      </w:r>
    </w:p>
    <w:p>
      <w:pPr>
        <w:spacing w:after="0" w:line="117"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4.14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Duties of Officers may be Delegated</w:t>
      </w:r>
      <w:r>
        <w:rPr>
          <w:rFonts w:ascii="Times New Roman" w:cs="Times New Roman" w:eastAsia="Times New Roman" w:hAnsi="Times New Roman"/>
          <w:sz w:val="12"/>
          <w:szCs w:val="12"/>
          <w:color w:val="auto"/>
        </w:rPr>
        <w:t>. In case of the absence or disability of any officer of the Company, or for any other reason that the Board may deem sufficient, the Board may delegate, for the time being, the powers or duties, or any of them, of such officer to any other officer.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V</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INDEMNIFICATION OF DIRECTORS, OFFICERS AND OTHERS</w:t>
      </w:r>
    </w:p>
    <w:p>
      <w:pPr>
        <w:spacing w:after="0" w:line="155"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u w:val="single" w:color="auto"/>
          <w:color w:val="auto"/>
        </w:rPr>
        <w:t>Section 5.01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Power to Indemnify in Actions, Suits or Proceedings other than Those by or in the Right of the Company</w:t>
      </w:r>
      <w:r>
        <w:rPr>
          <w:rFonts w:ascii="Times New Roman" w:cs="Times New Roman" w:eastAsia="Times New Roman" w:hAnsi="Times New Roman"/>
          <w:sz w:val="12"/>
          <w:szCs w:val="12"/>
          <w:color w:val="auto"/>
        </w:rPr>
        <w:t>. Subject to the other provisions of this Article V, and subject to applicable law, the Company shall indemnify any person made or threatened to be made a party to an action or proceeding (other than one by or in the right of the Company to procure a judgment in its favor), whether civil or criminal, including an action by or in the right of any other corporation of any type or kind, domestic or foreign, or any partnership, joint venture, trust, employee benefit plan or other enterprise, which any director or officer of the Company served in any capacity at the request of the Company, by reason of the fact that such person, his or her testator or intestate, was a director or officer of the Company,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such person reasonably believed to be in, or, in the case of service for any other corporation or any partnership, joint venture, trust, employee benefit plan or other enterprise, not opposed to, the best interests of the Company, and had no reasonable cause to believe that such person’s conduct was unlawful.</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63" w:name="page164"/>
    <w:bookmarkEnd w:id="163"/>
    <w:p>
      <w:pPr>
        <w:jc w:val="both"/>
        <w:ind w:firstLine="879"/>
        <w:spacing w:after="0" w:line="259" w:lineRule="auto"/>
        <w:rPr>
          <w:sz w:val="20"/>
          <w:szCs w:val="20"/>
          <w:color w:val="auto"/>
        </w:rPr>
      </w:pPr>
      <w:r>
        <w:rPr>
          <w:rFonts w:ascii="Times New Roman" w:cs="Times New Roman" w:eastAsia="Times New Roman" w:hAnsi="Times New Roman"/>
          <w:sz w:val="12"/>
          <w:szCs w:val="12"/>
          <w:u w:val="single" w:color="auto"/>
          <w:color w:val="auto"/>
        </w:rPr>
        <w:t>Section 5.02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Power to Indemnify in Actions, Suits or Proceedings by or in the Right of the Company</w:t>
      </w:r>
      <w:r>
        <w:rPr>
          <w:rFonts w:ascii="Times New Roman" w:cs="Times New Roman" w:eastAsia="Times New Roman" w:hAnsi="Times New Roman"/>
          <w:sz w:val="12"/>
          <w:szCs w:val="12"/>
          <w:color w:val="auto"/>
        </w:rPr>
        <w:t>. Subject to the other provisions of this Article V, and subject to applicable law, the Company shall indemnify any person made, or threatened to be made, a party to an action by or in the right of the Company to procure a judgment in its favor by reason of the fact that such person, his or her testator or intestate, is or was a director or officer of the Company, or is or was serving at the request of the Company as a director or officer of any other corporation of any type or kind, domestic or foreign, of any partnership, joint venture, trust, employee benefit plan or other enterprise, against amounts paid in settlement and reasonable expenses, including attorneys' fees, actually and necessarily incurred by such person in connection with the defense or settlement of such action, or in connection with an appeal therein, if such director or officer acted, in good faith, for a purpose which he reasonably believed to be in, or, in the case of service for any other corporation or any partnership, joint venture, trust, employee benefit plan or other enterprise, not opposed to, the best interests of the Company, except that no indemnification under this Section 5.02 shall be made in respect of (a) a threatened action, or a pending action which is settled or otherwise disposed of, or (b) any claim, issue or matter as to which such person shall have been adjudged to be liable to the Company,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273" w:lineRule="exact"/>
        <w:rPr>
          <w:sz w:val="20"/>
          <w:szCs w:val="20"/>
          <w:color w:val="auto"/>
        </w:rPr>
      </w:pPr>
    </w:p>
    <w:p>
      <w:pPr>
        <w:jc w:val="both"/>
        <w:ind w:firstLine="879"/>
        <w:spacing w:after="0" w:line="261" w:lineRule="auto"/>
        <w:rPr>
          <w:sz w:val="20"/>
          <w:szCs w:val="20"/>
          <w:color w:val="auto"/>
        </w:rPr>
      </w:pPr>
      <w:r>
        <w:rPr>
          <w:rFonts w:ascii="Times New Roman" w:cs="Times New Roman" w:eastAsia="Times New Roman" w:hAnsi="Times New Roman"/>
          <w:sz w:val="12"/>
          <w:szCs w:val="12"/>
          <w:u w:val="single" w:color="auto"/>
          <w:color w:val="auto"/>
        </w:rPr>
        <w:t>Section 5.03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Authorization of Indemnification</w:t>
      </w:r>
      <w:r>
        <w:rPr>
          <w:rFonts w:ascii="Times New Roman" w:cs="Times New Roman" w:eastAsia="Times New Roman" w:hAnsi="Times New Roman"/>
          <w:sz w:val="12"/>
          <w:szCs w:val="12"/>
          <w:color w:val="auto"/>
        </w:rPr>
        <w:t>. Any indemnification under this Article V (unless ordered by a court) shall be made by the Company only if authorized in the specific case (i) by the Board acting by a quorum consisting of directors who are not parties to such action or proceeding upon a finding that the director or officer has met the standard of conduct set forth in Section 5.01 or Section 5.02, as the case may be; or (ii) if a quorum is not obtainable or, even if obtainable, a quorum of disinterested directors so directs, (x) by the Board upon the opinion in writing of independent legal counsel that indemnification is proper in the circumstances because the applicable standard of conduct set forth in Section 5.01 or Section 5.02, as the case may be, has been met by such director or officer; or (y) by the stockholders upon a finding that the director or officer has met the applicable standard of conduct set forth in Section 5.01 or Section 5.02, as the case may be. A person who has been successful on the merits or otherwise, in the defense of a civil or criminal action or proceeding of the character described in Sections 5.01 or 5.02, shall be entitled to indemnification as authorized in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-487680</wp:posOffset>
            </wp:positionV>
            <wp:extent cx="1905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5" w:lineRule="exact"/>
        <w:rPr>
          <w:sz w:val="20"/>
          <w:szCs w:val="20"/>
          <w:color w:val="auto"/>
        </w:rPr>
      </w:pPr>
    </w:p>
    <w:p>
      <w:pPr>
        <w:jc w:val="both"/>
        <w:ind w:firstLine="879"/>
        <w:spacing w:after="0" w:line="262" w:lineRule="auto"/>
        <w:rPr>
          <w:sz w:val="20"/>
          <w:szCs w:val="20"/>
          <w:color w:val="auto"/>
        </w:rPr>
      </w:pPr>
      <w:r>
        <w:rPr>
          <w:rFonts w:ascii="Times New Roman" w:cs="Times New Roman" w:eastAsia="Times New Roman" w:hAnsi="Times New Roman"/>
          <w:sz w:val="12"/>
          <w:szCs w:val="12"/>
          <w:u w:val="single" w:color="auto"/>
          <w:color w:val="auto"/>
        </w:rPr>
        <w:t>Section 5.04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Good Faith Defined</w:t>
      </w:r>
      <w:r>
        <w:rPr>
          <w:rFonts w:ascii="Times New Roman" w:cs="Times New Roman" w:eastAsia="Times New Roman" w:hAnsi="Times New Roman"/>
          <w:sz w:val="12"/>
          <w:szCs w:val="12"/>
          <w:color w:val="auto"/>
        </w:rPr>
        <w:t>. For purposes of any determination under Section 5.03, a person shall be deemed to have acted in good faith and in a manner such person reasonably believed to be in or not opposed to the best interests of the Company, or to have had no reasonable cause to believe such person’s conduct was unlawful, if such person’s action is based on the records or books of account of the Company or another enterprise, or on information supplied to such person by the officers of the Company or another enterprise in the course of their duties, or on the advice of legal counsel for the Company or another enterprise or on information or records given or reports made to the Company or another enterprise by an independent certified public accountant or by an appraiser or other expert selected with reasonable care by the Company or another enterprise. The provisions of this Section 5.04 shall not be deemed to be exclusive or to limit in any way the circumstances in which a person may be deemed to have met the applicable standard of conduct set forth in Section 5.01 or Section 5.02,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-393700</wp:posOffset>
            </wp:positionV>
            <wp:extent cx="254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252" w:lineRule="exact"/>
        <w:rPr>
          <w:sz w:val="20"/>
          <w:szCs w:val="20"/>
          <w:color w:val="auto"/>
        </w:rPr>
      </w:pPr>
    </w:p>
    <w:p>
      <w:pPr>
        <w:jc w:val="both"/>
        <w:ind w:firstLine="879"/>
        <w:spacing w:after="0" w:line="266" w:lineRule="auto"/>
        <w:rPr>
          <w:sz w:val="20"/>
          <w:szCs w:val="20"/>
          <w:color w:val="auto"/>
        </w:rPr>
      </w:pPr>
      <w:r>
        <w:rPr>
          <w:rFonts w:ascii="Times New Roman" w:cs="Times New Roman" w:eastAsia="Times New Roman" w:hAnsi="Times New Roman"/>
          <w:sz w:val="12"/>
          <w:szCs w:val="12"/>
          <w:u w:val="single" w:color="auto"/>
          <w:color w:val="auto"/>
        </w:rPr>
        <w:t>Section 5.05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Serving an Employee Benefit Plan on behalf of the Company</w:t>
      </w:r>
      <w:r>
        <w:rPr>
          <w:rFonts w:ascii="Times New Roman" w:cs="Times New Roman" w:eastAsia="Times New Roman" w:hAnsi="Times New Roman"/>
          <w:sz w:val="12"/>
          <w:szCs w:val="12"/>
          <w:color w:val="auto"/>
        </w:rPr>
        <w:t>. For the purpose of this Article V, the Company shall be deemed to have requested a person to serve an employee benefit plan where the performance by such person of his duties to the Company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Company.</w:t>
      </w: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64" w:name="page165"/>
    <w:bookmarkEnd w:id="164"/>
    <w:p>
      <w:pPr>
        <w:jc w:val="both"/>
        <w:ind w:left="7" w:firstLine="879"/>
        <w:spacing w:after="0" w:line="266" w:lineRule="auto"/>
        <w:rPr>
          <w:sz w:val="20"/>
          <w:szCs w:val="20"/>
          <w:color w:val="auto"/>
        </w:rPr>
      </w:pPr>
      <w:r>
        <w:rPr>
          <w:rFonts w:ascii="Times New Roman" w:cs="Times New Roman" w:eastAsia="Times New Roman" w:hAnsi="Times New Roman"/>
          <w:sz w:val="12"/>
          <w:szCs w:val="12"/>
          <w:u w:val="single" w:color="auto"/>
          <w:color w:val="auto"/>
        </w:rPr>
        <w:t>Section 5.06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Indemnification upon Application to a Court</w:t>
      </w:r>
      <w:r>
        <w:rPr>
          <w:rFonts w:ascii="Times New Roman" w:cs="Times New Roman" w:eastAsia="Times New Roman" w:hAnsi="Times New Roman"/>
          <w:sz w:val="12"/>
          <w:szCs w:val="12"/>
          <w:color w:val="auto"/>
        </w:rPr>
        <w:t>. Notwithstanding the failure of the Company to provide indemnification and despite any contrary resolution of the Board or stockholders under Section 5.03, or in the event that no determination has been made within ninety days after receipt of the Company of a written claim therefor, upon application to a court by a director or officer, indemnification shall be awarded by a court to the extent authorized in Section 5.01 or Section 5.02. Such application shall be upon notice to the Company. Neither a contrary determination in the specific case under Section 5.03 nor the absence of any determination thereunder shall be a defense to such application or create a presumption that the director or officer seeking indemnification has not met any applicable standard of conduct.</w:t>
      </w:r>
    </w:p>
    <w:p>
      <w:pPr>
        <w:spacing w:after="0" w:line="120" w:lineRule="exact"/>
        <w:rPr>
          <w:sz w:val="20"/>
          <w:szCs w:val="20"/>
          <w:color w:val="auto"/>
        </w:rPr>
      </w:pPr>
    </w:p>
    <w:p>
      <w:pPr>
        <w:jc w:val="both"/>
        <w:ind w:left="7" w:firstLine="879"/>
        <w:spacing w:after="0" w:line="259" w:lineRule="auto"/>
        <w:rPr>
          <w:sz w:val="20"/>
          <w:szCs w:val="20"/>
          <w:color w:val="auto"/>
        </w:rPr>
      </w:pPr>
      <w:r>
        <w:rPr>
          <w:rFonts w:ascii="Times New Roman" w:cs="Times New Roman" w:eastAsia="Times New Roman" w:hAnsi="Times New Roman"/>
          <w:sz w:val="12"/>
          <w:szCs w:val="12"/>
          <w:u w:val="single" w:color="auto"/>
          <w:color w:val="auto"/>
        </w:rPr>
        <w:t>Section 5.07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Expenses Payable in Advance</w:t>
      </w:r>
      <w:r>
        <w:rPr>
          <w:rFonts w:ascii="Times New Roman" w:cs="Times New Roman" w:eastAsia="Times New Roman" w:hAnsi="Times New Roman"/>
          <w:sz w:val="12"/>
          <w:szCs w:val="12"/>
          <w:color w:val="auto"/>
        </w:rPr>
        <w:t>. Subject to the other provisions of this Article V, and subject to applicable law, expenses incurred in defending a civil or criminal action or proceeding may be paid by the Company in advance of the final disposition of such action or proceeding upon receipt of an undertaking by or on behalf of such director or officer to repay such amount (i) if it shall ultimately be determined that such person is not entitled to be indemnified by the Company as authorized in this Article V, (ii) where indemnification is granted, to the extent expenses so advanced by the Company or allowed by a court exceed the indemnification to which such person is entitled and (iii) upon such other terms and conditions, if any, as the Company deems appropriate. Any such advancement of expenses shall be made in the sole and absolute discretion of the Company only as authorized in the specific case upon a determination made, with respect to a person who is a director or officer at the time of such determination, (i) by the Board acting by a quorum consisting of directors who are not parties to such action or proceeding, or (ii) if a quorum is not obtainable or, even if obtainable, if a quorum of disinterested directors so directs, (x) by the Board upon the opinion in writing of independent legal counsel or (y) by the stockholders and, with respect to former directors and officers, by any person or persons having the authority to act on the matter on behalf of the Company. Without limiting the foregoing, the Company reserves the right in its sole and absolute discretion to revoke at any time any approval previously granted in respect of any such request for the advancement of expenses or to, in its sole and absolute discretion, impose limits or conditions in respect of any such approval.</w:t>
      </w:r>
    </w:p>
    <w:p>
      <w:pPr>
        <w:spacing w:after="0" w:line="126" w:lineRule="exact"/>
        <w:rPr>
          <w:sz w:val="20"/>
          <w:szCs w:val="20"/>
          <w:color w:val="auto"/>
        </w:rPr>
      </w:pPr>
    </w:p>
    <w:p>
      <w:pPr>
        <w:jc w:val="both"/>
        <w:ind w:left="7" w:firstLine="879"/>
        <w:spacing w:after="0" w:line="261" w:lineRule="auto"/>
        <w:rPr>
          <w:sz w:val="20"/>
          <w:szCs w:val="20"/>
          <w:color w:val="auto"/>
        </w:rPr>
      </w:pPr>
      <w:r>
        <w:rPr>
          <w:rFonts w:ascii="Times New Roman" w:cs="Times New Roman" w:eastAsia="Times New Roman" w:hAnsi="Times New Roman"/>
          <w:sz w:val="12"/>
          <w:szCs w:val="12"/>
          <w:u w:val="single" w:color="auto"/>
          <w:color w:val="auto"/>
        </w:rPr>
        <w:t>Section 5.08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Nonexclusivity of Indemnification and Advancement of Expenses</w:t>
      </w:r>
      <w:r>
        <w:rPr>
          <w:rFonts w:ascii="Times New Roman" w:cs="Times New Roman" w:eastAsia="Times New Roman" w:hAnsi="Times New Roman"/>
          <w:sz w:val="12"/>
          <w:szCs w:val="12"/>
          <w:color w:val="auto"/>
        </w:rPr>
        <w:t>. The indemnification and advancement of expenses granted pursuant to, or provided by, this Article V shall not be deemed exclusive of any other rights to which a director or officer seeking indemnification or advancement of expenses may be entitled whether contained in the Company’s Organization Certificate, these By-Laws or, when authorized by the Organization Certificate or these By-Laws, (i) a resolution of stockholders, (ii) a resolution of directors, or (iii) an agreement providing for such indemnification,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Nothing contained in this Article V shall affect any rights to indemnification to which corporate personnel other than directors and officers may be entitled by contract or otherwise under law.</w:t>
      </w:r>
    </w:p>
    <w:p>
      <w:pPr>
        <w:spacing w:after="0" w:line="12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2"/>
          <w:szCs w:val="12"/>
          <w:u w:val="single" w:color="auto"/>
          <w:color w:val="auto"/>
        </w:rPr>
        <w:t>Section 5.09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Subject to the other provisions of this Article V, the Company may purchase and maintain insurance (in a single contract or supplement thereto, but not in a retrospective rated contract):</w:t>
      </w:r>
    </w:p>
    <w:p>
      <w:pPr>
        <w:spacing w:after="0" w:line="21" w:lineRule="exact"/>
        <w:rPr>
          <w:sz w:val="20"/>
          <w:szCs w:val="20"/>
          <w:color w:val="auto"/>
        </w:rPr>
      </w:pPr>
    </w:p>
    <w:p>
      <w:pPr>
        <w:jc w:val="both"/>
        <w:ind w:left="7" w:hanging="7"/>
        <w:spacing w:after="0" w:line="259" w:lineRule="auto"/>
        <w:tabs>
          <w:tab w:leader="none" w:pos="154"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indemnify the Company for any obligation which it incurs as a result of the indemnification of directors and officers under the provisions of this Article V, (ii) to indemnify directors and officers in instances in which they may be indemnified by the Company under the provisions of this Article V and applicable law, and (iii) to indemnify directors and officers in instances in which they may not otherwise be indemnified by the Company under the provisions of this Article V, provided the contract of insurance covering such directors and officers provides, in a manner acceptable to the New York Superintendent of Financial Services, for a retention amount and for co-insurance. Notwithstanding the foregoing, any such insurance shall be subject to the provisions of, and the Company shall comply with the requirements set forth in, Section 7023 of the New York State Banking Law.</w:t>
      </w:r>
    </w:p>
    <w:p>
      <w:pPr>
        <w:spacing w:after="0" w:line="270" w:lineRule="exact"/>
        <w:rPr>
          <w:rFonts w:ascii="Times New Roman" w:cs="Times New Roman" w:eastAsia="Times New Roman" w:hAnsi="Times New Roman"/>
          <w:sz w:val="12"/>
          <w:szCs w:val="12"/>
          <w:color w:val="auto"/>
        </w:rPr>
      </w:pPr>
    </w:p>
    <w:p>
      <w:pPr>
        <w:ind w:left="11167" w:hanging="68"/>
        <w:spacing w:after="0"/>
        <w:tabs>
          <w:tab w:leader="none" w:pos="11167"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677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65" w:name="page166"/>
    <w:bookmarkEnd w:id="165"/>
    <w:p>
      <w:pPr>
        <w:jc w:val="both"/>
        <w:ind w:firstLine="879"/>
        <w:spacing w:after="0" w:line="259" w:lineRule="auto"/>
        <w:rPr>
          <w:sz w:val="20"/>
          <w:szCs w:val="20"/>
          <w:color w:val="auto"/>
        </w:rPr>
      </w:pP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Limitations on Indemnification and Insurance</w:t>
      </w:r>
      <w:r>
        <w:rPr>
          <w:rFonts w:ascii="Times New Roman" w:cs="Times New Roman" w:eastAsia="Times New Roman" w:hAnsi="Times New Roman"/>
          <w:sz w:val="12"/>
          <w:szCs w:val="12"/>
          <w:color w:val="auto"/>
        </w:rPr>
        <w:t>. All indemnification and insurance provisions contained in this Article V are subject to any limitations and prohibitions under applicable law, including but not limited to Section 7022 (with respect to indemnification, advancement or allowance) and Section 7023 (with respect to insurance) of the New York State Banking Law and the Federal Deposit Insurance Act (with respect to administrative proceedings or civil actions initiated by any federal banking agency). Notwithstanding anything contained in this Article V to the contrary, no indemnification, advancement or allowance shall be made (i)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 or (ii) in any circumstance where it appears (a) that the indemnification would be inconsistent with a provision of the Company’s Organization Certificate, these By-Laws, a resolution of the Board or of the stockholders, an agreement or other proper corporate action, in effect at the time of the accrual of the alleged cause of action asserted in the threatened or pending action or proceeding in which the expenses were incurred or other amounts were paid, which prohibits or otherwise limits indemnification; or (b) if there has been a settlement approved by the court, that the indemnification would be inconsistent with any condition with respect to indemnification expressly imposed by the court in approving the settlement.</w:t>
      </w:r>
    </w:p>
    <w:p>
      <w:pPr>
        <w:spacing w:after="0" w:line="126" w:lineRule="exact"/>
        <w:rPr>
          <w:sz w:val="20"/>
          <w:szCs w:val="20"/>
          <w:color w:val="auto"/>
        </w:rPr>
      </w:pPr>
    </w:p>
    <w:p>
      <w:pPr>
        <w:jc w:val="both"/>
        <w:ind w:firstLine="879"/>
        <w:spacing w:after="0" w:line="258" w:lineRule="auto"/>
        <w:rPr>
          <w:sz w:val="20"/>
          <w:szCs w:val="20"/>
          <w:color w:val="auto"/>
        </w:rPr>
      </w:pPr>
      <w:r>
        <w:rPr>
          <w:rFonts w:ascii="Times New Roman" w:cs="Times New Roman" w:eastAsia="Times New Roman" w:hAnsi="Times New Roman"/>
          <w:sz w:val="12"/>
          <w:szCs w:val="12"/>
          <w:color w:val="auto"/>
        </w:rPr>
        <w:t>Notwithstanding anything contained in this Article V to the contrary, but subject to any requirements of applicable law, (i) except for proceedings to enforce rights to indemnification (which shall be governed by Section 5.06), the Company shall not be obligated to indemnify any director or officer (or his testators intestate) or advance expenses in connection with a proceeding (or part thereof) initiated by such person unless such proceeding (or part thereof) was authorized or consented to by the Board of Directors of the Company, (ii) with respect to indemnification or advancement of expenses relating to attorneys’ fees under this Article V, counsel for the present or former director or officer must be reasonably acceptable to the Company (and the Company may, in its sole and absolute discretion, establish a panel of approved law firms for such purpose, out of which the present or former director or officer could be required to select an approved law firm to represent him), (iii) indemnification in respect of amounts paid in settlement shall be subject to the prior consent of the Company (not to be unreasonably withheld), (iv) any and all obligations of the Corporation under this Article V shall be subject to applicable law, (v) in no event shall any payments pursuant to this Article V be made if duplicative of any indemnification or advancement of expenses or other reimbursement available to the applicable director or officer (other than for coverage maintained by such person in his individual capacity), and (vi) no indemnification or advancement of expenses shall be provided under these By-Laws to any person in respect of any expenses, judgments, fines or amounts paid in settlement to the extent incurred by such person in his capacity or position with another entity (including, without limitation, an entity that is a stockholder of the Company or any of the branches or affiliates of such stockholder), except as expressly provided in these By-Laws in respect of such person’s capacity and position as a director or officer of the Company or such person is a director or officer of the Company serving at the request of the Company as a director, officer, employee or agent of another corporation, partnership, joint venture, trust or other enterprise.</w:t>
      </w:r>
    </w:p>
    <w:p>
      <w:pPr>
        <w:spacing w:after="0" w:line="127" w:lineRule="exact"/>
        <w:rPr>
          <w:sz w:val="20"/>
          <w:szCs w:val="20"/>
          <w:color w:val="auto"/>
        </w:rPr>
      </w:pPr>
    </w:p>
    <w:p>
      <w:pPr>
        <w:jc w:val="both"/>
        <w:ind w:firstLine="879"/>
        <w:spacing w:after="0" w:line="269" w:lineRule="auto"/>
        <w:rPr>
          <w:sz w:val="20"/>
          <w:szCs w:val="20"/>
          <w:color w:val="auto"/>
        </w:rPr>
      </w:pPr>
      <w:r>
        <w:rPr>
          <w:rFonts w:ascii="Times New Roman" w:cs="Times New Roman" w:eastAsia="Times New Roman" w:hAnsi="Times New Roman"/>
          <w:sz w:val="12"/>
          <w:szCs w:val="12"/>
          <w:u w:val="single" w:color="auto"/>
          <w:color w:val="auto"/>
        </w:rPr>
        <w:t>Section 5.11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Indemnification of Other Persons</w:t>
      </w:r>
      <w:r>
        <w:rPr>
          <w:rFonts w:ascii="Times New Roman" w:cs="Times New Roman" w:eastAsia="Times New Roman" w:hAnsi="Times New Roman"/>
          <w:sz w:val="12"/>
          <w:szCs w:val="12"/>
          <w:color w:val="auto"/>
        </w:rPr>
        <w:t>. The Company may, to the extent authorized from time to time by the Board of Directors, provide rights to indemnification and to the advancement of expenses (whether pursuant to an adoption of a policy or otherwise) to employees and agents of the Company (whether similar to those conferred in this Article V upon directors and officers of the Company or on other terms and conditions authorized from time to time by the Board of Directors), as well as to employees of direct and indirect subsidiaries of the Company and to other persons (or categories of persons) approved from time to time by the Board of Directors.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66" w:name="page167"/>
    <w:bookmarkEnd w:id="166"/>
    <w:p>
      <w:pPr>
        <w:jc w:val="both"/>
        <w:ind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5.12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Repeal</w:t>
      </w:r>
      <w:r>
        <w:rPr>
          <w:rFonts w:ascii="Times New Roman" w:cs="Times New Roman" w:eastAsia="Times New Roman" w:hAnsi="Times New Roman"/>
          <w:sz w:val="12"/>
          <w:szCs w:val="12"/>
          <w:color w:val="auto"/>
        </w:rPr>
        <w:t>. Any repeal or modification of this Article V shall not adversely affect any rights to indemnification and to the advancement of expenses of a director, officer, employee or agent of the Company existing at the time of such repeal or modification with respect to any acts or omissions occurring prior to such repeal or modification.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VI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CAPITAL STOCK</w:t>
      </w:r>
    </w:p>
    <w:p>
      <w:pPr>
        <w:spacing w:after="0" w:line="155" w:lineRule="exact"/>
        <w:rPr>
          <w:sz w:val="20"/>
          <w:szCs w:val="20"/>
          <w:color w:val="auto"/>
        </w:rPr>
      </w:pPr>
    </w:p>
    <w:p>
      <w:pPr>
        <w:jc w:val="both"/>
        <w:ind w:firstLine="879"/>
        <w:spacing w:after="0" w:line="260" w:lineRule="auto"/>
        <w:rPr>
          <w:sz w:val="20"/>
          <w:szCs w:val="20"/>
          <w:color w:val="auto"/>
        </w:rPr>
      </w:pPr>
      <w:r>
        <w:rPr>
          <w:rFonts w:ascii="Times New Roman" w:cs="Times New Roman" w:eastAsia="Times New Roman" w:hAnsi="Times New Roman"/>
          <w:sz w:val="12"/>
          <w:szCs w:val="12"/>
          <w:u w:val="single" w:color="auto"/>
          <w:color w:val="auto"/>
        </w:rPr>
        <w:t>Section 6.01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Certificates</w:t>
      </w:r>
      <w:r>
        <w:rPr>
          <w:rFonts w:ascii="Times New Roman" w:cs="Times New Roman" w:eastAsia="Times New Roman" w:hAnsi="Times New Roman"/>
          <w:sz w:val="12"/>
          <w:szCs w:val="12"/>
          <w:color w:val="auto"/>
        </w:rPr>
        <w:t>. The interest of each stockholder of the Company shall be evidenced by certificates for shares of stock in such form as the Board of Directors may from time to time prescribe. The certificates of stock shall be signed by the Chairman of the Board or the President or a Managing Director or a Director or a Vice President and by the Secretary, or the Treasurer, or an Assistant Secretary, or an Assistant Treasurer, sealed with the seal of the Company or a facsimile thereof, and countersigned and registered in such manner, if any, as the Board of Directors may by resolution prescribe. Where any such certificate is countersigned by a transfer agent other than the Company or its employee, or registered by a registrar other than the Company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Company, whether because of death, resignation, retirement, disqualification, removal or otherwise, before such certificate or certificates shall have been delivered by the Company, such certificate or certificates may nevertheless be adopted by the Company and be issued and delivered as though the person or persons who signed such certificate or certificates or whose facsimile signature or signatures shall have been used thereon had not ceased to be such officer or officers of the Company.</w:t>
      </w:r>
    </w:p>
    <w:p>
      <w:pPr>
        <w:spacing w:after="0" w:line="125" w:lineRule="exact"/>
        <w:rPr>
          <w:sz w:val="20"/>
          <w:szCs w:val="20"/>
          <w:color w:val="auto"/>
        </w:rPr>
      </w:pPr>
    </w:p>
    <w:p>
      <w:pPr>
        <w:jc w:val="both"/>
        <w:ind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6.02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The shares of stock of the Company shall be transferred only upon the books of the Company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Company or its agents may reasonably require.</w:t>
      </w:r>
    </w:p>
    <w:p>
      <w:pPr>
        <w:spacing w:after="0" w:line="106" w:lineRule="exact"/>
        <w:rPr>
          <w:sz w:val="20"/>
          <w:szCs w:val="20"/>
          <w:color w:val="auto"/>
        </w:rPr>
      </w:pPr>
    </w:p>
    <w:p>
      <w:pPr>
        <w:jc w:val="both"/>
        <w:ind w:firstLine="879"/>
        <w:spacing w:after="0" w:line="263" w:lineRule="auto"/>
        <w:rPr>
          <w:sz w:val="20"/>
          <w:szCs w:val="20"/>
          <w:color w:val="auto"/>
        </w:rPr>
      </w:pPr>
      <w:r>
        <w:rPr>
          <w:rFonts w:ascii="Times New Roman" w:cs="Times New Roman" w:eastAsia="Times New Roman" w:hAnsi="Times New Roman"/>
          <w:sz w:val="12"/>
          <w:szCs w:val="12"/>
          <w:u w:val="single" w:color="auto"/>
          <w:color w:val="auto"/>
        </w:rPr>
        <w:t>Section 6.03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Record Dates</w:t>
      </w:r>
      <w:r>
        <w:rPr>
          <w:rFonts w:ascii="Times New Roman" w:cs="Times New Roman" w:eastAsia="Times New Roman" w:hAnsi="Times New Roman"/>
          <w:sz w:val="12"/>
          <w:szCs w:val="12"/>
          <w:color w:val="auto"/>
        </w:rPr>
        <w:t>. The Board of Directors may fix in advance a date, not less than 10 nor more than 50 days preceding the date of any meeting of stockholders, or the date for the payment of any dividend, or the date for the distribution or allotment of any rights, or the date when any change, conversion or exchange of capital stock shall go into effect, as a record date for the determination of the stockholders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stockholders as shall be stockholders of record on the date so fixed shall be entitled to such notice of, and to vote at, such meeting, or to receive payment of such dividend, or to receive such distribution or allotment or rights or to exercise such rights, as the case may be, notwithstanding any transfer of any stock on the books of the Company after any such record date fixed as aforesaid.</w:t>
      </w:r>
    </w:p>
    <w:p>
      <w:pPr>
        <w:spacing w:after="0" w:line="122"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6.04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In the event that any certificate of stock is lost, stolen, destroyed or mutilated, the Board of Directors may authorize the issuance of a new certificate of the same tenor and for the same number of shares in lieu thereof. The Board may in its discretion, before the issuance of such new certificate, require the owner of the lost, stolen, destroyed or mutilated certificate or the legal representative of the owner to make an affidavit or affirmation setting forth such facts as to the loss, destruction or mutilation as it deems necessary and to give the Company a bond in such reasonable sum as it directs to indemnify the Company.</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VII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CHECKS, NOTES, ETC.</w:t>
      </w:r>
    </w:p>
    <w:p>
      <w:pPr>
        <w:spacing w:after="0" w:line="15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7.01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Checks, Notes, Etc.</w:t>
      </w:r>
      <w:r>
        <w:rPr>
          <w:rFonts w:ascii="Times New Roman" w:cs="Times New Roman" w:eastAsia="Times New Roman" w:hAnsi="Times New Roman"/>
          <w:sz w:val="12"/>
          <w:szCs w:val="12"/>
          <w:color w:val="auto"/>
        </w:rPr>
        <w:t xml:space="preserve"> All checks and drafts on the Company's bank accounts and all bills of exchange and promissory notes, and all acceptances, obligations and other instruments for the payment of money, may be signed by the President or any Managing Director or any Director or any Vice President and may also be signed by such other officer or officers, agent or agents, as shall be thereunto authorized from time to time by the Board of Directors.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VIII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MISCELLANEOUS PROVISIONS</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u w:val="single" w:color="auto"/>
          <w:color w:val="auto"/>
        </w:rPr>
        <w:t>Section 8.01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Fiscal Year</w:t>
      </w:r>
      <w:r>
        <w:rPr>
          <w:rFonts w:ascii="Times New Roman" w:cs="Times New Roman" w:eastAsia="Times New Roman" w:hAnsi="Times New Roman"/>
          <w:sz w:val="12"/>
          <w:szCs w:val="12"/>
          <w:color w:val="auto"/>
        </w:rPr>
        <w:t>. The fiscal year of the Company shall be from January 1 to December 31, unless changed by the Board of Directors.</w:t>
      </w:r>
    </w:p>
    <w:p>
      <w:pPr>
        <w:spacing w:after="0" w:line="15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8.02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Books</w:t>
      </w:r>
      <w:r>
        <w:rPr>
          <w:rFonts w:ascii="Times New Roman" w:cs="Times New Roman" w:eastAsia="Times New Roman" w:hAnsi="Times New Roman"/>
          <w:sz w:val="12"/>
          <w:szCs w:val="12"/>
          <w:color w:val="auto"/>
        </w:rPr>
        <w:t>. There shall be kept at such office of the Company as the Board of Directors shall determine, within or without the State of New York, correct books and records of account of all its business and transactions, minutes of the proceedings of its stockholders, Board of Directors and committees, and the stock book, containing the names and addresses of the stockholders, the number of shares held by them, respectively, and the dates when they respectively became the owners of record thereof, and in which the transfer of stock shall be registered, and such other books and records as the Board of Directors may from time to time determine.</w:t>
      </w:r>
    </w:p>
    <w:p>
      <w:pPr>
        <w:spacing w:after="0" w:line="117" w:lineRule="exact"/>
        <w:rPr>
          <w:sz w:val="20"/>
          <w:szCs w:val="20"/>
          <w:color w:val="auto"/>
        </w:rPr>
      </w:pPr>
    </w:p>
    <w:p>
      <w:pPr>
        <w:jc w:val="both"/>
        <w:ind w:firstLine="879"/>
        <w:spacing w:after="0" w:line="290" w:lineRule="auto"/>
        <w:rPr>
          <w:sz w:val="20"/>
          <w:szCs w:val="20"/>
          <w:color w:val="auto"/>
        </w:rPr>
      </w:pPr>
      <w:r>
        <w:rPr>
          <w:rFonts w:ascii="Times New Roman" w:cs="Times New Roman" w:eastAsia="Times New Roman" w:hAnsi="Times New Roman"/>
          <w:sz w:val="12"/>
          <w:szCs w:val="12"/>
          <w:u w:val="single" w:color="auto"/>
          <w:color w:val="auto"/>
        </w:rPr>
        <w:t>Section 8.03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Voting of Stock.</w:t>
      </w:r>
      <w:r>
        <w:rPr>
          <w:rFonts w:ascii="Times New Roman" w:cs="Times New Roman" w:eastAsia="Times New Roman" w:hAnsi="Times New Roman"/>
          <w:sz w:val="12"/>
          <w:szCs w:val="12"/>
          <w:color w:val="auto"/>
        </w:rPr>
        <w:t xml:space="preserve"> Unless otherwise specifically authorized by the Board of Directors, all stock owned by the Company, other than stock of the Company, shall be voted, in person or by proxy, by the President or any Managing Director or any Director or any Vice President of the Company on behalf of the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ARTICLE IX</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AMENDMENTS</w:t>
      </w:r>
    </w:p>
    <w:p>
      <w:pPr>
        <w:spacing w:after="0" w:line="155" w:lineRule="exact"/>
        <w:rPr>
          <w:sz w:val="20"/>
          <w:szCs w:val="20"/>
          <w:color w:val="auto"/>
        </w:rPr>
      </w:pPr>
    </w:p>
    <w:p>
      <w:pPr>
        <w:jc w:val="both"/>
        <w:ind w:firstLine="879"/>
        <w:spacing w:after="0" w:line="272" w:lineRule="auto"/>
        <w:rPr>
          <w:sz w:val="20"/>
          <w:szCs w:val="20"/>
          <w:color w:val="auto"/>
        </w:rPr>
      </w:pPr>
      <w:r>
        <w:rPr>
          <w:rFonts w:ascii="Times New Roman" w:cs="Times New Roman" w:eastAsia="Times New Roman" w:hAnsi="Times New Roman"/>
          <w:sz w:val="12"/>
          <w:szCs w:val="12"/>
          <w:u w:val="single" w:color="auto"/>
          <w:color w:val="auto"/>
        </w:rPr>
        <w:t>Section 9.01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The vote of the holders of at least a majority of the shares of stock of the Company issued and outstanding and entitled to vote shall be necessary at any meeting of stockholders to amend or repeal these By-Laws or to adopt new by-laws. These By-Laws may also be amended or repealed, or new by-laws adopted, at any meeting of the Board of Directors by the vote of at least a majority of the entire Board, provided that any by-law adopted by the Board may be amended or repealed by the stockholders in the manner set forth above.</w:t>
      </w:r>
    </w:p>
    <w:p>
      <w:pPr>
        <w:spacing w:after="0" w:line="117"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2"/>
          <w:szCs w:val="12"/>
          <w:color w:val="auto"/>
        </w:rPr>
        <w:t>Any proposal to amend or repeal these By-Laws or to adopt new by-laws shall be stated in the notice of the meeting of the Board of Directors or the stockholders or in the waiver of notice thereof, as the case may be, unless all of the directors or the holders of record of all of the shares of stock of the Company issued and outstanding and entitled to vote are present at such meeting.</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7677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332740</wp:posOffset>
            </wp:positionV>
            <wp:extent cx="6868795" cy="101282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6868795" cy="10128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232410</wp:posOffset>
            </wp:positionH>
            <wp:positionV relativeFrom="page">
              <wp:posOffset>88900</wp:posOffset>
            </wp:positionV>
            <wp:extent cx="6938010" cy="101282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6938010" cy="10128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10200005</wp:posOffset>
            </wp:positionV>
            <wp:extent cx="679323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679323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Calculation of Filing Fee Tables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S-3</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 Type)</w:t>
      </w:r>
    </w:p>
    <w:p>
      <w:pPr>
        <w:spacing w:after="0" w:line="1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Weatherford International public limited company</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Weatherford International Ltd.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Weatherford International, LLC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Table 1: Newly Registered and Carry Forward Securities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Filing Fee</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3"/>
              </w:rPr>
              <w:t>Previously</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1"/>
              </w:rPr>
              <w:t>Paid In</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88"/>
              </w:rPr>
              <w:t>Fee</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4"/>
              </w:rPr>
              <w:t>Proposed</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5"/>
              </w:rPr>
              <w:t>Connection</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4"/>
              </w:rPr>
              <w:t>Calculation</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4"/>
              </w:rPr>
              <w:t>Maximum</w:t>
            </w:r>
          </w:p>
        </w:tc>
        <w:tc>
          <w:tcPr>
            <w:tcW w:w="240" w:type="dxa"/>
            <w:vAlign w:val="bottom"/>
          </w:tcPr>
          <w:p>
            <w:pPr>
              <w:spacing w:after="0"/>
              <w:rPr>
                <w:sz w:val="7"/>
                <w:szCs w:val="7"/>
                <w:color w:val="auto"/>
              </w:rPr>
            </w:pPr>
          </w:p>
        </w:tc>
        <w:tc>
          <w:tcPr>
            <w:tcW w:w="9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4"/>
              </w:rPr>
              <w:t>Maximum</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3"/>
              </w:rPr>
              <w:t>Carry</w:t>
            </w:r>
          </w:p>
        </w:tc>
        <w:tc>
          <w:tcPr>
            <w:tcW w:w="780" w:type="dxa"/>
            <w:vAlign w:val="bottom"/>
            <w:gridSpan w:val="2"/>
          </w:tcPr>
          <w:p>
            <w:pPr>
              <w:jc w:val="center"/>
              <w:ind w:right="100"/>
              <w:spacing w:after="0" w:line="92" w:lineRule="exact"/>
              <w:rPr>
                <w:sz w:val="20"/>
                <w:szCs w:val="20"/>
                <w:color w:val="auto"/>
              </w:rPr>
            </w:pPr>
            <w:r>
              <w:rPr>
                <w:rFonts w:ascii="Times New Roman" w:cs="Times New Roman" w:eastAsia="Times New Roman" w:hAnsi="Times New Roman"/>
                <w:sz w:val="9"/>
                <w:szCs w:val="9"/>
                <w:b w:val="1"/>
                <w:bCs w:val="1"/>
                <w:color w:val="auto"/>
                <w:w w:val="95"/>
              </w:rPr>
              <w:t>with Unsold</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92" w:lineRule="exact"/>
              <w:rPr>
                <w:sz w:val="20"/>
                <w:szCs w:val="20"/>
                <w:color w:val="auto"/>
              </w:rPr>
            </w:pPr>
            <w:r>
              <w:rPr>
                <w:rFonts w:ascii="Times New Roman" w:cs="Times New Roman" w:eastAsia="Times New Roman" w:hAnsi="Times New Roman"/>
                <w:sz w:val="9"/>
                <w:szCs w:val="9"/>
                <w:b w:val="1"/>
                <w:bCs w:val="1"/>
                <w:color w:val="auto"/>
                <w:w w:val="93"/>
              </w:rPr>
              <w:t>or Carry</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6"/>
              </w:rPr>
              <w:t>Offering</w:t>
            </w:r>
          </w:p>
        </w:tc>
        <w:tc>
          <w:tcPr>
            <w:tcW w:w="240" w:type="dxa"/>
            <w:vAlign w:val="bottom"/>
          </w:tcPr>
          <w:p>
            <w:pPr>
              <w:spacing w:after="0"/>
              <w:rPr>
                <w:sz w:val="7"/>
                <w:szCs w:val="7"/>
                <w:color w:val="auto"/>
              </w:rPr>
            </w:pPr>
          </w:p>
        </w:tc>
        <w:tc>
          <w:tcPr>
            <w:tcW w:w="9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6"/>
              </w:rPr>
              <w:t>Aggregate</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6"/>
              </w:rPr>
              <w:t>Amount of</w:t>
            </w:r>
          </w:p>
        </w:tc>
        <w:tc>
          <w:tcPr>
            <w:tcW w:w="88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3"/>
              </w:rPr>
              <w:t>Carry</w:t>
            </w:r>
          </w:p>
        </w:tc>
        <w:tc>
          <w:tcPr>
            <w:tcW w:w="88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3"/>
              </w:rPr>
              <w:t>Carry</w:t>
            </w:r>
          </w:p>
        </w:tc>
        <w:tc>
          <w:tcPr>
            <w:tcW w:w="90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3"/>
              </w:rPr>
              <w:t>Forward</w:t>
            </w: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7"/>
              </w:rPr>
              <w:t>Securities to</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680" w:type="dxa"/>
            <w:vAlign w:val="bottom"/>
            <w:gridSpan w:val="2"/>
          </w:tcPr>
          <w:p>
            <w:pPr>
              <w:jc w:val="center"/>
              <w:ind w:right="100"/>
              <w:spacing w:after="0" w:line="92" w:lineRule="exact"/>
              <w:rPr>
                <w:sz w:val="20"/>
                <w:szCs w:val="20"/>
                <w:color w:val="auto"/>
              </w:rPr>
            </w:pPr>
            <w:r>
              <w:rPr>
                <w:rFonts w:ascii="Times New Roman" w:cs="Times New Roman" w:eastAsia="Times New Roman" w:hAnsi="Times New Roman"/>
                <w:sz w:val="9"/>
                <w:szCs w:val="9"/>
                <w:b w:val="1"/>
                <w:bCs w:val="1"/>
                <w:color w:val="auto"/>
                <w:w w:val="93"/>
              </w:rPr>
              <w:t>Security</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3"/>
              </w:rPr>
              <w:t>Forward</w:t>
            </w:r>
          </w:p>
        </w:tc>
        <w:tc>
          <w:tcPr>
            <w:tcW w:w="84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9"/>
                <w:szCs w:val="9"/>
                <w:b w:val="1"/>
                <w:bCs w:val="1"/>
                <w:color w:val="auto"/>
              </w:rPr>
              <w:t>Amount</w:t>
            </w:r>
          </w:p>
        </w:tc>
        <w:tc>
          <w:tcPr>
            <w:tcW w:w="68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w w:val="95"/>
              </w:rPr>
              <w:t>Price Per</w:t>
            </w:r>
          </w:p>
        </w:tc>
        <w:tc>
          <w:tcPr>
            <w:tcW w:w="240" w:type="dxa"/>
            <w:vAlign w:val="bottom"/>
          </w:tcPr>
          <w:p>
            <w:pPr>
              <w:spacing w:after="0"/>
              <w:rPr>
                <w:sz w:val="7"/>
                <w:szCs w:val="7"/>
                <w:color w:val="auto"/>
              </w:rPr>
            </w:pPr>
          </w:p>
        </w:tc>
        <w:tc>
          <w:tcPr>
            <w:tcW w:w="9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0"/>
              </w:rPr>
              <w:t>Offering</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w w:val="92"/>
              </w:rPr>
              <w:t>Registration</w:t>
            </w:r>
          </w:p>
        </w:tc>
        <w:tc>
          <w:tcPr>
            <w:tcW w:w="88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9"/>
                <w:szCs w:val="9"/>
                <w:b w:val="1"/>
                <w:bCs w:val="1"/>
                <w:color w:val="auto"/>
                <w:w w:val="93"/>
              </w:rPr>
              <w:t>Forward</w:t>
            </w:r>
          </w:p>
        </w:tc>
        <w:tc>
          <w:tcPr>
            <w:tcW w:w="88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4"/>
              </w:rPr>
              <w:t>Forward File</w:t>
            </w:r>
          </w:p>
        </w:tc>
        <w:tc>
          <w:tcPr>
            <w:tcW w:w="90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9"/>
                <w:szCs w:val="9"/>
                <w:b w:val="1"/>
                <w:bCs w:val="1"/>
                <w:color w:val="auto"/>
                <w:w w:val="93"/>
              </w:rPr>
              <w:t>Initial</w:t>
            </w:r>
          </w:p>
        </w:tc>
        <w:tc>
          <w:tcPr>
            <w:tcW w:w="78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w w:val="90"/>
              </w:rPr>
              <w:t>be Carried</w:t>
            </w:r>
          </w:p>
        </w:tc>
        <w:tc>
          <w:tcPr>
            <w:tcW w:w="0" w:type="dxa"/>
            <w:vAlign w:val="bottom"/>
          </w:tcPr>
          <w:p>
            <w:pPr>
              <w:spacing w:after="0"/>
              <w:rPr>
                <w:sz w:val="1"/>
                <w:szCs w:val="1"/>
                <w:color w:val="auto"/>
              </w:rPr>
            </w:pPr>
          </w:p>
        </w:tc>
      </w:tr>
      <w:tr>
        <w:trPr>
          <w:trHeight w:val="104"/>
        </w:trPr>
        <w:tc>
          <w:tcPr>
            <w:tcW w:w="8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Type</w:t>
            </w:r>
          </w:p>
        </w:tc>
        <w:tc>
          <w:tcPr>
            <w:tcW w:w="1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Security Class Title</w:t>
            </w:r>
          </w:p>
        </w:tc>
        <w:tc>
          <w:tcPr>
            <w:tcW w:w="10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Rule</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9"/>
                <w:szCs w:val="9"/>
                <w:b w:val="1"/>
                <w:bCs w:val="1"/>
                <w:color w:val="auto"/>
              </w:rPr>
              <w:t>Registered</w:t>
            </w:r>
          </w:p>
        </w:tc>
        <w:tc>
          <w:tcPr>
            <w:tcW w:w="24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Unit</w:t>
            </w:r>
          </w:p>
        </w:tc>
        <w:tc>
          <w:tcPr>
            <w:tcW w:w="24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9"/>
              </w:rPr>
              <w:t>Price</w:t>
            </w:r>
          </w:p>
        </w:tc>
        <w:tc>
          <w:tcPr>
            <w:tcW w:w="24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9"/>
                <w:szCs w:val="9"/>
                <w:b w:val="1"/>
                <w:bCs w:val="1"/>
                <w:color w:val="auto"/>
              </w:rPr>
              <w:t>Fee Rate</w:t>
            </w:r>
          </w:p>
        </w:tc>
        <w:tc>
          <w:tcPr>
            <w:tcW w:w="22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8"/>
              </w:rPr>
              <w:t>Fee</w:t>
            </w:r>
          </w:p>
        </w:tc>
        <w:tc>
          <w:tcPr>
            <w:tcW w:w="2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Form Type</w:t>
            </w:r>
          </w:p>
        </w:tc>
        <w:tc>
          <w:tcPr>
            <w:tcW w:w="2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Number</w:t>
            </w:r>
          </w:p>
        </w:tc>
        <w:tc>
          <w:tcPr>
            <w:tcW w:w="22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effective date</w:t>
            </w:r>
          </w:p>
        </w:tc>
        <w:tc>
          <w:tcPr>
            <w:tcW w:w="22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Forward</w:t>
            </w: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160" w:type="dxa"/>
            <w:vAlign w:val="bottom"/>
            <w:gridSpan w:val="3"/>
            <w:shd w:val="clear" w:color="auto" w:fill="CCEEFF"/>
          </w:tcPr>
          <w:p>
            <w:pPr>
              <w:jc w:val="right"/>
              <w:spacing w:after="0" w:line="72" w:lineRule="exact"/>
              <w:rPr>
                <w:sz w:val="20"/>
                <w:szCs w:val="20"/>
                <w:color w:val="auto"/>
              </w:rPr>
            </w:pPr>
            <w:r>
              <w:rPr>
                <w:rFonts w:ascii="Times New Roman" w:cs="Times New Roman" w:eastAsia="Times New Roman" w:hAnsi="Times New Roman"/>
                <w:sz w:val="7"/>
                <w:szCs w:val="7"/>
                <w:color w:val="auto"/>
              </w:rPr>
              <w:t>Newly Registered Securities</w:t>
            </w: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w w:val="94"/>
              </w:rPr>
              <w:t>Ordinary shares, par value</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3"/>
              </w:rPr>
              <w:t>$.001 USD per share of</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3"/>
              </w:rPr>
              <w:t>Weatherford International</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3"/>
              </w:rPr>
              <w:t>public limited company</w:t>
            </w: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92"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60" w:type="dxa"/>
            <w:vAlign w:val="bottom"/>
            <w:vMerge w:val="restart"/>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line="103" w:lineRule="exact"/>
              <w:rPr>
                <w:sz w:val="20"/>
                <w:szCs w:val="20"/>
                <w:color w:val="auto"/>
              </w:rPr>
            </w:pPr>
            <w:r>
              <w:rPr>
                <w:rFonts w:ascii="Times New Roman" w:cs="Times New Roman" w:eastAsia="Times New Roman" w:hAnsi="Times New Roman"/>
                <w:sz w:val="9"/>
                <w:szCs w:val="9"/>
                <w:color w:val="auto"/>
              </w:rPr>
              <w:t>Fees to Be Paid</w:t>
            </w: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9"/>
              </w:rPr>
              <w:t>Equity</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93"/>
              </w:rPr>
              <w:t>(“Weatherford Ireland”)</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w w:val="92"/>
              </w:rPr>
              <w:t>Options of Weatherford</w:t>
            </w:r>
          </w:p>
        </w:tc>
        <w:tc>
          <w:tcPr>
            <w:tcW w:w="10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center"/>
              <w:ind w:right="180"/>
              <w:spacing w:after="0" w:line="81"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9"/>
              </w:rPr>
              <w:t>Equity</w:t>
            </w:r>
          </w:p>
        </w:tc>
        <w:tc>
          <w:tcPr>
            <w:tcW w:w="920" w:type="dxa"/>
            <w:vAlign w:val="bottom"/>
            <w:shd w:val="clear" w:color="auto" w:fill="CCEEFF"/>
          </w:tcPr>
          <w:p>
            <w:pPr>
              <w:jc w:val="center"/>
              <w:spacing w:after="0" w:line="103" w:lineRule="exact"/>
              <w:rPr>
                <w:sz w:val="20"/>
                <w:szCs w:val="20"/>
                <w:color w:val="auto"/>
              </w:rPr>
            </w:pPr>
            <w:r>
              <w:rPr>
                <w:rFonts w:ascii="Times New Roman" w:cs="Times New Roman" w:eastAsia="Times New Roman" w:hAnsi="Times New Roman"/>
                <w:sz w:val="9"/>
                <w:szCs w:val="9"/>
                <w:color w:val="auto"/>
                <w:w w:val="93"/>
              </w:rPr>
              <w:t>Ireland</w:t>
            </w:r>
          </w:p>
        </w:tc>
        <w:tc>
          <w:tcPr>
            <w:tcW w:w="100" w:type="dxa"/>
            <w:vAlign w:val="bottom"/>
            <w:shd w:val="clear" w:color="auto" w:fill="CCEEFF"/>
          </w:tcPr>
          <w:p>
            <w:pPr>
              <w:spacing w:after="0"/>
              <w:rPr>
                <w:sz w:val="8"/>
                <w:szCs w:val="8"/>
                <w:color w:val="auto"/>
              </w:rPr>
            </w:pPr>
          </w:p>
        </w:tc>
        <w:tc>
          <w:tcPr>
            <w:tcW w:w="900" w:type="dxa"/>
            <w:vAlign w:val="bottom"/>
            <w:gridSpan w:val="3"/>
            <w:shd w:val="clear" w:color="auto" w:fill="CCEEFF"/>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shd w:val="clear" w:color="auto" w:fill="CCEEFF"/>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w w:val="92"/>
              </w:rPr>
              <w:t>Warrants of Weatherford</w:t>
            </w: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81"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60" w:type="dxa"/>
            <w:vAlign w:val="bottom"/>
            <w:vMerge w:val="restart"/>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9"/>
              </w:rPr>
              <w:t>Equity</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93"/>
              </w:rPr>
              <w:t>Ireland</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w w:val="95"/>
              </w:rPr>
              <w:t>Share Purchase Contracts</w:t>
            </w:r>
          </w:p>
        </w:tc>
        <w:tc>
          <w:tcPr>
            <w:tcW w:w="10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center"/>
              <w:ind w:right="180"/>
              <w:spacing w:after="0" w:line="81"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7"/>
              </w:rPr>
              <w:t>Other</w:t>
            </w:r>
          </w:p>
        </w:tc>
        <w:tc>
          <w:tcPr>
            <w:tcW w:w="920" w:type="dxa"/>
            <w:vAlign w:val="bottom"/>
            <w:shd w:val="clear" w:color="auto" w:fill="CCEEFF"/>
          </w:tcPr>
          <w:p>
            <w:pPr>
              <w:jc w:val="center"/>
              <w:spacing w:after="0" w:line="103" w:lineRule="exact"/>
              <w:rPr>
                <w:sz w:val="20"/>
                <w:szCs w:val="20"/>
                <w:color w:val="auto"/>
              </w:rPr>
            </w:pPr>
            <w:r>
              <w:rPr>
                <w:rFonts w:ascii="Times New Roman" w:cs="Times New Roman" w:eastAsia="Times New Roman" w:hAnsi="Times New Roman"/>
                <w:sz w:val="9"/>
                <w:szCs w:val="9"/>
                <w:color w:val="auto"/>
                <w:w w:val="93"/>
              </w:rPr>
              <w:t>of Weatherford Ireland</w:t>
            </w:r>
          </w:p>
        </w:tc>
        <w:tc>
          <w:tcPr>
            <w:tcW w:w="100" w:type="dxa"/>
            <w:vAlign w:val="bottom"/>
            <w:shd w:val="clear" w:color="auto" w:fill="CCEEFF"/>
          </w:tcPr>
          <w:p>
            <w:pPr>
              <w:spacing w:after="0"/>
              <w:rPr>
                <w:sz w:val="8"/>
                <w:szCs w:val="8"/>
                <w:color w:val="auto"/>
              </w:rPr>
            </w:pPr>
          </w:p>
        </w:tc>
        <w:tc>
          <w:tcPr>
            <w:tcW w:w="900" w:type="dxa"/>
            <w:vAlign w:val="bottom"/>
            <w:gridSpan w:val="3"/>
            <w:shd w:val="clear" w:color="auto" w:fill="CCEEFF"/>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shd w:val="clear" w:color="auto" w:fill="CCEEFF"/>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CEEFF"/>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color w:val="auto"/>
                <w:w w:val="94"/>
              </w:rPr>
              <w:t>Share Purchase Units of</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1"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color w:val="auto"/>
                <w:w w:val="97"/>
              </w:rPr>
              <w:t>Other</w:t>
            </w:r>
          </w:p>
        </w:tc>
        <w:tc>
          <w:tcPr>
            <w:tcW w:w="920" w:type="dxa"/>
            <w:vAlign w:val="bottom"/>
          </w:tcPr>
          <w:p>
            <w:pPr>
              <w:jc w:val="center"/>
              <w:spacing w:after="0" w:line="110" w:lineRule="exact"/>
              <w:rPr>
                <w:sz w:val="20"/>
                <w:szCs w:val="20"/>
                <w:color w:val="auto"/>
              </w:rPr>
            </w:pPr>
            <w:r>
              <w:rPr>
                <w:rFonts w:ascii="Times New Roman" w:cs="Times New Roman" w:eastAsia="Times New Roman" w:hAnsi="Times New Roman"/>
                <w:sz w:val="8"/>
                <w:szCs w:val="8"/>
                <w:color w:val="auto"/>
              </w:rPr>
              <w:t>Weatherford Ireland</w:t>
            </w:r>
            <w:r>
              <w:rPr>
                <w:rFonts w:ascii="Times New Roman" w:cs="Times New Roman" w:eastAsia="Times New Roman" w:hAnsi="Times New Roman"/>
                <w:sz w:val="12"/>
                <w:szCs w:val="12"/>
                <w:color w:val="auto"/>
                <w:vertAlign w:val="superscript"/>
              </w:rPr>
              <w:t>(3)</w:t>
            </w:r>
          </w:p>
        </w:tc>
        <w:tc>
          <w:tcPr>
            <w:tcW w:w="100" w:type="dxa"/>
            <w:vAlign w:val="bottom"/>
          </w:tcPr>
          <w:p>
            <w:pPr>
              <w:spacing w:after="0"/>
              <w:rPr>
                <w:sz w:val="9"/>
                <w:szCs w:val="9"/>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9"/>
                <w:szCs w:val="9"/>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9"/>
                <w:szCs w:val="9"/>
                <w:color w:val="auto"/>
              </w:rPr>
            </w:pPr>
          </w:p>
        </w:tc>
        <w:tc>
          <w:tcPr>
            <w:tcW w:w="660" w:type="dxa"/>
            <w:vAlign w:val="bottom"/>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9"/>
                <w:szCs w:val="9"/>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9"/>
                <w:szCs w:val="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w w:val="94"/>
              </w:rPr>
              <w:t>Guarantees of Debt</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3"/>
              </w:rPr>
              <w:t>Securities by Weatherford</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7"/>
              </w:rPr>
              <w:t>Other</w:t>
            </w:r>
          </w:p>
        </w:tc>
        <w:tc>
          <w:tcPr>
            <w:tcW w:w="92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8"/>
                <w:szCs w:val="8"/>
                <w:color w:val="auto"/>
                <w:w w:val="99"/>
              </w:rPr>
              <w:t>Ireland</w:t>
            </w:r>
            <w:r>
              <w:rPr>
                <w:rFonts w:ascii="Times New Roman" w:cs="Times New Roman" w:eastAsia="Times New Roman" w:hAnsi="Times New Roman"/>
                <w:sz w:val="12"/>
                <w:szCs w:val="12"/>
                <w:color w:val="auto"/>
                <w:w w:val="99"/>
                <w:vertAlign w:val="superscript"/>
              </w:rPr>
              <w:t>(4)</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w w:val="95"/>
              </w:rPr>
              <w:t>Debt Securities of</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3"/>
              </w:rPr>
              <w:t>Weatherford International</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2"/>
              </w:rPr>
              <w:t>Ltd. (“Weatherford</w:t>
            </w: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92"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60" w:type="dxa"/>
            <w:vAlign w:val="bottom"/>
            <w:vMerge w:val="restart"/>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1"/>
              </w:rPr>
              <w:t>Debt</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94"/>
              </w:rPr>
              <w:t>Bermuda”)</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w w:val="94"/>
              </w:rPr>
              <w:t>Guarantees of Debt</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3"/>
              </w:rPr>
              <w:t>Securities by Weatherford</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7"/>
              </w:rPr>
              <w:t>Other</w:t>
            </w:r>
          </w:p>
        </w:tc>
        <w:tc>
          <w:tcPr>
            <w:tcW w:w="92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8"/>
                <w:szCs w:val="8"/>
                <w:color w:val="auto"/>
              </w:rPr>
              <w:t>Bermuda</w:t>
            </w:r>
            <w:r>
              <w:rPr>
                <w:rFonts w:ascii="Times New Roman" w:cs="Times New Roman" w:eastAsia="Times New Roman" w:hAnsi="Times New Roman"/>
                <w:sz w:val="12"/>
                <w:szCs w:val="12"/>
                <w:color w:val="auto"/>
                <w:vertAlign w:val="superscript"/>
              </w:rPr>
              <w:t>(4)</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w w:val="95"/>
              </w:rPr>
              <w:t>Debt Securities of</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3"/>
              </w:rPr>
              <w:t>Weatherford International,</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color w:val="auto"/>
                <w:w w:val="94"/>
              </w:rPr>
              <w:t>LLC (“Weatherford</w:t>
            </w:r>
          </w:p>
        </w:tc>
        <w:tc>
          <w:tcPr>
            <w:tcW w:w="100" w:type="dxa"/>
            <w:vAlign w:val="bottom"/>
          </w:tcPr>
          <w:p>
            <w:pPr>
              <w:spacing w:after="0"/>
              <w:rPr>
                <w:sz w:val="7"/>
                <w:szCs w:val="7"/>
                <w:color w:val="auto"/>
              </w:rPr>
            </w:pPr>
          </w:p>
        </w:tc>
        <w:tc>
          <w:tcPr>
            <w:tcW w:w="900" w:type="dxa"/>
            <w:vAlign w:val="bottom"/>
            <w:gridSpan w:val="3"/>
          </w:tcPr>
          <w:p>
            <w:pPr>
              <w:jc w:val="center"/>
              <w:ind w:right="180"/>
              <w:spacing w:after="0" w:line="92" w:lineRule="exact"/>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tcPr>
          <w:p>
            <w:pPr>
              <w:spacing w:after="0"/>
              <w:rPr>
                <w:sz w:val="7"/>
                <w:szCs w:val="7"/>
                <w:color w:val="auto"/>
              </w:rPr>
            </w:pPr>
          </w:p>
        </w:tc>
        <w:tc>
          <w:tcPr>
            <w:tcW w:w="660" w:type="dxa"/>
            <w:vAlign w:val="bottom"/>
            <w:vMerge w:val="restart"/>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91"/>
              </w:rPr>
              <w:t>Debt</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96"/>
              </w:rPr>
              <w:t>Delaware”)</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w w:val="94"/>
              </w:rPr>
              <w:t>Guarantees of Debt</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3"/>
              </w:rPr>
              <w:t>Securities by Weatherford</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456(b) and</w:t>
            </w: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9"/>
                <w:szCs w:val="9"/>
                <w:color w:val="auto"/>
                <w:w w:val="97"/>
              </w:rPr>
              <w:t>Other</w:t>
            </w:r>
          </w:p>
        </w:tc>
        <w:tc>
          <w:tcPr>
            <w:tcW w:w="92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8"/>
                <w:szCs w:val="8"/>
                <w:color w:val="auto"/>
                <w:w w:val="99"/>
              </w:rPr>
              <w:t>Delaware</w:t>
            </w:r>
            <w:r>
              <w:rPr>
                <w:rFonts w:ascii="Times New Roman" w:cs="Times New Roman" w:eastAsia="Times New Roman" w:hAnsi="Times New Roman"/>
                <w:sz w:val="12"/>
                <w:szCs w:val="12"/>
                <w:color w:val="auto"/>
                <w:w w:val="99"/>
                <w:vertAlign w:val="superscript"/>
              </w:rPr>
              <w:t>(4)</w:t>
            </w:r>
          </w:p>
        </w:tc>
        <w:tc>
          <w:tcPr>
            <w:tcW w:w="10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9"/>
                <w:szCs w:val="9"/>
                <w:color w:val="auto"/>
                <w:w w:val="95"/>
              </w:rPr>
              <w:t>Rule 457(r)</w:t>
            </w:r>
          </w:p>
        </w:tc>
        <w:tc>
          <w:tcPr>
            <w:tcW w:w="6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7"/>
                <w:szCs w:val="7"/>
                <w:color w:val="auto"/>
              </w:rPr>
              <w:t>(1)</w:t>
            </w:r>
          </w:p>
        </w:tc>
        <w:tc>
          <w:tcPr>
            <w:tcW w:w="92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7"/>
                <w:szCs w:val="7"/>
                <w:color w:val="auto"/>
              </w:rPr>
              <w:t>(1)</w:t>
            </w: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7"/>
                <w:szCs w:val="7"/>
                <w:color w:val="auto"/>
              </w:rPr>
              <w:t>(2)</w:t>
            </w:r>
          </w:p>
        </w:tc>
        <w:tc>
          <w:tcPr>
            <w:tcW w:w="22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1"/>
        </w:trPr>
        <w:tc>
          <w:tcPr>
            <w:tcW w:w="800" w:type="dxa"/>
            <w:vAlign w:val="bottom"/>
          </w:tcPr>
          <w:p>
            <w:pPr>
              <w:jc w:val="center"/>
              <w:ind w:right="97"/>
              <w:spacing w:after="0" w:line="81" w:lineRule="exact"/>
              <w:rPr>
                <w:sz w:val="20"/>
                <w:szCs w:val="20"/>
                <w:color w:val="auto"/>
              </w:rPr>
            </w:pPr>
            <w:r>
              <w:rPr>
                <w:rFonts w:ascii="Times New Roman" w:cs="Times New Roman" w:eastAsia="Times New Roman" w:hAnsi="Times New Roman"/>
                <w:sz w:val="9"/>
                <w:szCs w:val="9"/>
                <w:color w:val="auto"/>
                <w:w w:val="94"/>
              </w:rPr>
              <w:t>Fees Previously</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jc w:val="center"/>
              <w:ind w:right="77"/>
              <w:spacing w:after="0" w:line="103" w:lineRule="exact"/>
              <w:rPr>
                <w:sz w:val="20"/>
                <w:szCs w:val="20"/>
                <w:color w:val="auto"/>
              </w:rPr>
            </w:pPr>
            <w:r>
              <w:rPr>
                <w:rFonts w:ascii="Times New Roman" w:cs="Times New Roman" w:eastAsia="Times New Roman" w:hAnsi="Times New Roman"/>
                <w:sz w:val="9"/>
                <w:szCs w:val="9"/>
                <w:color w:val="auto"/>
                <w:w w:val="99"/>
              </w:rPr>
              <w:t>Paid</w:t>
            </w: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840" w:type="dxa"/>
            <w:vAlign w:val="bottom"/>
            <w:gridSpan w:val="2"/>
          </w:tcPr>
          <w:p>
            <w:pPr>
              <w:jc w:val="right"/>
              <w:ind w:right="480"/>
              <w:spacing w:after="0" w:line="10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ind w:right="202"/>
              <w:spacing w:after="0" w:line="103"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920" w:type="dxa"/>
            <w:vAlign w:val="bottom"/>
            <w:gridSpan w:val="2"/>
          </w:tcPr>
          <w:p>
            <w:pPr>
              <w:jc w:val="right"/>
              <w:ind w:right="4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jc w:val="right"/>
              <w:ind w:right="44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jc w:val="right"/>
              <w:ind w:right="46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2"/>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w w:val="98"/>
              </w:rPr>
              <w:t>Carry Forward Securities</w:t>
            </w: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tcPr>
          <w:p>
            <w:pPr>
              <w:jc w:val="center"/>
              <w:ind w:right="97"/>
              <w:spacing w:after="0" w:line="81" w:lineRule="exact"/>
              <w:rPr>
                <w:sz w:val="20"/>
                <w:szCs w:val="20"/>
                <w:color w:val="auto"/>
              </w:rPr>
            </w:pPr>
            <w:r>
              <w:rPr>
                <w:rFonts w:ascii="Times New Roman" w:cs="Times New Roman" w:eastAsia="Times New Roman" w:hAnsi="Times New Roman"/>
                <w:sz w:val="9"/>
                <w:szCs w:val="9"/>
                <w:color w:val="auto"/>
                <w:w w:val="93"/>
              </w:rPr>
              <w:t>Carry Forward</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0" w:type="dxa"/>
            <w:vAlign w:val="bottom"/>
          </w:tcPr>
          <w:p>
            <w:pPr>
              <w:jc w:val="center"/>
              <w:ind w:right="97"/>
              <w:spacing w:after="0" w:line="103" w:lineRule="exact"/>
              <w:rPr>
                <w:sz w:val="20"/>
                <w:szCs w:val="20"/>
                <w:color w:val="auto"/>
              </w:rPr>
            </w:pPr>
            <w:r>
              <w:rPr>
                <w:rFonts w:ascii="Times New Roman" w:cs="Times New Roman" w:eastAsia="Times New Roman" w:hAnsi="Times New Roman"/>
                <w:sz w:val="9"/>
                <w:szCs w:val="9"/>
                <w:color w:val="auto"/>
                <w:w w:val="95"/>
              </w:rPr>
              <w:t>Securities</w:t>
            </w:r>
          </w:p>
        </w:tc>
        <w:tc>
          <w:tcPr>
            <w:tcW w:w="68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920" w:type="dxa"/>
            <w:vAlign w:val="bottom"/>
          </w:tcPr>
          <w:p>
            <w:pPr>
              <w:jc w:val="center"/>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100" w:type="dxa"/>
            <w:vAlign w:val="bottom"/>
          </w:tcPr>
          <w:p>
            <w:pPr>
              <w:spacing w:after="0"/>
              <w:rPr>
                <w:sz w:val="8"/>
                <w:szCs w:val="8"/>
                <w:color w:val="auto"/>
              </w:rPr>
            </w:pPr>
          </w:p>
        </w:tc>
        <w:tc>
          <w:tcPr>
            <w:tcW w:w="900" w:type="dxa"/>
            <w:vAlign w:val="bottom"/>
            <w:gridSpan w:val="3"/>
          </w:tcPr>
          <w:p>
            <w:pPr>
              <w:jc w:val="center"/>
              <w:ind w:right="180"/>
              <w:spacing w:after="0" w:line="103" w:lineRule="exact"/>
              <w:rPr>
                <w:sz w:val="20"/>
                <w:szCs w:val="20"/>
                <w:color w:val="auto"/>
              </w:rPr>
            </w:pPr>
            <w:r>
              <w:rPr>
                <w:rFonts w:ascii="Times New Roman" w:cs="Times New Roman" w:eastAsia="Times New Roman" w:hAnsi="Times New Roman"/>
                <w:sz w:val="9"/>
                <w:szCs w:val="9"/>
                <w:color w:val="auto"/>
                <w:w w:val="88"/>
              </w:rPr>
              <w:t>—</w:t>
            </w:r>
          </w:p>
        </w:tc>
        <w:tc>
          <w:tcPr>
            <w:tcW w:w="840" w:type="dxa"/>
            <w:vAlign w:val="bottom"/>
            <w:gridSpan w:val="2"/>
          </w:tcPr>
          <w:p>
            <w:pPr>
              <w:ind w:left="520"/>
              <w:spacing w:after="0" w:line="10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92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900" w:type="dxa"/>
            <w:vAlign w:val="bottom"/>
            <w:gridSpan w:val="2"/>
          </w:tcPr>
          <w:p>
            <w:pPr>
              <w:ind w:left="600"/>
              <w:spacing w:after="0" w:line="103" w:lineRule="exact"/>
              <w:rPr>
                <w:sz w:val="20"/>
                <w:szCs w:val="20"/>
                <w:color w:val="auto"/>
              </w:rPr>
            </w:pPr>
            <w:r>
              <w:rPr>
                <w:rFonts w:ascii="Times New Roman" w:cs="Times New Roman" w:eastAsia="Times New Roman" w:hAnsi="Times New Roman"/>
                <w:sz w:val="9"/>
                <w:szCs w:val="9"/>
                <w:color w:val="auto"/>
              </w:rPr>
              <w:t>—</w:t>
            </w:r>
          </w:p>
        </w:tc>
        <w:tc>
          <w:tcPr>
            <w:tcW w:w="780" w:type="dxa"/>
            <w:vAlign w:val="bottom"/>
            <w:gridSpan w:val="2"/>
          </w:tcPr>
          <w:p>
            <w:pPr>
              <w:ind w:left="580"/>
              <w:spacing w:after="0" w:line="10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2"/>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0" w:type="dxa"/>
            <w:vAlign w:val="bottom"/>
            <w:gridSpan w:val="4"/>
            <w:shd w:val="clear" w:color="auto" w:fill="CCEEFF"/>
          </w:tcPr>
          <w:p>
            <w:pPr>
              <w:jc w:val="center"/>
              <w:ind w:right="60"/>
              <w:spacing w:after="0" w:line="92" w:lineRule="exact"/>
              <w:rPr>
                <w:sz w:val="20"/>
                <w:szCs w:val="20"/>
                <w:color w:val="auto"/>
              </w:rPr>
            </w:pPr>
            <w:r>
              <w:rPr>
                <w:rFonts w:ascii="Times New Roman" w:cs="Times New Roman" w:eastAsia="Times New Roman" w:hAnsi="Times New Roman"/>
                <w:sz w:val="9"/>
                <w:szCs w:val="9"/>
                <w:color w:val="auto"/>
                <w:w w:val="93"/>
              </w:rPr>
              <w:t>Total Offering Amounts</w:t>
            </w: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gridSpan w:val="2"/>
            <w:shd w:val="clear" w:color="auto" w:fill="CCEEFF"/>
          </w:tcPr>
          <w:p>
            <w:pPr>
              <w:ind w:left="600"/>
              <w:spacing w:after="0" w:line="92"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gridSpan w:val="2"/>
            <w:shd w:val="clear" w:color="auto" w:fill="CCEEFF"/>
          </w:tcPr>
          <w:p>
            <w:pPr>
              <w:ind w:left="580"/>
              <w:spacing w:after="0" w:line="92"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0" w:type="dxa"/>
            <w:vAlign w:val="bottom"/>
            <w:gridSpan w:val="4"/>
          </w:tcPr>
          <w:p>
            <w:pPr>
              <w:jc w:val="center"/>
              <w:ind w:right="80"/>
              <w:spacing w:after="0" w:line="92" w:lineRule="exact"/>
              <w:rPr>
                <w:sz w:val="20"/>
                <w:szCs w:val="20"/>
                <w:color w:val="auto"/>
              </w:rPr>
            </w:pPr>
            <w:r>
              <w:rPr>
                <w:rFonts w:ascii="Times New Roman" w:cs="Times New Roman" w:eastAsia="Times New Roman" w:hAnsi="Times New Roman"/>
                <w:sz w:val="9"/>
                <w:szCs w:val="9"/>
                <w:color w:val="auto"/>
                <w:w w:val="95"/>
              </w:rPr>
              <w:t>Total Fees Previously Paid</w:t>
            </w: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ind w:left="580"/>
              <w:spacing w:after="0" w:line="92"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center"/>
              <w:ind w:right="180"/>
              <w:spacing w:after="0" w:line="92" w:lineRule="exact"/>
              <w:rPr>
                <w:sz w:val="20"/>
                <w:szCs w:val="20"/>
                <w:color w:val="auto"/>
              </w:rPr>
            </w:pPr>
            <w:r>
              <w:rPr>
                <w:rFonts w:ascii="Times New Roman" w:cs="Times New Roman" w:eastAsia="Times New Roman" w:hAnsi="Times New Roman"/>
                <w:sz w:val="9"/>
                <w:szCs w:val="9"/>
                <w:color w:val="auto"/>
                <w:w w:val="95"/>
              </w:rPr>
              <w:t>Total Fee Offsets</w:t>
            </w:r>
          </w:p>
        </w:tc>
        <w:tc>
          <w:tcPr>
            <w:tcW w:w="6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gridSpan w:val="2"/>
            <w:shd w:val="clear" w:color="auto" w:fill="CCEEFF"/>
          </w:tcPr>
          <w:p>
            <w:pPr>
              <w:ind w:left="580"/>
              <w:spacing w:after="0" w:line="92"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color w:val="auto"/>
                <w:w w:val="96"/>
              </w:rPr>
              <w:t>Net Fee Due</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0" w:right="299" w:bottom="1440" w:gutter="0" w:footer="0" w:header="0"/>
        </w:sectPr>
      </w:pPr>
    </w:p>
    <w:bookmarkStart w:id="172" w:name="page173"/>
    <w:bookmarkEnd w:id="172"/>
    <w:p>
      <w:pPr>
        <w:jc w:val="both"/>
        <w:ind w:left="167" w:hanging="167"/>
        <w:spacing w:after="0" w:line="218" w:lineRule="auto"/>
        <w:tabs>
          <w:tab w:leader="none" w:pos="167" w:val="left"/>
        </w:tabs>
        <w:numPr>
          <w:ilvl w:val="0"/>
          <w:numId w:val="13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167" w:hanging="167"/>
        <w:spacing w:after="0" w:line="212" w:lineRule="auto"/>
        <w:tabs>
          <w:tab w:leader="none" w:pos="167" w:val="left"/>
        </w:tabs>
        <w:numPr>
          <w:ilvl w:val="0"/>
          <w:numId w:val="13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 accordance with Rules 456(b) and 457(r) under the Securities Act, the registrant is deferring payment of all registration fees.</w:t>
      </w:r>
    </w:p>
    <w:p>
      <w:pPr>
        <w:ind w:left="167" w:hanging="167"/>
        <w:spacing w:after="0" w:line="212" w:lineRule="auto"/>
        <w:tabs>
          <w:tab w:leader="none" w:pos="167" w:val="left"/>
        </w:tabs>
        <w:numPr>
          <w:ilvl w:val="0"/>
          <w:numId w:val="13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Each unit may be issued under one or more unit agreements and will represent an interest in share purchase contracts, debt securities or debt obligations of third parties, including U.S. Treasury securities.</w:t>
      </w:r>
    </w:p>
    <w:p>
      <w:pPr>
        <w:ind w:left="167" w:right="20" w:hanging="167"/>
        <w:spacing w:after="0" w:line="224" w:lineRule="auto"/>
        <w:tabs>
          <w:tab w:leader="none" w:pos="167" w:val="left"/>
        </w:tabs>
        <w:numPr>
          <w:ilvl w:val="0"/>
          <w:numId w:val="13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Debt securities issued by Weatherford Bermuda may be guaranteed by Weatherford Ireland and Weatherford Delaware. Debt securities issued by Weatherford Delaware may be guaranteed by Weatherford Ireland and Weatherford Bermuda. In accordance with Rule 457(n), no separate fee is payable with respect to the guarantees of the debt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767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6770" cy="5715"/>
                    </a:xfrm>
                    <a:prstGeom prst="rect">
                      <a:avLst/>
                    </a:prstGeom>
                    <a:noFill/>
                  </pic:spPr>
                </pic:pic>
              </a:graphicData>
            </a:graphic>
          </wp:anchor>
        </w:drawing>
      </w:r>
    </w:p>
    <w:sectPr>
      <w:pgSz w:w="11900" w:h="16838" w:orient="portrait"/>
      <w:cols w:equalWidth="0" w:num="1">
        <w:col w:w="11307"/>
      </w:cols>
      <w:pgMar w:left="293" w:top="6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1)"/>
      <w:numFmt w:val="decimal"/>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1)"/>
      <w:numFmt w:val="upperLetter"/>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1)"/>
      <w:numFmt w:val="decimal"/>
      <w:start w:val="1"/>
    </w:lvl>
    <w:lvl w:ilvl="1">
      <w:lvlJc w:val="left"/>
      <w:lvlText w:val="(%2)"/>
      <w:numFmt w:val="lowerRoman"/>
      <w:start w:val="1"/>
    </w:lvl>
  </w:abstractNum>
  <w:abstractNum w:abstractNumId="28">
    <w:nsid w:val="68EB2F63"/>
    <w:multiLevelType w:val="hybridMultilevel"/>
    <w:lvl w:ilvl="0">
      <w:lvlJc w:val="left"/>
      <w:lvlText w:val="(%1)"/>
      <w:numFmt w:val="decimal"/>
      <w:start w:val="2"/>
    </w:lvl>
    <w:lvl w:ilvl="1">
      <w:lvlJc w:val="left"/>
      <w:lvlText w:val="(%2)"/>
      <w:numFmt w:val="lowerRoman"/>
      <w:start w:val="1"/>
    </w:lvl>
  </w:abstractNum>
  <w:abstractNum w:abstractNumId="29">
    <w:nsid w:val="4962813B"/>
    <w:multiLevelType w:val="hybridMultilevel"/>
    <w:lvl w:ilvl="0">
      <w:lvlJc w:val="left"/>
      <w:lvlText w:val="(%1)"/>
      <w:numFmt w:val="decimal"/>
      <w:start w:val="5"/>
    </w:lvl>
    <w:lvl w:ilvl="1">
      <w:lvlJc w:val="left"/>
      <w:lvlText w:val="(%2)"/>
      <w:numFmt w:val="lowerRoman"/>
      <w:start w:val="1"/>
    </w:lvl>
  </w:abstractNum>
  <w:abstractNum w:abstractNumId="30">
    <w:nsid w:val="60B6DF70"/>
    <w:multiLevelType w:val="hybridMultilevel"/>
    <w:lvl w:ilvl="0">
      <w:lvlJc w:val="left"/>
      <w:lvlText w:val="(%1)"/>
      <w:numFmt w:val="lowerLetter"/>
      <w:start w:val="2"/>
    </w:lvl>
  </w:abstractNum>
  <w:abstractNum w:abstractNumId="31">
    <w:nsid w:val="6A5EE64"/>
    <w:multiLevelType w:val="hybridMultilevel"/>
    <w:lvl w:ilvl="0">
      <w:lvlJc w:val="left"/>
      <w:lvlText w:val="(%1)"/>
      <w:numFmt w:val="decimal"/>
      <w:start w:val="1"/>
    </w:lvl>
  </w:abstractNum>
  <w:abstractNum w:abstractNumId="32">
    <w:nsid w:val="14330624"/>
    <w:multiLevelType w:val="hybridMultilevel"/>
    <w:lvl w:ilvl="0">
      <w:lvlJc w:val="left"/>
      <w:lvlText w:val="(%1)"/>
      <w:numFmt w:val="decimal"/>
      <w:start w:val="2"/>
    </w:lvl>
  </w:abstractNum>
  <w:abstractNum w:abstractNumId="33">
    <w:nsid w:val="7FFFCA11"/>
    <w:multiLevelType w:val="hybridMultilevel"/>
    <w:lvl w:ilvl="0">
      <w:lvlJc w:val="left"/>
      <w:lvlText w:val="(%1)"/>
      <w:numFmt w:val="lowerRoman"/>
      <w:start w:val="1"/>
    </w:lvl>
  </w:abstractNum>
  <w:abstractNum w:abstractNumId="34">
    <w:nsid w:val="1A27709E"/>
    <w:multiLevelType w:val="hybridMultilevel"/>
    <w:lvl w:ilvl="0">
      <w:lvlJc w:val="left"/>
      <w:lvlText w:val="(%1)"/>
      <w:numFmt w:val="lowerRoman"/>
      <w:start w:val="2"/>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4"/>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lowerLetter"/>
      <w:start w:val="3"/>
    </w:lvl>
  </w:abstractNum>
  <w:abstractNum w:abstractNumId="39">
    <w:nsid w:val="6F6DD9AC"/>
    <w:multiLevelType w:val="hybridMultilevel"/>
    <w:lvl w:ilvl="0">
      <w:lvlJc w:val="left"/>
      <w:lvlText w:val="(%1)"/>
      <w:numFmt w:val="decimal"/>
      <w:start w:val="1"/>
    </w:lvl>
  </w:abstractNum>
  <w:abstractNum w:abstractNumId="40">
    <w:nsid w:val="94211F2"/>
    <w:multiLevelType w:val="hybridMultilevel"/>
    <w:lvl w:ilvl="0">
      <w:lvlJc w:val="left"/>
      <w:lvlText w:val="(%1)"/>
      <w:numFmt w:val="lowerLetter"/>
      <w:start w:val="1"/>
    </w:lvl>
  </w:abstractNum>
  <w:abstractNum w:abstractNumId="41">
    <w:nsid w:val="885E1B"/>
    <w:multiLevelType w:val="hybridMultilevel"/>
    <w:lvl w:ilvl="0">
      <w:lvlJc w:val="left"/>
      <w:lvlText w:val="(%1)"/>
      <w:numFmt w:val="lowerLetter"/>
      <w:start w:val="2"/>
    </w:lvl>
  </w:abstractNum>
  <w:abstractNum w:abstractNumId="42">
    <w:nsid w:val="76272110"/>
    <w:multiLevelType w:val="hybridMultilevel"/>
    <w:lvl w:ilvl="0">
      <w:lvlJc w:val="left"/>
      <w:lvlText w:val="(%1)"/>
      <w:numFmt w:val="decimal"/>
      <w:start w:val="1"/>
    </w:lvl>
  </w:abstractNum>
  <w:abstractNum w:abstractNumId="43">
    <w:nsid w:val="4C04A8AF"/>
    <w:multiLevelType w:val="hybridMultilevel"/>
    <w:lvl w:ilvl="0">
      <w:lvlJc w:val="left"/>
      <w:lvlText w:val="(%1)"/>
      <w:numFmt w:val="decimal"/>
      <w:start w:val="10"/>
    </w:lvl>
  </w:abstractNum>
  <w:abstractNum w:abstractNumId="44">
    <w:nsid w:val="1716703B"/>
    <w:multiLevelType w:val="hybridMultilevel"/>
    <w:lvl w:ilvl="0">
      <w:lvlJc w:val="left"/>
      <w:lvlText w:val="(%1)"/>
      <w:numFmt w:val="decimal"/>
      <w:start w:val="20"/>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Roman"/>
      <w:start w:val="1"/>
    </w:lvl>
  </w:abstractNum>
  <w:abstractNum w:abstractNumId="47">
    <w:nsid w:val="74DE0EE3"/>
    <w:multiLevelType w:val="hybridMultilevel"/>
    <w:lvl w:ilvl="0">
      <w:lvlJc w:val="left"/>
      <w:lvlText w:val="(%1)"/>
      <w:numFmt w:val="lowerRoman"/>
      <w:start w:val="2"/>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decimal"/>
      <w:start w:val="2"/>
    </w:lvl>
  </w:abstractNum>
  <w:abstractNum w:abstractNumId="50">
    <w:nsid w:val="46B7D447"/>
    <w:multiLevelType w:val="hybridMultilevel"/>
    <w:lvl w:ilvl="0">
      <w:lvlJc w:val="left"/>
      <w:lvlText w:val="(%1)"/>
      <w:numFmt w:val="decimal"/>
      <w:start w:val="1"/>
    </w:lvl>
    <w:lvl w:ilvl="1">
      <w:lvlJc w:val="left"/>
      <w:lvlText w:val="(%2)"/>
      <w:numFmt w:val="upperLetter"/>
      <w:start w:val="1"/>
    </w:lvl>
  </w:abstractNum>
  <w:abstractNum w:abstractNumId="51">
    <w:nsid w:val="4A2AC315"/>
    <w:multiLevelType w:val="hybridMultilevel"/>
    <w:lvl w:ilvl="0">
      <w:lvlJc w:val="left"/>
      <w:lvlText w:val="(%1)"/>
      <w:numFmt w:val="upperLetter"/>
      <w:start w:val="2"/>
    </w:lvl>
    <w:lvl w:ilvl="1">
      <w:lvlJc w:val="left"/>
      <w:lvlText w:val="(%2)"/>
      <w:numFmt w:val="lowerRoman"/>
      <w:start w:val="1"/>
    </w:lvl>
  </w:abstractNum>
  <w:abstractNum w:abstractNumId="52">
    <w:nsid w:val="39EE015C"/>
    <w:multiLevelType w:val="hybridMultilevel"/>
    <w:lvl w:ilvl="0">
      <w:lvlJc w:val="left"/>
      <w:lvlText w:val="(%1)"/>
      <w:numFmt w:val="decimal"/>
      <w:start w:val="2"/>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lowerLetter"/>
      <w:start w:val="1"/>
    </w:lvl>
    <w:lvl w:ilvl="1">
      <w:lvlJc w:val="left"/>
      <w:lvlText w:val="(%2)"/>
      <w:numFmt w:val="decimal"/>
      <w:start w:val="2"/>
    </w:lvl>
  </w:abstractNum>
  <w:abstractNum w:abstractNumId="56">
    <w:nsid w:val="60EF0119"/>
    <w:multiLevelType w:val="hybridMultilevel"/>
    <w:lvl w:ilvl="0">
      <w:lvlJc w:val="left"/>
      <w:lvlText w:val="(%1)"/>
      <w:numFmt w:val="lowerLetter"/>
      <w:start w:val="5"/>
    </w:lvl>
    <w:lvl w:ilvl="1">
      <w:lvlJc w:val="left"/>
      <w:lvlText w:val="(%2)"/>
      <w:numFmt w:val="decimal"/>
      <w:start w:val="3"/>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1"/>
    </w:lvl>
    <w:lvl w:ilvl="1">
      <w:lvlJc w:val="left"/>
      <w:lvlText w:val="(%2)"/>
      <w:numFmt w:val="lowerLetter"/>
      <w:start w:val="4"/>
    </w:lvl>
  </w:abstractNum>
  <w:abstractNum w:abstractNumId="59">
    <w:nsid w:val="49DA307D"/>
    <w:multiLevelType w:val="hybridMultilevel"/>
    <w:lvl w:ilvl="0">
      <w:lvlJc w:val="left"/>
      <w:lvlText w:val="(%1)"/>
      <w:numFmt w:val="lowerLetter"/>
      <w:start w:val="35"/>
    </w:lvl>
    <w:lvl w:ilvl="1">
      <w:lvlJc w:val="left"/>
      <w:lvlText w:val="(%2)"/>
      <w:numFmt w:val="lowerLetter"/>
      <w:start w:val="5"/>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2"/>
    </w:lvl>
  </w:abstractNum>
  <w:abstractNum w:abstractNumId="62">
    <w:nsid w:val="50801EE1"/>
    <w:multiLevelType w:val="hybridMultilevel"/>
    <w:lvl w:ilvl="0">
      <w:lvlJc w:val="left"/>
      <w:lvlText w:val="(%1)"/>
      <w:numFmt w:val="decimal"/>
      <w:start w:val="7"/>
    </w:lvl>
  </w:abstractNum>
  <w:abstractNum w:abstractNumId="63">
    <w:nsid w:val="488AC1A"/>
    <w:multiLevelType w:val="hybridMultilevel"/>
    <w:lvl w:ilvl="0">
      <w:lvlJc w:val="left"/>
      <w:lvlText w:val="(%1)"/>
      <w:numFmt w:val="decimal"/>
      <w:start w:val="1"/>
    </w:lvl>
    <w:lvl w:ilvl="1">
      <w:lvlJc w:val="left"/>
      <w:lvlText w:val="(%2)"/>
      <w:numFmt w:val="upperLetter"/>
      <w:start w:val="1"/>
    </w:lvl>
  </w:abstractNum>
  <w:abstractNum w:abstractNumId="64">
    <w:nsid w:val="5FB8011C"/>
    <w:multiLevelType w:val="hybridMultilevel"/>
    <w:lvl w:ilvl="0">
      <w:lvlJc w:val="left"/>
      <w:lvlText w:val="%1"/>
      <w:numFmt w:val="decimal"/>
      <w:start w:val="1"/>
    </w:lvl>
    <w:lvl w:ilvl="1">
      <w:lvlJc w:val="left"/>
      <w:lvlText w:val="(%2)"/>
      <w:numFmt w:val="upperLetter"/>
      <w:start w:val="2"/>
    </w:lvl>
  </w:abstractNum>
  <w:abstractNum w:abstractNumId="65">
    <w:nsid w:val="6AA78F7F"/>
    <w:multiLevelType w:val="hybridMultilevel"/>
    <w:lvl w:ilvl="0">
      <w:lvlJc w:val="left"/>
      <w:lvlText w:val="(%1)"/>
      <w:numFmt w:val="decimal"/>
      <w:start w:val="2"/>
    </w:lvl>
    <w:lvl w:ilvl="1">
      <w:lvlJc w:val="left"/>
      <w:lvlText w:val="%2"/>
      <w:numFmt w:val="upperLetter"/>
      <w:start w:val="1"/>
    </w:lvl>
  </w:abstractNum>
  <w:abstractNum w:abstractNumId="66">
    <w:nsid w:val="7672BD23"/>
    <w:multiLevelType w:val="hybridMultilevel"/>
    <w:lvl w:ilvl="0">
      <w:lvlJc w:val="left"/>
      <w:lvlText w:val="(%1)"/>
      <w:numFmt w:val="decimal"/>
      <w:start w:val="1"/>
    </w:lvl>
  </w:abstractNum>
  <w:abstractNum w:abstractNumId="67">
    <w:nsid w:val="6FC75AF8"/>
    <w:multiLevelType w:val="hybridMultilevel"/>
    <w:lvl w:ilvl="0">
      <w:lvlJc w:val="left"/>
      <w:lvlText w:val="(%1)"/>
      <w:numFmt w:val="lowerRoman"/>
      <w:start w:val="1"/>
    </w:lvl>
  </w:abstractNum>
  <w:abstractNum w:abstractNumId="68">
    <w:nsid w:val="6A5F7029"/>
    <w:multiLevelType w:val="hybridMultilevel"/>
    <w:lvl w:ilvl="0">
      <w:lvlJc w:val="left"/>
      <w:lvlText w:val="(%1)"/>
      <w:numFmt w:val="decimal"/>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1)"/>
      <w:numFmt w:val="decimal"/>
      <w:start w:val="1"/>
    </w:lvl>
  </w:abstractNum>
  <w:abstractNum w:abstractNumId="71">
    <w:nsid w:val="73A1821B"/>
    <w:multiLevelType w:val="hybridMultilevel"/>
    <w:lvl w:ilvl="0">
      <w:lvlJc w:val="left"/>
      <w:lvlText w:val="(%1)"/>
      <w:numFmt w:val="lowerLetter"/>
      <w:start w:val="1"/>
    </w:lvl>
    <w:lvl w:ilvl="1">
      <w:lvlJc w:val="left"/>
      <w:lvlText w:val="(%2)"/>
      <w:numFmt w:val="decimal"/>
      <w:start w:val="1"/>
    </w:lvl>
  </w:abstractNum>
  <w:abstractNum w:abstractNumId="72">
    <w:nsid w:val="7DE67713"/>
    <w:multiLevelType w:val="hybridMultilevel"/>
    <w:lvl w:ilvl="0">
      <w:lvlJc w:val="left"/>
      <w:lvlText w:val="(%1)"/>
      <w:numFmt w:val="lowerLetter"/>
      <w:start w:val="2"/>
    </w:lvl>
    <w:lvl w:ilvl="1">
      <w:lvlJc w:val="left"/>
      <w:lvlText w:val="(%2)"/>
      <w:numFmt w:val="decimal"/>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7"/>
    </w:lvl>
  </w:abstractNum>
  <w:abstractNum w:abstractNumId="75">
    <w:nsid w:val="14FCE74E"/>
    <w:multiLevelType w:val="hybridMultilevel"/>
    <w:lvl w:ilvl="0">
      <w:lvlJc w:val="left"/>
      <w:lvlText w:val="(%1)"/>
      <w:numFmt w:val="lowerLetter"/>
      <w:start w:val="16"/>
    </w:lvl>
  </w:abstractNum>
  <w:abstractNum w:abstractNumId="76">
    <w:nsid w:val="6A3DD3E8"/>
    <w:multiLevelType w:val="hybridMultilevel"/>
    <w:lvl w:ilvl="0">
      <w:lvlJc w:val="left"/>
      <w:lvlText w:val="(%1)"/>
      <w:numFmt w:val="decimal"/>
      <w:start w:val="1"/>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3"/>
    </w:lvl>
    <w:lvl w:ilvl="1">
      <w:lvlJc w:val="left"/>
      <w:lvlText w:val="(%2)"/>
      <w:numFmt w:val="decimal"/>
      <w:start w:val="1"/>
    </w:lvl>
  </w:abstractNum>
  <w:abstractNum w:abstractNumId="79">
    <w:nsid w:val="53299938"/>
    <w:multiLevelType w:val="hybridMultilevel"/>
    <w:lvl w:ilvl="0">
      <w:lvlJc w:val="left"/>
      <w:lvlText w:val="(%1)"/>
      <w:numFmt w:val="lowerLetter"/>
      <w:start w:val="5"/>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lowerLetter"/>
      <w:start w:val="3"/>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Roman"/>
      <w:start w:val="1"/>
    </w:lvl>
  </w:abstractNum>
  <w:abstractNum w:abstractNumId="85">
    <w:nsid w:val="2A155DBC"/>
    <w:multiLevelType w:val="hybridMultilevel"/>
    <w:lvl w:ilvl="0">
      <w:lvlJc w:val="left"/>
      <w:lvlText w:val="(%1)"/>
      <w:numFmt w:val="lowerLetter"/>
      <w:start w:val="3"/>
    </w:lvl>
  </w:abstractNum>
  <w:abstractNum w:abstractNumId="86">
    <w:nsid w:val="1D9F6E5F"/>
    <w:multiLevelType w:val="hybridMultilevel"/>
    <w:lvl w:ilvl="0">
      <w:lvlJc w:val="left"/>
      <w:lvlText w:val="(%1)"/>
      <w:numFmt w:val="lowerLetter"/>
      <w:start w:val="1"/>
    </w:lvl>
  </w:abstractNum>
  <w:abstractNum w:abstractNumId="87">
    <w:nsid w:val="97E1B4E"/>
    <w:multiLevelType w:val="hybridMultilevel"/>
    <w:lvl w:ilvl="0">
      <w:lvlJc w:val="left"/>
      <w:lvlText w:val="(%1)"/>
      <w:numFmt w:val="decimal"/>
      <w:start w:val="1"/>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2"/>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1)"/>
      <w:numFmt w:val="decimal"/>
      <w:start w:val="7"/>
    </w:lvl>
  </w:abstractNum>
  <w:abstractNum w:abstractNumId="93">
    <w:nsid w:val="23D86AAC"/>
    <w:multiLevelType w:val="hybridMultilevel"/>
    <w:lvl w:ilvl="0">
      <w:lvlJc w:val="left"/>
      <w:lvlText w:val="(%1)"/>
      <w:numFmt w:val="decimal"/>
      <w:start w:val="1"/>
    </w:lvl>
  </w:abstractNum>
  <w:abstractNum w:abstractNumId="94">
    <w:nsid w:val="45E6D486"/>
    <w:multiLevelType w:val="hybridMultilevel"/>
    <w:lvl w:ilvl="0">
      <w:lvlJc w:val="left"/>
      <w:lvlText w:val="(%1)"/>
      <w:numFmt w:val="decimal"/>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decimal"/>
      <w:start w:val="1"/>
    </w:lvl>
  </w:abstractNum>
  <w:abstractNum w:abstractNumId="97">
    <w:nsid w:val="3C5991AA"/>
    <w:multiLevelType w:val="hybridMultilevel"/>
    <w:lvl w:ilvl="0">
      <w:lvlJc w:val="left"/>
      <w:lvlText w:val="(%1)"/>
      <w:numFmt w:val="lowerLetter"/>
      <w:start w:val="2"/>
    </w:lvl>
    <w:lvl w:ilvl="1">
      <w:lvlJc w:val="left"/>
      <w:lvlText w:val="(%2)"/>
      <w:numFmt w:val="decimal"/>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Roman"/>
      <w:start w:val="1"/>
    </w:lvl>
    <w:lvl w:ilvl="1">
      <w:lvlJc w:val="left"/>
      <w:lvlText w:val="(%2)"/>
      <w:numFmt w:val="decimal"/>
      <w:start w:val="1"/>
    </w:lvl>
  </w:abstractNum>
  <w:abstractNum w:abstractNumId="100">
    <w:nsid w:val="39B7AAA2"/>
    <w:multiLevelType w:val="hybridMultilevel"/>
    <w:lvl w:ilvl="0">
      <w:lvlJc w:val="left"/>
      <w:lvlText w:val="(%1)"/>
      <w:numFmt w:val="lowerRoman"/>
      <w:start w:val="2"/>
    </w:lvl>
    <w:lvl w:ilvl="1">
      <w:lvlJc w:val="left"/>
      <w:lvlText w:val="(%2)"/>
      <w:numFmt w:val="decimal"/>
      <w:start w:val="2"/>
    </w:lvl>
  </w:abstractNum>
  <w:abstractNum w:abstractNumId="101">
    <w:nsid w:val="2B0D8DBE"/>
    <w:multiLevelType w:val="hybridMultilevel"/>
    <w:lvl w:ilvl="0">
      <w:lvlJc w:val="left"/>
      <w:lvlText w:val="(%1)"/>
      <w:numFmt w:val="decimal"/>
      <w:start w:val="1"/>
    </w:lvl>
  </w:abstractNum>
  <w:abstractNum w:abstractNumId="102">
    <w:nsid w:val="6C80EC70"/>
    <w:multiLevelType w:val="hybridMultilevel"/>
    <w:lvl w:ilvl="0">
      <w:lvlJc w:val="left"/>
      <w:lvlText w:val="(%1)"/>
      <w:numFmt w:val="decimal"/>
      <w:start w:val="3"/>
    </w:lvl>
  </w:abstractNum>
  <w:abstractNum w:abstractNumId="103">
    <w:nsid w:val="379E21B5"/>
    <w:multiLevelType w:val="hybridMultilevel"/>
    <w:lvl w:ilvl="0">
      <w:lvlJc w:val="left"/>
      <w:lvlText w:val="(%1)"/>
      <w:numFmt w:val="decimal"/>
      <w:start w:val="5"/>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3"/>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decimal"/>
      <w:start w:val="2"/>
    </w:lvl>
  </w:abstractNum>
  <w:abstractNum w:abstractNumId="109">
    <w:nsid w:val="5675FF36"/>
    <w:multiLevelType w:val="hybridMultilevel"/>
    <w:lvl w:ilvl="0">
      <w:lvlJc w:val="left"/>
      <w:lvlText w:val="%1."/>
      <w:numFmt w:val="decimal"/>
      <w:start w:val="5"/>
    </w:lvl>
    <w:lvl w:ilvl="1">
      <w:lvlJc w:val="left"/>
      <w:lvlText w:val="(%2)"/>
      <w:numFmt w:val="decimal"/>
      <w:start w:val="1"/>
    </w:lvl>
  </w:abstractNum>
  <w:abstractNum w:abstractNumId="110">
    <w:nsid w:val="3DD15094"/>
    <w:multiLevelType w:val="hybridMultilevel"/>
    <w:lvl w:ilvl="0">
      <w:lvlJc w:val="left"/>
      <w:lvlText w:val="1"/>
      <w:numFmt w:val="bullet"/>
      <w:start w:val="1"/>
    </w:lvl>
  </w:abstractNum>
  <w:abstractNum w:abstractNumId="111">
    <w:nsid w:val="3DB012B3"/>
    <w:multiLevelType w:val="hybridMultilevel"/>
    <w:lvl w:ilvl="0">
      <w:lvlJc w:val="left"/>
      <w:lvlText w:val="2"/>
      <w:numFmt w:val="bullet"/>
      <w:start w:val="1"/>
    </w:lvl>
  </w:abstractNum>
  <w:abstractNum w:abstractNumId="112">
    <w:nsid w:val="2708C9AF"/>
    <w:multiLevelType w:val="hybridMultilevel"/>
    <w:lvl w:ilvl="0">
      <w:lvlJc w:val="left"/>
      <w:lvlText w:val="3"/>
      <w:numFmt w:val="bullet"/>
      <w:start w:val="1"/>
    </w:lvl>
  </w:abstractNum>
  <w:abstractNum w:abstractNumId="113">
    <w:nsid w:val="5B25ACE2"/>
    <w:multiLevelType w:val="hybridMultilevel"/>
    <w:lvl w:ilvl="0">
      <w:lvlJc w:val="left"/>
      <w:lvlText w:val="4"/>
      <w:numFmt w:val="bullet"/>
      <w:start w:val="1"/>
    </w:lvl>
  </w:abstractNum>
  <w:abstractNum w:abstractNumId="114">
    <w:nsid w:val="175DFCF0"/>
    <w:multiLevelType w:val="hybridMultilevel"/>
    <w:lvl w:ilvl="0">
      <w:lvlJc w:val="left"/>
      <w:lvlText w:val="%1."/>
      <w:numFmt w:val="decimal"/>
      <w:start w:val="1"/>
    </w:lvl>
  </w:abstractNum>
  <w:abstractNum w:abstractNumId="115">
    <w:nsid w:val="4F97E3E4"/>
    <w:multiLevelType w:val="hybridMultilevel"/>
    <w:lvl w:ilvl="0">
      <w:lvlJc w:val="left"/>
      <w:lvlText w:val="%1."/>
      <w:numFmt w:val="decimal"/>
      <w:start w:val="1"/>
    </w:lvl>
  </w:abstractNum>
  <w:abstractNum w:abstractNumId="116">
    <w:nsid w:val="53B0A9E"/>
    <w:multiLevelType w:val="hybridMultilevel"/>
    <w:lvl w:ilvl="0">
      <w:lvlJc w:val="left"/>
      <w:lvlText w:val="%1."/>
      <w:numFmt w:val="decimal"/>
      <w:start w:val="11"/>
    </w:lvl>
  </w:abstractNum>
  <w:abstractNum w:abstractNumId="117">
    <w:nsid w:val="34FD6B4F"/>
    <w:multiLevelType w:val="hybridMultilevel"/>
    <w:lvl w:ilvl="0">
      <w:lvlJc w:val="left"/>
      <w:lvlText w:val="%1."/>
      <w:numFmt w:val="decimal"/>
      <w:start w:val="19"/>
    </w:lvl>
  </w:abstractNum>
  <w:abstractNum w:abstractNumId="118">
    <w:nsid w:val="5915FF32"/>
    <w:multiLevelType w:val="hybridMultilevel"/>
    <w:lvl w:ilvl="0">
      <w:lvlJc w:val="left"/>
      <w:lvlText w:val="%1."/>
      <w:numFmt w:val="decimal"/>
      <w:start w:val="25"/>
    </w:lvl>
  </w:abstractNum>
  <w:abstractNum w:abstractNumId="119">
    <w:nsid w:val="56438D15"/>
    <w:multiLevelType w:val="hybridMultilevel"/>
    <w:lvl w:ilvl="0">
      <w:lvlJc w:val="left"/>
      <w:lvlText w:val="%1."/>
      <w:numFmt w:val="decimal"/>
      <w:start w:val="1"/>
    </w:lvl>
    <w:lvl w:ilvl="1">
      <w:lvlJc w:val="left"/>
      <w:lvlText w:val="(%2)"/>
      <w:numFmt w:val="lowerLetter"/>
      <w:start w:val="1"/>
    </w:lvl>
  </w:abstractNum>
  <w:abstractNum w:abstractNumId="120">
    <w:nsid w:val="519E3149"/>
    <w:multiLevelType w:val="hybridMultilevel"/>
    <w:lvl w:ilvl="0">
      <w:lvlJc w:val="left"/>
      <w:lvlText w:val="%1."/>
      <w:numFmt w:val="decimal"/>
      <w:start w:val="6"/>
    </w:lvl>
  </w:abstractNum>
  <w:abstractNum w:abstractNumId="121">
    <w:nsid w:val="2C6E4AFD"/>
    <w:multiLevelType w:val="hybridMultilevel"/>
    <w:lvl w:ilvl="0">
      <w:lvlJc w:val="left"/>
      <w:lvlText w:val="%1."/>
      <w:numFmt w:val="decimal"/>
      <w:start w:val="1"/>
    </w:lvl>
  </w:abstractNum>
  <w:abstractNum w:abstractNumId="122">
    <w:nsid w:val="17A1B582"/>
    <w:multiLevelType w:val="hybridMultilevel"/>
    <w:lvl w:ilvl="0">
      <w:lvlJc w:val="left"/>
      <w:lvlText w:val="%1."/>
      <w:numFmt w:val="decimal"/>
      <w:start w:val="2"/>
    </w:lvl>
  </w:abstractNum>
  <w:abstractNum w:abstractNumId="123">
    <w:nsid w:val="4DF72E4E"/>
    <w:multiLevelType w:val="hybridMultilevel"/>
    <w:lvl w:ilvl="0">
      <w:lvlJc w:val="left"/>
      <w:lvlText w:val="%1."/>
      <w:numFmt w:val="decimal"/>
      <w:start w:val="3"/>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decimal"/>
      <w:start w:val="4"/>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lowerLetter"/>
      <w:start w:val="2"/>
    </w:lvl>
  </w:abstractNum>
  <w:abstractNum w:abstractNumId="128">
    <w:nsid w:val="19E21BB2"/>
    <w:multiLevelType w:val="hybridMultilevel"/>
    <w:lvl w:ilvl="0">
      <w:lvlJc w:val="left"/>
      <w:lvlText w:val="(%1)"/>
      <w:numFmt w:val="lowerRoman"/>
      <w:start w:val="2"/>
    </w:lvl>
  </w:abstractNum>
  <w:abstractNum w:abstractNumId="129">
    <w:nsid w:val="75E0858A"/>
    <w:multiLevelType w:val="hybridMultilevel"/>
    <w:lvl w:ilvl="0">
      <w:lvlJc w:val="left"/>
      <w:lvlText w:val="(%1)"/>
      <w:numFmt w:val="lowerRoman"/>
      <w:start w:val="1"/>
    </w:lvl>
    <w:lvl w:ilvl="1">
      <w:lvlJc w:val="left"/>
      <w:lvlText w:val="-"/>
      <w:numFmt w:val="bullet"/>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jpe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jpeg"/><Relationship Id="rId201" Type="http://schemas.openxmlformats.org/officeDocument/2006/relationships/image" Target="media/image181.png"/><Relationship Id="rId202" Type="http://schemas.openxmlformats.org/officeDocument/2006/relationships/image" Target="media/image182.jpeg"/><Relationship Id="rId203" Type="http://schemas.openxmlformats.org/officeDocument/2006/relationships/image" Target="media/image183.jpeg"/><Relationship Id="rId204" Type="http://schemas.openxmlformats.org/officeDocument/2006/relationships/image" Target="media/image184.png"/><Relationship Id="rId205" Type="http://schemas.openxmlformats.org/officeDocument/2006/relationships/image" Target="media/image185.jpe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jpeg"/><Relationship Id="rId209" Type="http://schemas.openxmlformats.org/officeDocument/2006/relationships/image" Target="media/image189.png"/><Relationship Id="rId210" Type="http://schemas.openxmlformats.org/officeDocument/2006/relationships/image" Target="media/image190.jpeg"/><Relationship Id="rId211" Type="http://schemas.openxmlformats.org/officeDocument/2006/relationships/image" Target="media/image191.png"/><Relationship Id="rId212" Type="http://schemas.openxmlformats.org/officeDocument/2006/relationships/image" Target="media/image192.jpeg"/><Relationship Id="rId213" Type="http://schemas.openxmlformats.org/officeDocument/2006/relationships/image" Target="media/image193.png"/><Relationship Id="rId214" Type="http://schemas.openxmlformats.org/officeDocument/2006/relationships/image" Target="media/image194.jpeg"/><Relationship Id="rId215" Type="http://schemas.openxmlformats.org/officeDocument/2006/relationships/image" Target="media/image195.png"/><Relationship Id="rId216" Type="http://schemas.openxmlformats.org/officeDocument/2006/relationships/image" Target="media/image196.jpeg"/><Relationship Id="rId217" Type="http://schemas.openxmlformats.org/officeDocument/2006/relationships/image" Target="media/image197.png"/><Relationship Id="rId218" Type="http://schemas.openxmlformats.org/officeDocument/2006/relationships/image" Target="media/image198.jpeg"/><Relationship Id="rId219" Type="http://schemas.openxmlformats.org/officeDocument/2006/relationships/image" Target="media/image199.png"/><Relationship Id="rId220" Type="http://schemas.openxmlformats.org/officeDocument/2006/relationships/image" Target="media/image200.jpeg"/><Relationship Id="rId221" Type="http://schemas.openxmlformats.org/officeDocument/2006/relationships/image" Target="media/image201.png"/><Relationship Id="rId222" Type="http://schemas.openxmlformats.org/officeDocument/2006/relationships/image" Target="media/image202.jpe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jpeg"/><Relationship Id="rId228" Type="http://schemas.openxmlformats.org/officeDocument/2006/relationships/image" Target="media/image208.jpe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7" Type="http://schemas.openxmlformats.org/officeDocument/2006/relationships/hyperlink" Target="https://www.sec.gov/ix?doc=/Archives/edgar/data/1603923/000160392322000051/wfrd-20211231.htm" TargetMode="External"/><Relationship Id="rId28" Type="http://schemas.openxmlformats.org/officeDocument/2006/relationships/hyperlink" Target="https://www.sec.gov/Archives/edgar/data/1603923/000110465922049003/tm2212135-1_def14a.htm" TargetMode="External"/><Relationship Id="rId29" Type="http://schemas.openxmlformats.org/officeDocument/2006/relationships/hyperlink" Target="https://www.sec.gov/ix?doc=/Archives/edgar/data/1603923/000160392322000071/wfrd-20220331.htm" TargetMode="External"/><Relationship Id="rId30" Type="http://schemas.openxmlformats.org/officeDocument/2006/relationships/hyperlink" Target="https://www.sec.gov/ix?doc=/Archives/edgar/data/1603923/000160392322000034/wfrd-20220118.htm" TargetMode="External"/><Relationship Id="rId31" Type="http://schemas.openxmlformats.org/officeDocument/2006/relationships/hyperlink" Target="https://www.sec.gov/ix?doc=/Archives/edgar/data/1603923/000160392322000073/wfrd-20220516.htm" TargetMode="External"/><Relationship Id="rId32" Type="http://schemas.openxmlformats.org/officeDocument/2006/relationships/hyperlink" Target="https://www.sec.gov/ix?doc=/Archives/edgar/data/1603923/000160392322000079/wft-20220602.htm" TargetMode="External"/><Relationship Id="rId33" Type="http://schemas.openxmlformats.org/officeDocument/2006/relationships/hyperlink" Target="https://www.sec.gov/Archives/edgar/data/1603923/000160392322000051/exhibit41descriptionofsecu.htm" TargetMode="External"/><Relationship Id="rId65" Type="http://schemas.openxmlformats.org/officeDocument/2006/relationships/hyperlink" Target="https://www.sec.gov/Archives/edgar/data/1603923/000110465919073841/tm1925198d1_ex3-1.htm" TargetMode="External"/><Relationship Id="rId66" Type="http://schemas.openxmlformats.org/officeDocument/2006/relationships/hyperlink" Target="https://www.sec.gov/Archives/edgar/data/1170565/000095012902002692/h95792a1sv4za.txt" TargetMode="External"/><Relationship Id="rId67" Type="http://schemas.openxmlformats.org/officeDocument/2006/relationships/hyperlink" Target="https://www.sec.gov/Archives/edgar/data/32908/000119312517040410/d343393dex34.htm" TargetMode="External"/><Relationship Id="rId68" Type="http://schemas.openxmlformats.org/officeDocument/2006/relationships/hyperlink" Target="https://www.sec.gov/Archives/edgar/data/1170565/000095012906005514/h36261exv4w1.htm" TargetMode="External"/><Relationship Id="rId69" Type="http://schemas.openxmlformats.org/officeDocument/2006/relationships/hyperlink" Target="https://www.sec.gov/Archives/edgar/data/32908/000145309014000026/wfts-3ex47.htm" TargetMode="External"/><Relationship Id="rId70" Type="http://schemas.openxmlformats.org/officeDocument/2006/relationships/hyperlink" Target="https://www.sec.gov/Archives/edgar/data/32908/000145309014000026/wfts-3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2022-06-15T16:02:24Z</dcterms:created>
  <dcterms:modified xsi:type="dcterms:W3CDTF">2022-06-15T16:02:24Z</dcterms:modified>
</cp:coreProperties>
</file>