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722630</wp:posOffset>
            </wp:positionV>
            <wp:extent cx="6532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880"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25, 2022</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2"/>
        </w:trPr>
        <w:tc>
          <w:tcPr>
            <w:tcW w:w="800" w:type="dxa"/>
            <w:vAlign w:val="bottom"/>
          </w:tcPr>
          <w:p>
            <w:pPr>
              <w:spacing w:after="0"/>
              <w:rPr>
                <w:sz w:val="20"/>
                <w:szCs w:val="20"/>
                <w:color w:val="auto"/>
              </w:rPr>
            </w:pPr>
          </w:p>
        </w:tc>
        <w:tc>
          <w:tcPr>
            <w:tcW w:w="6820" w:type="dxa"/>
            <w:vAlign w:val="bottom"/>
            <w:gridSpan w:val="2"/>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0"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467360</wp:posOffset>
            </wp:positionH>
            <wp:positionV relativeFrom="paragraph">
              <wp:posOffset>19685</wp:posOffset>
            </wp:positionV>
            <wp:extent cx="6198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887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7"/>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 w:lineRule="exact"/>
        <w:rPr>
          <w:sz w:val="24"/>
          <w:szCs w:val="24"/>
          <w:color w:val="auto"/>
        </w:rPr>
      </w:pPr>
    </w:p>
    <w:p>
      <w:pPr>
        <w:ind w:right="120"/>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2" w:right="39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0" w:lineRule="exact"/>
        <w:rPr>
          <w:sz w:val="20"/>
          <w:szCs w:val="20"/>
          <w:color w:val="auto"/>
        </w:rPr>
      </w:pPr>
    </w:p>
    <w:p>
      <w:pPr>
        <w:jc w:val="both"/>
        <w:ind w:firstLine="162"/>
        <w:spacing w:after="0" w:line="265" w:lineRule="auto"/>
        <w:rPr>
          <w:sz w:val="20"/>
          <w:szCs w:val="20"/>
          <w:color w:val="auto"/>
        </w:rPr>
      </w:pPr>
      <w:r>
        <w:rPr>
          <w:rFonts w:ascii="Times New Roman" w:cs="Times New Roman" w:eastAsia="Times New Roman" w:hAnsi="Times New Roman"/>
          <w:sz w:val="18"/>
          <w:szCs w:val="18"/>
          <w:color w:val="auto"/>
        </w:rPr>
        <w:t>On October 25, 2022, Weatherford International plc (“Weatherford” and together with its subsidiaries, “we” or the “Company”) issued a news release announcing results for the third quarter ended September 30, 2022. A copy of the news release is furnished as Exhibit 99.1 and incorporated into this Item 2.02.</w:t>
      </w:r>
    </w:p>
    <w:p>
      <w:pPr>
        <w:spacing w:after="0" w:line="204" w:lineRule="exact"/>
        <w:rPr>
          <w:sz w:val="20"/>
          <w:szCs w:val="20"/>
          <w:color w:val="auto"/>
        </w:rPr>
      </w:pPr>
    </w:p>
    <w:p>
      <w:pPr>
        <w:jc w:val="both"/>
        <w:ind w:firstLine="162"/>
        <w:spacing w:after="0" w:line="281" w:lineRule="auto"/>
        <w:rPr>
          <w:sz w:val="20"/>
          <w:szCs w:val="20"/>
          <w:color w:val="auto"/>
        </w:rPr>
      </w:pPr>
      <w:r>
        <w:rPr>
          <w:rFonts w:ascii="Times New Roman" w:cs="Times New Roman" w:eastAsia="Times New Roman" w:hAnsi="Times New Roman"/>
          <w:sz w:val="18"/>
          <w:szCs w:val="18"/>
          <w:color w:val="auto"/>
        </w:rPr>
        <w:t>We will host a conference call on Wednesday, October 26, 2022, to discuss the results for the third quarter ended September 30, 2022. The conference call will begin at 10:00 a.m. Eastern Time (9:00 a.m. Central Time).</w:t>
      </w:r>
    </w:p>
    <w:p>
      <w:pPr>
        <w:spacing w:after="0" w:line="19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Participants are encouraged to download the accompanying presentation slides which will be available in the investor relations section of the Company’s website.</w:t>
      </w:r>
    </w:p>
    <w:p>
      <w:pPr>
        <w:spacing w:after="0" w:line="188" w:lineRule="exact"/>
        <w:rPr>
          <w:sz w:val="20"/>
          <w:szCs w:val="20"/>
          <w:color w:val="auto"/>
        </w:rPr>
      </w:pPr>
    </w:p>
    <w:p>
      <w:pPr>
        <w:jc w:val="both"/>
        <w:ind w:firstLine="162"/>
        <w:spacing w:after="0" w:line="265"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spacing w:after="0" w:line="204" w:lineRule="exact"/>
        <w:rPr>
          <w:sz w:val="20"/>
          <w:szCs w:val="20"/>
          <w:color w:val="auto"/>
        </w:rPr>
      </w:pPr>
    </w:p>
    <w:p>
      <w:pPr>
        <w:jc w:val="both"/>
        <w:ind w:right="20" w:firstLine="162"/>
        <w:spacing w:after="0" w:line="281"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November 9, 2022, at 5:00 p.m. Eastern Time. To access the replay, please dial +1 877-344-7529 (within the U.S.) or +1 412-317-0088 (outside of the U.S.) and reference conference number 9295687.</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replay and transcript of the earnings call will also be available in the investor relations section of the Company’s website.</w:t>
      </w:r>
    </w:p>
    <w:p>
      <w:pPr>
        <w:spacing w:after="0" w:line="288" w:lineRule="exact"/>
        <w:rPr>
          <w:sz w:val="20"/>
          <w:szCs w:val="20"/>
          <w:color w:val="auto"/>
        </w:rPr>
      </w:pPr>
    </w:p>
    <w:p>
      <w:pPr>
        <w:ind w:left="18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6" w:lineRule="exact"/>
        <w:rPr>
          <w:sz w:val="20"/>
          <w:szCs w:val="20"/>
          <w:color w:val="auto"/>
        </w:rPr>
      </w:pPr>
    </w:p>
    <w:p>
      <w:pPr>
        <w:ind w:left="1820" w:hanging="993"/>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2"/>
        </w:trPr>
        <w:tc>
          <w:tcPr>
            <w:tcW w:w="154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October 25, 2022, announcing results for the third quarter ended September, 30 2022.</w:t>
            </w: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8"/>
        </w:trPr>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October 25, 2022</w:t>
      </w:r>
    </w:p>
    <w:p>
      <w:pPr>
        <w:spacing w:after="0" w:line="2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13970</wp:posOffset>
            </wp:positionV>
            <wp:extent cx="3253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spacing w:after="0" w:line="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Desmond J. Mills</w:t>
      </w:r>
    </w:p>
    <w:p>
      <w:pPr>
        <w:spacing w:after="0" w:line="11"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8"/>
          <w:szCs w:val="18"/>
          <w:color w:val="auto"/>
        </w:rPr>
        <w:t>Interim Chief Financial Officer, Senior Vice President and Chief</w:t>
      </w:r>
    </w:p>
    <w:p>
      <w:pPr>
        <w:jc w:val="center"/>
        <w:ind w:left="460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200"/>
          </w:cols>
          <w:pgMar w:left="320" w:top="88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62865</wp:posOffset>
            </wp:positionV>
            <wp:extent cx="1900555" cy="788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05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809"/>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15" w:lineRule="exact"/>
        <w:rPr>
          <w:sz w:val="20"/>
          <w:szCs w:val="20"/>
          <w:color w:val="auto"/>
        </w:rPr>
      </w:pPr>
    </w:p>
    <w:p>
      <w:pPr>
        <w:ind w:left="1629"/>
        <w:spacing w:after="0"/>
        <w:rPr>
          <w:sz w:val="20"/>
          <w:szCs w:val="20"/>
          <w:color w:val="auto"/>
        </w:rPr>
      </w:pPr>
      <w:r>
        <w:rPr>
          <w:rFonts w:ascii="Times New Roman" w:cs="Times New Roman" w:eastAsia="Times New Roman" w:hAnsi="Times New Roman"/>
          <w:sz w:val="32"/>
          <w:szCs w:val="32"/>
          <w:b w:val="1"/>
          <w:bCs w:val="1"/>
          <w:color w:val="auto"/>
        </w:rPr>
        <w:t>Weatherford Announces Third Quarter 2022 Results</w:t>
      </w:r>
    </w:p>
    <w:p>
      <w:pPr>
        <w:spacing w:after="0" w:line="344" w:lineRule="exact"/>
        <w:rPr>
          <w:sz w:val="20"/>
          <w:szCs w:val="20"/>
          <w:color w:val="auto"/>
        </w:rPr>
      </w:pPr>
    </w:p>
    <w:p>
      <w:pPr>
        <w:ind w:left="309" w:hanging="309"/>
        <w:spacing w:after="0"/>
        <w:tabs>
          <w:tab w:leader="none" w:pos="30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revenues of $1,120 million, increased 5% sequentially, led by higher Drilling and Evaluation activity</w:t>
      </w:r>
    </w:p>
    <w:p>
      <w:pPr>
        <w:spacing w:after="0" w:line="107" w:lineRule="exact"/>
        <w:rPr>
          <w:rFonts w:ascii="Times New Roman" w:cs="Times New Roman" w:eastAsia="Times New Roman" w:hAnsi="Times New Roman"/>
          <w:sz w:val="20"/>
          <w:szCs w:val="20"/>
          <w:color w:val="auto"/>
        </w:rPr>
      </w:pPr>
    </w:p>
    <w:p>
      <w:pPr>
        <w:ind w:left="309" w:hanging="309"/>
        <w:spacing w:after="0"/>
        <w:tabs>
          <w:tab w:leader="none" w:pos="30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was $28 million and operating income was $121 million</w:t>
      </w:r>
    </w:p>
    <w:p>
      <w:pPr>
        <w:spacing w:after="0" w:line="120" w:lineRule="exact"/>
        <w:rPr>
          <w:rFonts w:ascii="Times New Roman" w:cs="Times New Roman" w:eastAsia="Times New Roman" w:hAnsi="Times New Roman"/>
          <w:sz w:val="20"/>
          <w:szCs w:val="20"/>
          <w:color w:val="auto"/>
        </w:rPr>
      </w:pPr>
    </w:p>
    <w:p>
      <w:pPr>
        <w:ind w:left="309" w:hanging="309"/>
        <w:spacing w:after="0"/>
        <w:tabs>
          <w:tab w:leader="none" w:pos="30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$214 million, a 19.1% adjusted EBITDA margin with a 160 basis point sequential improvement</w:t>
      </w:r>
    </w:p>
    <w:p>
      <w:pPr>
        <w:spacing w:after="0" w:line="52" w:lineRule="exact"/>
        <w:rPr>
          <w:rFonts w:ascii="Times New Roman" w:cs="Times New Roman" w:eastAsia="Times New Roman" w:hAnsi="Times New Roman"/>
          <w:sz w:val="20"/>
          <w:szCs w:val="20"/>
          <w:color w:val="auto"/>
        </w:rPr>
      </w:pPr>
    </w:p>
    <w:p>
      <w:pPr>
        <w:ind w:left="329" w:hanging="329"/>
        <w:spacing w:after="0" w:line="317" w:lineRule="auto"/>
        <w:tabs>
          <w:tab w:leader="none" w:pos="317"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cash provided by operating activities was $160 million and 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$133 million, primarily driven by higher adjusted EBITDA margins and working capital efficiency</w:t>
      </w:r>
    </w:p>
    <w:p>
      <w:pPr>
        <w:ind w:left="309" w:hanging="309"/>
        <w:spacing w:after="0"/>
        <w:tabs>
          <w:tab w:leader="none" w:pos="30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significant contract wins across the portfolio with IOC’s and NOC’s, including ADNOC, KOC, and YPF</w:t>
      </w:r>
    </w:p>
    <w:p>
      <w:pPr>
        <w:spacing w:after="0" w:line="120" w:lineRule="exact"/>
        <w:rPr>
          <w:rFonts w:ascii="Times New Roman" w:cs="Times New Roman" w:eastAsia="Times New Roman" w:hAnsi="Times New Roman"/>
          <w:sz w:val="20"/>
          <w:szCs w:val="20"/>
          <w:color w:val="auto"/>
        </w:rPr>
      </w:pPr>
    </w:p>
    <w:p>
      <w:pPr>
        <w:ind w:left="329" w:hanging="329"/>
        <w:spacing w:after="0" w:line="358" w:lineRule="auto"/>
        <w:tabs>
          <w:tab w:leader="none" w:pos="31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Credit Facility with increase in aggregate amount available to $370 million, and a two-year maturity extension subject to certain conditions</w:t>
      </w:r>
    </w:p>
    <w:p>
      <w:pPr>
        <w:spacing w:after="0" w:line="1" w:lineRule="exact"/>
        <w:rPr>
          <w:rFonts w:ascii="Times New Roman" w:cs="Times New Roman" w:eastAsia="Times New Roman" w:hAnsi="Times New Roman"/>
          <w:sz w:val="20"/>
          <w:szCs w:val="20"/>
          <w:color w:val="auto"/>
        </w:rPr>
      </w:pPr>
    </w:p>
    <w:p>
      <w:pPr>
        <w:ind w:left="309" w:hanging="309"/>
        <w:spacing w:after="0"/>
        <w:tabs>
          <w:tab w:leader="none" w:pos="30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a notice to redeem $125 million of our 11% senior unsecured notes</w:t>
      </w:r>
    </w:p>
    <w:p>
      <w:pPr>
        <w:sectPr>
          <w:pgSz w:w="11900" w:h="16838" w:orient="portrait"/>
          <w:cols w:equalWidth="0" w:num="1">
            <w:col w:w="10909"/>
          </w:cols>
          <w:pgMar w:left="651" w:top="1048" w:right="339" w:bottom="1440" w:gutter="0" w:footer="0" w:header="0"/>
        </w:sectPr>
      </w:pPr>
    </w:p>
    <w:bookmarkStart w:id="4" w:name="page5"/>
    <w:bookmarkEnd w:id="4"/>
    <w:p>
      <w:pPr>
        <w:jc w:val="both"/>
        <w:spacing w:after="0" w:line="399" w:lineRule="auto"/>
        <w:rPr>
          <w:sz w:val="20"/>
          <w:szCs w:val="20"/>
          <w:color w:val="auto"/>
        </w:rPr>
      </w:pPr>
      <w:r>
        <w:rPr>
          <w:rFonts w:ascii="Times New Roman" w:cs="Times New Roman" w:eastAsia="Times New Roman" w:hAnsi="Times New Roman"/>
          <w:sz w:val="20"/>
          <w:szCs w:val="20"/>
          <w:b w:val="1"/>
          <w:bCs w:val="1"/>
          <w:color w:val="auto"/>
        </w:rPr>
        <w:t xml:space="preserve">Houston, October 25, 2022 – </w:t>
      </w:r>
      <w:r>
        <w:rPr>
          <w:rFonts w:ascii="Times New Roman" w:cs="Times New Roman" w:eastAsia="Times New Roman" w:hAnsi="Times New Roman"/>
          <w:sz w:val="20"/>
          <w:szCs w:val="20"/>
          <w:color w:val="auto"/>
        </w:rPr>
        <w:t>Weatherford International plc (NASDAQ: WFRD)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third quarter of 2022.</w:t>
      </w:r>
    </w:p>
    <w:p>
      <w:pPr>
        <w:spacing w:after="0" w:line="89"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20"/>
          <w:szCs w:val="20"/>
          <w:color w:val="auto"/>
        </w:rPr>
        <w:t>Revenues for the third quarter of 2022 were $1,120 million, an increase of 5% sequentially and 19% year-over-year. Operating income was $121 million in the third quarter of 2022, compared to $104 million in the second quarter of 2022 and $71 million in the third quarter of 2021. The Company’s third quarter of 2022 net income was $28 million, compared to $6 million in the second quarter of 2022 and a net loss of $95 million in the third quarter of 2021.</w:t>
      </w:r>
    </w:p>
    <w:p>
      <w:pPr>
        <w:spacing w:after="0" w:line="11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0"/>
          <w:szCs w:val="20"/>
          <w:color w:val="auto"/>
        </w:rPr>
        <w:t>Third quarter 2022 cash flows provided by operations were $160 million, compared to $60 million in the second quarter of 2022 and $114 million in the third quarter of 2021. Capital expenditures were $39 million in the third quarter of 2022, compared to $24 million in the second quarter of 2022 and $20 million in the third quarter of 2021.</w:t>
      </w:r>
    </w:p>
    <w:p>
      <w:pPr>
        <w:spacing w:after="0" w:line="128" w:lineRule="exact"/>
        <w:rPr>
          <w:sz w:val="20"/>
          <w:szCs w:val="20"/>
          <w:color w:val="auto"/>
        </w:rPr>
      </w:pPr>
    </w:p>
    <w:p>
      <w:pPr>
        <w:ind w:left="480" w:hanging="149"/>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$214 million, an increase of 15% sequentially and 20% year-over-year</w:t>
      </w:r>
    </w:p>
    <w:p>
      <w:pPr>
        <w:spacing w:after="0" w:line="170" w:lineRule="exact"/>
        <w:rPr>
          <w:rFonts w:ascii="Times New Roman" w:cs="Times New Roman" w:eastAsia="Times New Roman" w:hAnsi="Times New Roman"/>
          <w:sz w:val="20"/>
          <w:szCs w:val="20"/>
          <w:color w:val="auto"/>
        </w:rPr>
      </w:pPr>
    </w:p>
    <w:p>
      <w:pPr>
        <w:ind w:left="480" w:hanging="149"/>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$133 million, an increase of $74 million sequentially and $22 million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jc w:val="both"/>
        <w:spacing w:after="0" w:line="366"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“In the third quarter, we continued to outperform on our two key metrics of margin expansion and free cash flow generation. We showed strong sequential revenue growth, with solid margin fall-through, as our market-leading offerings continue to deliver value in the marketplace. Our adjusted EBITDA margins of 19.1% and free cash flow of $133 million clearly demonstrate the effectiveness of our refreshed operating paradigm and reaffirm that our strategy to sustainably expand margins over the cycle while generating positive free cash flow is delivering the intended results.</w:t>
      </w:r>
    </w:p>
    <w:p>
      <w:pPr>
        <w:spacing w:after="0" w:line="94"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0"/>
          <w:szCs w:val="20"/>
          <w:color w:val="auto"/>
        </w:rPr>
        <w:t>I am proud of and encouraged by our progress in strengthening our Company and balance sheet. The successful amendment of the credit facility and our ability to pay down debt meaningfully underscores the substantial improvements we have made and allows us greater flexibility to drive growth and scale into our business.</w:t>
      </w:r>
    </w:p>
    <w:p>
      <w:pPr>
        <w:spacing w:after="0" w:line="87"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0"/>
          <w:szCs w:val="20"/>
          <w:color w:val="auto"/>
        </w:rPr>
        <w:t>As we look forward, we now expect full-year 2022 revenue to grow by high-teens year-over-year and for EBITDA margins to expand by over 200 basis points year-over-year, driven by solid execution, increased market activity, and dedicated customer focus. The overall macro-environment for the sector continues to be supported by strong fundamentals, despite inflationary and geopolitical headwinds. Our ability to carry our momentum forward is evidenced by the recently announced contract awards for Aramco and PDO. As we close out the year, we will continue to capitalize on the opportunities enabled by our broad portfolio, leading-edge specialty services, the transformation of our operating paradigm, and strong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62" w:lineRule="exact"/>
        <w:rPr>
          <w:sz w:val="20"/>
          <w:szCs w:val="20"/>
          <w:color w:val="auto"/>
        </w:rPr>
      </w:pPr>
    </w:p>
    <w:p>
      <w:pPr>
        <w:jc w:val="both"/>
        <w:ind w:firstLine="8"/>
        <w:spacing w:after="0" w:line="417" w:lineRule="auto"/>
        <w:tabs>
          <w:tab w:leader="none" w:pos="13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EBITDA represents income before interest expense, net, income taxes, depreciation and amortization expense. Adjusted EBITDA excludes, among other items, restructuring charges, share-based compensation expense, as well as other charges and credits. Free cash flow is calculated as cash flows provided by (used in) operating activities, less capital expenditures plus proceeds from the disposition of assets. EBITDA, adjusted EBITDA, and free cash flow are non-GAAP measures. Each measure is defined and reconciled to the most directly comparable GAAP measure in the tables below.</w:t>
      </w:r>
    </w:p>
    <w:p>
      <w:pPr>
        <w:sectPr>
          <w:pgSz w:w="11900" w:h="16838" w:orient="portrait"/>
          <w:cols w:equalWidth="0" w:num="1">
            <w:col w:w="11240"/>
          </w:cols>
          <w:pgMar w:left="320" w:top="1047"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04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Commercial and Operational Highlights</w:t>
      </w:r>
    </w:p>
    <w:p>
      <w:pPr>
        <w:spacing w:after="0" w:line="135" w:lineRule="exact"/>
        <w:rPr>
          <w:sz w:val="20"/>
          <w:szCs w:val="20"/>
          <w:color w:val="auto"/>
        </w:rPr>
      </w:pPr>
    </w:p>
    <w:p>
      <w:pPr>
        <w:jc w:val="both"/>
        <w:ind w:left="340" w:hanging="332"/>
        <w:spacing w:after="0" w:line="380"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a five-year framework agreement from ADNOC to provide directional drilling and logging-while-drilling services. Deploying these services and technology offerings will add value to ADNOC's drilling operations by minimizing OPEX, reducing risks, and optimizing production.</w:t>
      </w:r>
    </w:p>
    <w:p>
      <w:pPr>
        <w:spacing w:after="0" w:line="40" w:lineRule="exact"/>
        <w:rPr>
          <w:rFonts w:ascii="Times New Roman" w:cs="Times New Roman" w:eastAsia="Times New Roman" w:hAnsi="Times New Roman"/>
          <w:sz w:val="20"/>
          <w:szCs w:val="20"/>
          <w:color w:val="auto"/>
        </w:rPr>
      </w:pPr>
    </w:p>
    <w:p>
      <w:pPr>
        <w:jc w:val="both"/>
        <w:ind w:left="340" w:hanging="332"/>
        <w:spacing w:after="0" w:line="366"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IOC in the Middle East awarded Weatherford a five-year contract to provide wireline services. Weatherford was a clear choice for this operator because of its field-proven technology, high service quality, and experienced personnel. The Weatherford portfolio of wireline technology is comprehensive in providing information that guides operators' life-of-field decisions and maximizes the recovery of their reserves.</w:t>
      </w:r>
    </w:p>
    <w:p>
      <w:pPr>
        <w:spacing w:after="0" w:line="53" w:lineRule="exact"/>
        <w:rPr>
          <w:rFonts w:ascii="Times New Roman" w:cs="Times New Roman" w:eastAsia="Times New Roman" w:hAnsi="Times New Roman"/>
          <w:sz w:val="20"/>
          <w:szCs w:val="20"/>
          <w:color w:val="auto"/>
        </w:rPr>
      </w:pPr>
    </w:p>
    <w:p>
      <w:pPr>
        <w:jc w:val="both"/>
        <w:ind w:left="340" w:hanging="332"/>
        <w:spacing w:after="0" w:line="373"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a two-year contract this quarter to continue delivering drilling fluids and the associated services in unconventional wells to YPF in Argentina. We attribute this success to our proven track record in the region, with more than 250 wells delivered and providing high-quality offerings and services focused on health, safety, and the environment.</w:t>
      </w:r>
    </w:p>
    <w:p>
      <w:pPr>
        <w:spacing w:after="0" w:line="60" w:lineRule="exact"/>
        <w:rPr>
          <w:rFonts w:ascii="Times New Roman" w:cs="Times New Roman" w:eastAsia="Times New Roman" w:hAnsi="Times New Roman"/>
          <w:sz w:val="20"/>
          <w:szCs w:val="20"/>
          <w:color w:val="auto"/>
        </w:rPr>
      </w:pPr>
    </w:p>
    <w:p>
      <w:pPr>
        <w:jc w:val="both"/>
        <w:ind w:left="340" w:hanging="332"/>
        <w:spacing w:after="0" w:line="373"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Pertamina awarded Weatherford a five-year contract to deliver intervention, through-tubing, and tubular running services. This win comes on the back of strong performance as the incumbent provider of similar services, showcasing our commitment to quality and customer satisfaction.</w:t>
      </w:r>
    </w:p>
    <w:p>
      <w:pPr>
        <w:spacing w:after="0" w:line="46" w:lineRule="exact"/>
        <w:rPr>
          <w:rFonts w:ascii="Times New Roman" w:cs="Times New Roman" w:eastAsia="Times New Roman" w:hAnsi="Times New Roman"/>
          <w:sz w:val="20"/>
          <w:szCs w:val="20"/>
          <w:color w:val="auto"/>
        </w:rPr>
      </w:pPr>
    </w:p>
    <w:p>
      <w:pPr>
        <w:ind w:left="340" w:hanging="332"/>
        <w:spacing w:after="0" w:line="381"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an award from Kuwait Oil Company to deliver upper-completion services and technology for 300 development wells across several fields. Our completion offerings stood out because of their field-proven reliability and strong in-country footprint.</w:t>
      </w:r>
    </w:p>
    <w:p>
      <w:pPr>
        <w:spacing w:after="0" w:line="38" w:lineRule="exact"/>
        <w:rPr>
          <w:rFonts w:ascii="Times New Roman" w:cs="Times New Roman" w:eastAsia="Times New Roman" w:hAnsi="Times New Roman"/>
          <w:sz w:val="20"/>
          <w:szCs w:val="20"/>
          <w:color w:val="auto"/>
        </w:rPr>
      </w:pPr>
    </w:p>
    <w:p>
      <w:pPr>
        <w:jc w:val="both"/>
        <w:ind w:left="340" w:hanging="332"/>
        <w:spacing w:after="0" w:line="380"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an award from Fri-EL Green Power in Europe to provide drilling, well construction, and formation evaluation in its San Giovanni geothermal project. The energy produced in this operation will heat regional hydroponic greenhouses—without emissions. This award showcases how we apply our traditional and new technologies to renewable energy applications.</w:t>
      </w:r>
    </w:p>
    <w:p>
      <w:pPr>
        <w:spacing w:after="0" w:line="40" w:lineRule="exact"/>
        <w:rPr>
          <w:rFonts w:ascii="Times New Roman" w:cs="Times New Roman" w:eastAsia="Times New Roman" w:hAnsi="Times New Roman"/>
          <w:sz w:val="20"/>
          <w:szCs w:val="20"/>
          <w:color w:val="auto"/>
        </w:rPr>
      </w:pPr>
    </w:p>
    <w:p>
      <w:pPr>
        <w:jc w:val="both"/>
        <w:ind w:left="340" w:hanging="332"/>
        <w:spacing w:after="0" w:line="366"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executed a memorandum of understanding with Criterion Energy Partners, a geothermal technology and energy development company that delivers clean, reliable energy to customers in hard-to-abate sectors. As part of the agreement, Weatherford intends to serve as an active member of the Geothermal Industry Advisory Group, which is focused on addressing global energy demand with clean, renewable energy. Weatherford is uniquely positioned to lend our expertise and engineering support to advance geothermal projects and applications, enabling sustainable energy projects that are synergistic to our core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5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Liquidity</w:t>
      </w:r>
    </w:p>
    <w:p>
      <w:pPr>
        <w:spacing w:after="0" w:line="200" w:lineRule="exact"/>
        <w:rPr>
          <w:sz w:val="20"/>
          <w:szCs w:val="20"/>
          <w:color w:val="auto"/>
        </w:rPr>
      </w:pPr>
    </w:p>
    <w:p>
      <w:pPr>
        <w:spacing w:after="0" w:line="20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20"/>
          <w:szCs w:val="20"/>
          <w:color w:val="auto"/>
        </w:rPr>
        <w:t>We closed the third quarter of 2022 with total cash of approximately $1.1 billion as of September 30, 2022, up $53 million sequentially. Net cash provided by operating activities of $160 million improved $100 million and free cash flow of $133 million improved $74 million, sequentially. These improvements were driven mainly by higher adjusted EBITDA margins, as well as improved receivables and inventory efficiency, and lower cash interest.</w:t>
      </w:r>
    </w:p>
    <w:p>
      <w:pPr>
        <w:spacing w:after="0" w:line="24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We redeemed $50 million of our 11% senior unsecured notes on August 10, 2022. As we continue to improve our debt profile, on October 18, 2022, we issued a notice to redeem an additional $125 million on November 17, 2022. Additionally, we amended our senior secured letter of credit agreement by increasing the aggregate amount available from $215 million to $370 million and extending maturity to October 17, 2026 subject to certain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&amp; Evaluation (“DRE”)</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4"/>
                <w:szCs w:val="1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Seq.</w:t>
            </w:r>
          </w:p>
        </w:tc>
        <w:tc>
          <w:tcPr>
            <w:tcW w:w="840" w:type="dxa"/>
            <w:vAlign w:val="bottom"/>
          </w:tcPr>
          <w:p>
            <w:pPr>
              <w:spacing w:after="0"/>
              <w:rPr>
                <w:sz w:val="14"/>
                <w:szCs w:val="14"/>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24.4 %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21.8 %</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260</w:t>
            </w:r>
          </w:p>
        </w:tc>
        <w:tc>
          <w:tcPr>
            <w:tcW w:w="8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bps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430 bps</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2022 DRE revenues of $348 million increased by $31 million, or 10% sequentially, due to higher demand for all DRE product lines, primarily driven by managed pressure drilling and drilling services in the Middle East/North Africa/Asia and North America regions. Third quarter 2022 DRE segment adjusted EBITDA of $85 million increased by $16 million, or 23% sequentially, largely due to higher fall-through for managed pressure drilling in the Middle East/North Africa/Asia and North America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5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4"/>
                <w:szCs w:val="1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Seq.</w:t>
            </w:r>
          </w:p>
        </w:tc>
        <w:tc>
          <w:tcPr>
            <w:tcW w:w="840" w:type="dxa"/>
            <w:vAlign w:val="bottom"/>
          </w:tcPr>
          <w:p>
            <w:pPr>
              <w:spacing w:after="0"/>
              <w:rPr>
                <w:sz w:val="14"/>
                <w:szCs w:val="14"/>
                <w:color w:val="auto"/>
              </w:rPr>
            </w:pPr>
          </w:p>
        </w:tc>
        <w:tc>
          <w:tcPr>
            <w:tcW w:w="9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19.9 %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240</w:t>
            </w:r>
          </w:p>
        </w:tc>
        <w:tc>
          <w:tcPr>
            <w:tcW w:w="8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bps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(300)bps</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Third quarter 2022 WCC revenues of $391 million increased by $8 million, or 2% sequentially, primarily driven by cementation products in the North America and Middle East/North Africa/Asia regions. Third quarter 2022 WCC segment adjusted EBITDA of $78 million increased by $11 million, or 16% sequentially, largely due to higher fall-through and execution efficiencies for cementation products in the Middle East/North Africa/Asia region and tubular running services in the Europe/Africa region.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4"/>
                <w:szCs w:val="14"/>
                <w:color w:val="auto"/>
              </w:rPr>
            </w:pPr>
          </w:p>
        </w:tc>
        <w:tc>
          <w:tcPr>
            <w:tcW w:w="1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4"/>
                <w:szCs w:val="14"/>
                <w:color w:val="auto"/>
              </w:rPr>
            </w:pPr>
          </w:p>
        </w:tc>
        <w:tc>
          <w:tcPr>
            <w:tcW w:w="11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Seq.</w:t>
            </w:r>
          </w:p>
        </w:tc>
        <w:tc>
          <w:tcPr>
            <w:tcW w:w="800" w:type="dxa"/>
            <w:vAlign w:val="bottom"/>
          </w:tcPr>
          <w:p>
            <w:pPr>
              <w:spacing w:after="0"/>
              <w:rPr>
                <w:sz w:val="14"/>
                <w:szCs w:val="14"/>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18.5 %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19.5 %</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(120) bps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(100)bps</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0"/>
          <w:szCs w:val="20"/>
          <w:color w:val="auto"/>
        </w:rPr>
        <w:t>Third quarter 2022 PRI revenues of $357 million increased by $12 million, or 3% sequentially, primarily driven by higher artificial lift activity in North America. Third quarter 2022 PRI segment adjusted EBITDA of $66 million, decreased $2 million, or 3% sequentially, mainly due to a change in product over service mix in the North America and Europe/Sub-Sahara Africa/Russia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296" w:lineRule="exact"/>
        <w:rPr>
          <w:sz w:val="20"/>
          <w:szCs w:val="20"/>
          <w:color w:val="auto"/>
        </w:rPr>
      </w:pPr>
    </w:p>
    <w:p>
      <w:pPr>
        <w:jc w:val="both"/>
        <w:ind w:right="40"/>
        <w:spacing w:after="0" w:line="369" w:lineRule="auto"/>
        <w:rPr>
          <w:sz w:val="20"/>
          <w:szCs w:val="20"/>
          <w:color w:val="auto"/>
        </w:rPr>
      </w:pPr>
      <w:r>
        <w:rPr>
          <w:rFonts w:ascii="Times New Roman" w:cs="Times New Roman" w:eastAsia="Times New Roman" w:hAnsi="Times New Roman"/>
          <w:sz w:val="20"/>
          <w:szCs w:val="20"/>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17,500 team members representing more than 110 nationalities and 350 operating locations. Visit </w:t>
      </w:r>
      <w:r>
        <w:rPr>
          <w:rFonts w:ascii="Times New Roman" w:cs="Times New Roman" w:eastAsia="Times New Roman" w:hAnsi="Times New Roman"/>
          <w:sz w:val="20"/>
          <w:szCs w:val="20"/>
          <w:u w:val="single" w:color="auto"/>
          <w:color w:val="3051F2"/>
        </w:rPr>
        <w:t>weatherford.com</w:t>
      </w:r>
      <w:r>
        <w:rPr>
          <w:rFonts w:ascii="Times New Roman" w:cs="Times New Roman" w:eastAsia="Times New Roman" w:hAnsi="Times New Roman"/>
          <w:sz w:val="20"/>
          <w:szCs w:val="20"/>
          <w:color w:val="auto"/>
        </w:rPr>
        <w:t xml:space="preserve"> for more information and connect with us on social media.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10"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Weatherford will host a conference call on Wednesday, October 26, 2022, to discuss the results for the third quarter ended September 30, 2022. The conference call will begin at 10:00 a.m. Eastern Time (9:00 a.m. Central Time).</w:t>
      </w:r>
    </w:p>
    <w:p>
      <w:pPr>
        <w:spacing w:after="0" w:line="79"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7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0"/>
          <w:szCs w:val="20"/>
          <w:color w:val="auto"/>
        </w:rPr>
        <w:t xml:space="preserve">Listeners can participate in the conference call via a live webcast at </w:t>
      </w:r>
      <w:r>
        <w:rPr>
          <w:rFonts w:ascii="Times New Roman" w:cs="Times New Roman" w:eastAsia="Times New Roman" w:hAnsi="Times New Roman"/>
          <w:sz w:val="20"/>
          <w:szCs w:val="20"/>
          <w:u w:val="single" w:color="auto"/>
          <w:color w:val="3051F2"/>
        </w:rPr>
        <w:t>https://www.weatherford.com/investor-relations/investor-news-and-events/events/</w:t>
      </w:r>
      <w:r>
        <w:rPr>
          <w:rFonts w:ascii="Times New Roman" w:cs="Times New Roman" w:eastAsia="Times New Roman" w:hAnsi="Times New Roman"/>
          <w:sz w:val="20"/>
          <w:szCs w:val="20"/>
          <w:color w:val="000000"/>
        </w:rPr>
        <w:t>, or by dialing +1 877-328-5344 (within the U.S.) or +1 412-902-6762 (outside of the U.S.) and asking for the Weatherford</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conference call. Listeners should log in or dial in approximately 10 minutes prior to the start of the call.</w:t>
      </w:r>
    </w:p>
    <w:p>
      <w:pPr>
        <w:spacing w:after="0" w:line="87"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November 9, 2022 at 5:00 p.m. Eastern Time. To access the replay, please dial +1 877-344-7529 (within the U.S.) or +1 412-317-0088 (outside of the U.S.) and reference conference number 9295687. A replay and transcript of the earnings call will also be available in the investor relations section of the Company’s website.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Mohammed Topiwala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Investor Relations and M&amp;A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Global Communications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+1 713-836-4193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50"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quarterly and full-year revenues, operating income and losses, segment adjusted EBITDA, adjusted EBITDA,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various effects from the Russia Ukraine conflict including, but not limited to, extended business interruptions, sanctions imposed by various countries, associated operational and logistical challenges, and impacts to the overall global energy supply; cybersecurity issues, as we may experience a higher rate of cybersecurity attacks, intrusions or incidents in the current environment of remote connectivity; demand for oil and gas and fluctuations in commodity prices; general global economic repercussions related to U.S. and global inflationary pressures; the macroeconomic outlook for the oil and gas industry; operational challenges relating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w:t>
      </w:r>
    </w:p>
    <w:p>
      <w:pPr>
        <w:spacing w:after="0" w:line="249"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99" w:right="339" w:bottom="1440"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1"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20" w:type="dxa"/>
            <w:vAlign w:val="bottom"/>
          </w:tcPr>
          <w:p>
            <w:pPr>
              <w:spacing w:after="0"/>
              <w:rPr>
                <w:sz w:val="14"/>
                <w:szCs w:val="14"/>
                <w:color w:val="auto"/>
              </w:rPr>
            </w:pPr>
          </w:p>
        </w:tc>
        <w:tc>
          <w:tcPr>
            <w:tcW w:w="126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80" w:type="dxa"/>
            <w:vAlign w:val="bottom"/>
          </w:tcPr>
          <w:p>
            <w:pPr>
              <w:spacing w:after="0"/>
              <w:rPr>
                <w:sz w:val="14"/>
                <w:szCs w:val="14"/>
                <w:color w:val="auto"/>
              </w:rPr>
            </w:pPr>
          </w:p>
        </w:tc>
        <w:tc>
          <w:tcPr>
            <w:tcW w:w="114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60" w:type="dxa"/>
            <w:vAlign w:val="bottom"/>
          </w:tcPr>
          <w:p>
            <w:pPr>
              <w:spacing w:after="0"/>
              <w:rPr>
                <w:sz w:val="14"/>
                <w:szCs w:val="14"/>
                <w:color w:val="auto"/>
              </w:rPr>
            </w:pPr>
          </w:p>
        </w:tc>
        <w:tc>
          <w:tcPr>
            <w:tcW w:w="12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4"/>
                <w:szCs w:val="14"/>
                <w:color w:val="auto"/>
              </w:rPr>
            </w:pPr>
          </w:p>
        </w:tc>
        <w:tc>
          <w:tcPr>
            <w:tcW w:w="12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30, 2022</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Revenues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128"/>
        </w:trPr>
        <w:tc>
          <w:tcPr>
            <w:tcW w:w="4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line="250"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Adjusted EBITDA</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Weatherford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 Income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52" w:right="300" w:hanging="252"/>
        <w:spacing w:after="0" w:line="220" w:lineRule="auto"/>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and is based on segment earnings before interest, taxes, depreciation, amortization, share-based compensation expense and other adjustments. Research and development expenses are included in segment adjusted EBITDA.</w:t>
      </w:r>
    </w:p>
    <w:p>
      <w:pPr>
        <w:ind w:left="252" w:hanging="252"/>
        <w:spacing w:after="0" w:line="261" w:lineRule="auto"/>
        <w:tabs>
          <w:tab w:leader="none" w:pos="2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and other includes business activities related to all other segments (profit and loss), corporate and other expenses (overhead support and centrally managed or shared facilities costs) that do not individually meet the criteria for segment reporting.</w:t>
      </w:r>
    </w:p>
    <w:p>
      <w:pPr>
        <w:ind w:left="252" w:right="80" w:hanging="252"/>
        <w:spacing w:after="0" w:line="221" w:lineRule="auto"/>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adjustments in the nine months ended September 30, 2022 primarily include a $22 million restructuring charge. Other adjustments was a net credit for the three and nine months ended September 30, 2021, primarily driven by gains on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12"/>
          </w:cols>
          <w:pgMar w:left="328" w:top="1317"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43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by Geographic Areas (Unaudited)</w:t>
            </w:r>
          </w:p>
        </w:tc>
        <w:tc>
          <w:tcPr>
            <w:tcW w:w="0" w:type="dxa"/>
            <w:vAlign w:val="bottom"/>
          </w:tcPr>
          <w:p>
            <w:pPr>
              <w:spacing w:after="0"/>
              <w:rPr>
                <w:sz w:val="1"/>
                <w:szCs w:val="1"/>
                <w:color w:val="auto"/>
              </w:rPr>
            </w:pPr>
          </w:p>
        </w:tc>
      </w:tr>
      <w:tr>
        <w:trPr>
          <w:trHeight w:val="485"/>
        </w:trPr>
        <w:tc>
          <w:tcPr>
            <w:tcW w:w="3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14"/>
                <w:szCs w:val="14"/>
                <w:color w:val="auto"/>
              </w:rPr>
            </w:pP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40" w:type="dxa"/>
            <w:vAlign w:val="bottom"/>
          </w:tcPr>
          <w:p>
            <w:pPr>
              <w:spacing w:after="0"/>
              <w:rPr>
                <w:sz w:val="14"/>
                <w:szCs w:val="14"/>
                <w:color w:val="auto"/>
              </w:rPr>
            </w:pPr>
          </w:p>
        </w:tc>
        <w:tc>
          <w:tcPr>
            <w:tcW w:w="12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Geographic Areas: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7"/>
        </w:trPr>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-1343660</wp:posOffset>
            </wp:positionV>
            <wp:extent cx="691007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00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691007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00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69100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00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737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799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Seq.</w:t>
            </w: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447"/>
        </w:trPr>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4"/>
        </w:trPr>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040" w:space="120"/>
            <w:col w:w="2720"/>
          </w:cols>
          <w:pgMar w:left="320" w:top="1075" w:right="6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70"/>
        </w:trPr>
        <w:tc>
          <w:tcPr>
            <w:tcW w:w="48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70"/>
        </w:trPr>
        <w:tc>
          <w:tcPr>
            <w:tcW w:w="48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70"/>
        </w:trPr>
        <w:tc>
          <w:tcPr>
            <w:tcW w:w="48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0"/>
        </w:trPr>
        <w:tc>
          <w:tcPr>
            <w:tcW w:w="48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Components of Net Debt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4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2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8"/>
        </w:trPr>
        <w:tc>
          <w:tcPr>
            <w:tcW w:w="4820" w:type="dxa"/>
            <w:vAlign w:val="bottom"/>
            <w:tcBorders>
              <w:bottom w:val="single" w:sz="8" w:color="auto"/>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3"/>
                <w:szCs w:val="23"/>
                <w:color w:val="auto"/>
                <w:vertAlign w:val="superscript"/>
              </w:rPr>
              <w:t>[1]</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340" w:hanging="170"/>
        <w:spacing w:after="0"/>
        <w:tabs>
          <w:tab w:leader="none" w:pos="3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7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0" w:type="dxa"/>
            <w:vAlign w:val="bottom"/>
          </w:tcPr>
          <w:p>
            <w:pPr>
              <w:spacing w:after="0"/>
              <w:rPr>
                <w:sz w:val="1"/>
                <w:szCs w:val="1"/>
                <w:color w:val="auto"/>
              </w:rPr>
            </w:pPr>
          </w:p>
        </w:tc>
      </w:tr>
      <w:tr>
        <w:trPr>
          <w:trHeight w:val="240"/>
        </w:trPr>
        <w:tc>
          <w:tcPr>
            <w:tcW w:w="54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75"/>
        </w:trPr>
        <w:tc>
          <w:tcPr>
            <w:tcW w:w="5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to Net Cash Provided (Used In) By</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Write-downs and Other (Credits) Charges</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Charges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Activities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(Payments) for 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(505)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(62)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(510)</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Working capital is defined as the cash changes in accounts receivable plus inventory less accounts payable.</w:t>
      </w:r>
    </w:p>
    <w:p>
      <w:pPr>
        <w:ind w:left="160" w:hanging="152"/>
        <w:spacing w:after="0"/>
        <w:tabs>
          <w:tab w:leader="none" w:pos="1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operating activities is primarily accruals, net of cash payments for operational expenses, interest, taxes, employee costs and leases.</w:t>
      </w:r>
    </w:p>
    <w:p>
      <w:pPr>
        <w:spacing w:after="0" w:line="9" w:lineRule="exact"/>
        <w:rPr>
          <w:rFonts w:ascii="Times New Roman" w:cs="Times New Roman" w:eastAsia="Times New Roman" w:hAnsi="Times New Roman"/>
          <w:sz w:val="9"/>
          <w:szCs w:val="9"/>
          <w:color w:val="auto"/>
        </w:rPr>
      </w:pPr>
    </w:p>
    <w:p>
      <w:pPr>
        <w:ind w:left="160" w:hanging="152"/>
        <w:spacing w:after="0" w:line="282" w:lineRule="auto"/>
        <w:tabs>
          <w:tab w:leader="none" w:pos="143"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53" w:right="3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7"/>
          <w:szCs w:val="17"/>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gridSpan w:val="3"/>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8980" w:type="dxa"/>
            <w:vAlign w:val="bottom"/>
            <w:gridSpan w:val="8"/>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7"/>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i w:val="1"/>
                <w:iCs w:val="1"/>
                <w:color w:val="auto"/>
                <w:w w:val="99"/>
              </w:rPr>
              <w:t>($ in Millions, Except Per Share Amounts)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8"/>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0"/>
                <w:szCs w:val="20"/>
                <w:color w:val="auto"/>
              </w:rPr>
            </w:pPr>
          </w:p>
        </w:tc>
        <w:tc>
          <w:tcPr>
            <w:tcW w:w="21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6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June</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r>
      <w:tr>
        <w:trPr>
          <w:trHeight w:val="240"/>
        </w:trPr>
        <w:tc>
          <w:tcPr>
            <w:tcW w:w="5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30, 2021</w:t>
            </w: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(Credits) Charges</w:t>
            </w:r>
          </w:p>
        </w:tc>
        <w:tc>
          <w:tcPr>
            <w:tcW w:w="1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Operating Non-GAAP Adjustments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Income (Loss)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Non-GAAP Adjustments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1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Adjustments Before Taxes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Income (Loss) Before Income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 on Non-GAAP Adjustments</w:t>
            </w:r>
          </w:p>
        </w:tc>
        <w:tc>
          <w:tcPr>
            <w:tcW w:w="1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Provision for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Weatherford:</w:t>
            </w: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(Loss)</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4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Non-GAAP Adjustments, net of tax</w:t>
            </w:r>
          </w:p>
        </w:tc>
        <w:tc>
          <w:tcPr>
            <w:tcW w:w="1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rPr>
              <w:t>29</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4"/>
        </w:trPr>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26</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(20)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840" w:space="140"/>
            <w:col w:w="2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Share Attributable to Weatherford: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Diluted Income (Loss) per Share</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(0.65)</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Non-GAAP Adjustments, net of tax</w:t>
            </w: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(0.19)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5"/>
              </w:rPr>
              <w:t>0.73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0.37</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5"/>
              </w:rPr>
              <w:t>0.62</w:t>
            </w: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Income (Loss) per Share</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(0.11)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73" w:right="339" w:bottom="1440" w:gutter="0" w:footer="0" w:header="0"/>
          <w:type w:val="continuous"/>
        </w:sectPr>
      </w:pPr>
    </w:p>
    <w:bookmarkStart w:id="16" w:name="page17"/>
    <w:bookmarkEnd w:id="16"/>
    <w:p>
      <w:pPr>
        <w:ind w:left="434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Net Income (Loss) to Adjusted EBITDA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00" w:type="dxa"/>
            <w:vAlign w:val="bottom"/>
          </w:tcPr>
          <w:p>
            <w:pPr>
              <w:spacing w:after="0"/>
              <w:rPr>
                <w:sz w:val="14"/>
                <w:szCs w:val="14"/>
                <w:color w:val="auto"/>
              </w:rPr>
            </w:pPr>
          </w:p>
        </w:tc>
        <w:tc>
          <w:tcPr>
            <w:tcW w:w="126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60" w:type="dxa"/>
            <w:vAlign w:val="bottom"/>
          </w:tcPr>
          <w:p>
            <w:pPr>
              <w:spacing w:after="0"/>
              <w:rPr>
                <w:sz w:val="14"/>
                <w:szCs w:val="14"/>
                <w:color w:val="auto"/>
              </w:rPr>
            </w:pPr>
          </w:p>
        </w:tc>
        <w:tc>
          <w:tcPr>
            <w:tcW w:w="106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60" w:type="dxa"/>
            <w:vAlign w:val="bottom"/>
          </w:tcPr>
          <w:p>
            <w:pPr>
              <w:spacing w:after="0"/>
              <w:rPr>
                <w:sz w:val="14"/>
                <w:szCs w:val="14"/>
                <w:color w:val="auto"/>
              </w:rPr>
            </w:pPr>
          </w:p>
        </w:tc>
        <w:tc>
          <w:tcPr>
            <w:tcW w:w="12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80" w:type="dxa"/>
            <w:vAlign w:val="bottom"/>
          </w:tcPr>
          <w:p>
            <w:pPr>
              <w:spacing w:after="0"/>
              <w:rPr>
                <w:sz w:val="14"/>
                <w:szCs w:val="14"/>
                <w:color w:val="auto"/>
              </w:rPr>
            </w:pPr>
          </w:p>
        </w:tc>
        <w:tc>
          <w:tcPr>
            <w:tcW w:w="10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Weatherford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Loss on Extinguishment of Debt and Bond Redemption</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(Credits) Charges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Supplemental Reconciliation of Non-GAAP Financial Measures</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Adjusted EBITDA to Free Cash Flow (Unaudited)</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6"/>
          </w:tcPr>
          <w:p>
            <w:pPr>
              <w:ind w:left="1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2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30, 2021</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From (Used) for Working Capital</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Capital Expenditures for Property, Plant and</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Severance and Restructuring</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Increase (Decrease) in Accruals, Net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23"/>
                <w:szCs w:val="23"/>
                <w:b w:val="1"/>
                <w:bCs w:val="1"/>
                <w:color w:val="auto"/>
                <w:vertAlign w:val="superscript"/>
              </w:rPr>
              <w:t>[2]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0" w:hanging="330"/>
        <w:spacing w:after="0" w:line="230" w:lineRule="auto"/>
        <w:tabs>
          <w:tab w:leader="none" w:pos="374"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Increase (Decrease) in Accruals, Net primarily includes accruals for net employee benefits, net payments for leases, change in our allowance for credit losses and foreign currency exchange impact.</w:t>
      </w:r>
    </w:p>
    <w:p>
      <w:pPr>
        <w:spacing w:after="0" w:line="1" w:lineRule="exact"/>
        <w:rPr>
          <w:rFonts w:ascii="Times New Roman" w:cs="Times New Roman" w:eastAsia="Times New Roman" w:hAnsi="Times New Roman"/>
          <w:sz w:val="20"/>
          <w:szCs w:val="20"/>
          <w:color w:val="auto"/>
          <w:vertAlign w:val="superscript"/>
        </w:rPr>
      </w:pPr>
    </w:p>
    <w:p>
      <w:pPr>
        <w:jc w:val="both"/>
        <w:ind w:left="380" w:hanging="330"/>
        <w:spacing w:after="0" w:line="230" w:lineRule="auto"/>
        <w:tabs>
          <w:tab w:leader="none" w:pos="374"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120"/>
      </w:cols>
      <w:pgMar w:left="440" w:top="10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2022-10-25T15:37:24Z</dcterms:created>
  <dcterms:modified xsi:type="dcterms:W3CDTF">2022-10-25T15:37:24Z</dcterms:modified>
</cp:coreProperties>
</file>