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April 21, 2025</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Weatherford International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702"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4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20"/>
        </w:rPr>
        <w:t xml:space="preserve">Registrant’s telephone number, including area code: 713.836.4000 </w:t>
      </w:r>
    </w:p>
    <w:tbl>
      <w:tblPr>
        <w:tblW w:w="5349" w:type="dxa"/>
        <w:jc w:val="center"/>
        <w:tblInd w:w="0" w:type="dxa"/>
        <w:tblLayout w:type="fixed"/>
        <w:tblCellMar>
          <w:top w:w="28" w:type="dxa"/>
          <w:left w:w="28" w:type="dxa"/>
          <w:bottom w:w="28" w:type="dxa"/>
          <w:right w:w="28" w:type="dxa"/>
        </w:tblCellMar>
      </w:tblPr>
      <w:tblGrid>
        <w:gridCol w:w="637"/>
        <w:gridCol w:w="560"/>
        <w:gridCol w:w="560"/>
        <w:gridCol w:w="560"/>
        <w:gridCol w:w="560"/>
        <w:gridCol w:w="560"/>
        <w:gridCol w:w="560"/>
        <w:gridCol w:w="560"/>
        <w:gridCol w:w="792"/>
      </w:tblGrid>
      <w:tr>
        <w:trPr/>
        <w:tc>
          <w:tcPr>
            <w:tcW w:w="6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5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r>
      <w:tr>
        <w:trPr/>
        <w:tc>
          <w:tcPr>
            <w:tcW w:w="5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Departure of Directors or Certain Officers; Election of Directors; Appointment of Certain Officers; Compensatory Arrangements of Certain Officers.</w:t>
            </w:r>
          </w:p>
        </w:tc>
      </w:tr>
    </w:tbl>
    <w:p>
      <w:pPr>
        <w:pStyle w:val="TextBody"/>
        <w:bidi w:val="0"/>
        <w:spacing w:lineRule="auto" w:line="276" w:before="0" w:after="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Appointment of Chief Financial Officer</w:t>
      </w:r>
    </w:p>
    <w:p>
      <w:pPr>
        <w:pStyle w:val="TextBody"/>
        <w:bidi w:val="0"/>
        <w:spacing w:before="0" w:after="0"/>
        <w:jc w:val="left"/>
        <w:rPr/>
      </w:pPr>
      <w:r>
        <w:rPr/>
      </w:r>
    </w:p>
    <w:p>
      <w:pPr>
        <w:pStyle w:val="TextBody"/>
        <w:bidi w:val="0"/>
        <w:spacing w:lineRule="auto" w:line="276" w:before="0" w:after="0"/>
        <w:ind w:left="0" w:right="0" w:firstLine="540"/>
        <w:jc w:val="both"/>
        <w:rPr/>
      </w:pPr>
      <w:r>
        <w:rPr>
          <w:rFonts w:ascii="Times New Roman;sans-serif" w:hAnsi="Times New Roman;sans-serif"/>
          <w:b w:val="false"/>
          <w:color w:val="000000"/>
          <w:sz w:val="20"/>
        </w:rPr>
        <w:t>On April 22, 2025, Weatherford International plc (the “Company”) announced the appointment of Anuj Dhruv, 43, to serve as the Company’s Executive Vice President and Chief Financial Officer, effective April 21, 2025. Mr. Dhruv brings more than two decades of diverse experience in global finance, strategy, and transformation roles across the technology, energy, and chemicals industries. Most recently, he served as Vice President of Finance and Strategy for the Global Olefins and Polyolefins segment at LyondellBasell from November 2022 to April 2025, where he was responsible for driving performance, investment strategies, and transformation initiatives across a $29B revenue segment.</w:t>
      </w:r>
      <w:r>
        <w:rPr>
          <w:color w:val="000000"/>
        </w:rPr>
        <w:t xml:space="preserve"> </w:t>
      </w:r>
      <w:r>
        <w:rPr>
          <w:rFonts w:ascii="Times New Roman;sans-serif" w:hAnsi="Times New Roman;sans-serif"/>
          <w:b w:val="false"/>
          <w:color w:val="000000"/>
          <w:sz w:val="20"/>
        </w:rPr>
        <w:t xml:space="preserve">Before that he served as Vice President and Treasurer at LyondellBasell beginning in February 2020. Mr. Dhruv’s extensive background includes strategic leadership at Schlumberger and Microsoft, with a track record of optimizing financial performance, leading complex M&amp;A transactions, and building high-performing teams. </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Mr. Dhruv’s appointment as Executive Vice President and Chief Financial Officer of the Company, he will receive the following compensation:</w:t>
      </w:r>
    </w:p>
    <w:p>
      <w:pPr>
        <w:pStyle w:val="TextBody"/>
        <w:bidi w:val="0"/>
        <w:spacing w:before="0" w:after="0"/>
        <w:jc w:val="left"/>
        <w:rPr/>
      </w:pPr>
      <w:r>
        <w:rPr/>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1.annual base salary of $570,000;</w:t>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2.eligibility to participate in the Company’s Short Term Incentive Plan, as amended and restated (“STI”), with a target award opportunity set at up to 90% of his annual base salary for 2025 pursuant to the terms of the STI, prorated for his partial year of service;</w:t>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 long-term incentive award for 2025 granted under the Company’s Third Amended and Restated 2019 Equity Incentive Plan (the “EIP”) equal to $1,767,000 of the Company’s ordinary shares on the date of grant, which will be delivered in a combination of 30% Restricted Share Units (“RSUs”) vesting ratably over three years from the date of grant and 70% Performance Share Units which, subject to the achievement of the performance metrics, will cliff vest at the end of the three-year performance period;</w:t>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4.a sign-on equity award under the EIP equal to $1,000,000 of the Company’s ordinary shares on the date of grant, which will be delivered in the form of RSUs vesting ratably over two years; and</w:t>
      </w:r>
    </w:p>
    <w:p>
      <w:pPr>
        <w:pStyle w:val="TextBody"/>
        <w:bidi w:val="0"/>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5.eligibility to participate in the EIP or other long-term incentive plans in subsequent years.</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Dhruv will be covered under the Company’s Third Amended and Restated Change in Control Severance Plan, which provides that upon a qualifying termination of employment following a change in control transaction, he would receive, subject to a release of claims, severance benefits equal to two times base salary and bonus; a prorated target annual bonus for the year of termination; continued health and welfare benefits; outplacement services and certain other benefits. In addition, Mr. Dhruv will also be covered under the Company’s Amended and Restated Executive Severance Plan (“Severance Plan”) which provides severance payments and benefits if he experiences a termination of employment by the Company without “Cause” or by the participant for “Good Reason” (each as defined in the Severance Plan). Upon such a termination, Mr. Dhruv will be able to receive an amount equal to one times his base salary and bonus; a prorated target annual bonus for the year of termination; continued health and welfare benefits and outplacement services.</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Mr. Dhruv will be eligible for other benefits for similarly situated executives in accordance with the Company’s standard plans and polices. In addition, the Company and one of its primary subsidiaries will enter into customary officer indemnification agreements with Mr. Dhruv upon joining the Company.</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arrangements or understandings between Mr. Dhruv and any other persons pursuant to which Mr. Dhruv was selected to act as the Executive Vice President and Chief Financial Officer of the Company. Mr. Dhruv does not have any family relationships subject to disclosure under Item 401(d) of Regulation S-K or any direct or indirect material interest in any transaction required to be disclosed pursuant to Item 404(a) of Regulation S-K. </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Departure of Chief Financial Officer</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appointment of Mr. Dhruv, Arunava Mitra has left Weatherford effective April 21, 2025 and has ceased to serve as its Executive Vice President and Chief Financial Officer. In conjunction with his departure from the Company, Mr. Mitra will be entitled to certain benefits and compensation under the Company’s pre-existing compensation plans and applicable policies and related agreements, as generally described in the Company’s annual proxy statement filed with the SEC on April 24, 2024, as well as subsequent Company filings on Form 8-K or other filings with the Securities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Exchange Commission. These include benefits under our EIP and related award agreements. Receipt of these benefits is subject to his execution of a general release of claims in favor of the Company. Mr. Mitra’s leaving the Company is not the result of any dispute or disagreement with the Company on any matter relating to the Company’s accounting practices or financial statements.</w:t>
      </w:r>
    </w:p>
    <w:p>
      <w:pPr>
        <w:pStyle w:val="TextBody"/>
        <w:bidi w:val="0"/>
        <w:spacing w:before="0" w:after="0"/>
        <w:ind w:left="0" w:right="0" w:firstLine="540"/>
        <w:jc w:val="both"/>
        <w:rPr/>
      </w:pPr>
      <w:r>
        <w:rPr/>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2025, the Company issued a press release describing certain of the matters in Item 5.02 of this Current Report on Form 8-K. A copy of the press release is furnished as Exhibit 99.1 to this report and incorporated by reference herein. The information provided pursuant to this Item 7.01 is “furnished” and shall not be deemed to be “filed” with the SEC or incorporated by reference in any filing under the Securities Exchange Act of 1934, as amended, or the Securities Act of 1933, as amended, except as shall be expressly set forth by specific reference in any such filings. The filing of this Item 7.01 of this Current Report on Form 8-K (including the exhibit hereto or any information included herein or therein) shall not be deemed an admission as to the materiality of any information herein that is required to be disclosed solely by reason of Regulation FD.</w:t>
      </w:r>
    </w:p>
    <w:p>
      <w:pPr>
        <w:pStyle w:val="TextBody"/>
        <w:bidi w:val="0"/>
        <w:spacing w:before="0" w:after="0"/>
        <w:ind w:left="0" w:right="0" w:firstLine="540"/>
        <w:jc w:val="both"/>
        <w:rPr/>
      </w:pPr>
      <w:r>
        <w:rPr/>
      </w:r>
    </w:p>
    <w:tbl>
      <w:tblPr>
        <w:tblW w:w="4316"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518"/>
        <w:gridCol w:w="454"/>
        <w:gridCol w:w="456"/>
        <w:gridCol w:w="109"/>
        <w:gridCol w:w="109"/>
        <w:gridCol w:w="109"/>
        <w:gridCol w:w="2473"/>
        <w:gridCol w:w="2467"/>
        <w:gridCol w:w="3510"/>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wfrdpressreleaseleadership.htm">
              <w:r>
                <w:rPr>
                  <w:rStyle w:val="InternetLink"/>
                  <w:rFonts w:ascii="Times New Roman;sans-serif" w:hAnsi="Times New Roman;sans-serif"/>
                  <w:b w:val="false"/>
                  <w:color w:val="000000"/>
                  <w:sz w:val="20"/>
                </w:rPr>
                <w:t>Press Release issued by Weatherford International plc on April 22, 2025.</w:t>
              </w:r>
            </w:hyperlink>
          </w:p>
        </w:tc>
      </w:tr>
      <w:tr>
        <w:trPr/>
        <w:tc>
          <w:tcPr>
            <w:tcW w:w="142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9151" w:type="dxa"/>
        <w:jc w:val="center"/>
        <w:tblInd w:w="0" w:type="dxa"/>
        <w:tblLayout w:type="fixed"/>
        <w:tblCellMar>
          <w:top w:w="28" w:type="dxa"/>
          <w:left w:w="28" w:type="dxa"/>
          <w:bottom w:w="28" w:type="dxa"/>
          <w:right w:w="28" w:type="dxa"/>
        </w:tblCellMar>
      </w:tblPr>
      <w:tblGrid>
        <w:gridCol w:w="645"/>
        <w:gridCol w:w="568"/>
        <w:gridCol w:w="571"/>
        <w:gridCol w:w="421"/>
        <w:gridCol w:w="421"/>
        <w:gridCol w:w="421"/>
        <w:gridCol w:w="1772"/>
        <w:gridCol w:w="1772"/>
        <w:gridCol w:w="256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22, 2025</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 Weatherholt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C. Weatherholt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Chief Compliance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1333500" cy="5524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333500" cy="552450"/>
                    </a:xfrm>
                    <a:prstGeom prst="rect">
                      <a:avLst/>
                    </a:prstGeom>
                  </pic:spPr>
                </pic:pic>
              </a:graphicData>
            </a:graphic>
          </wp:inline>
        </w:drawing>
      </w:r>
      <w:r>
        <w:rPr>
          <w:color w:val="000000"/>
        </w:rPr>
        <w:t>                                  </w:t>
      </w:r>
      <w:r>
        <w:rPr>
          <w:rFonts w:ascii="Times New Roman;sans-serif" w:hAnsi="Times New Roman;sans-serif"/>
          <w:b/>
          <w:color w:val="000000"/>
          <w:sz w:val="22"/>
        </w:rPr>
        <w:t xml:space="preserve">NEWS RELEASE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rPr>
      </w:pPr>
      <w:r>
        <w:rPr>
          <w:rFonts w:ascii="Times New Roman;sans-serif" w:hAnsi="Times New Roman;sans-serif"/>
          <w:b/>
          <w:color w:val="000000"/>
          <w:sz w:val="22"/>
        </w:rPr>
        <w:t>Weatherford Appoints New Chief Financial Officer</w:t>
      </w:r>
    </w:p>
    <w:p>
      <w:pPr>
        <w:pStyle w:val="TextBody"/>
        <w:bidi w:val="0"/>
        <w:spacing w:before="0" w:after="0"/>
        <w:jc w:val="center"/>
        <w:rPr/>
      </w:pPr>
      <w:r>
        <w:rPr/>
      </w:r>
    </w:p>
    <w:p>
      <w:pPr>
        <w:pStyle w:val="TextBody"/>
        <w:bidi w:val="0"/>
        <w:spacing w:lineRule="auto" w:line="417" w:before="0" w:after="0"/>
        <w:jc w:val="both"/>
        <w:rPr/>
      </w:pPr>
      <w:r>
        <w:rPr>
          <w:rFonts w:ascii="Times New Roman;sans-serif" w:hAnsi="Times New Roman;sans-serif"/>
          <w:b/>
          <w:color w:val="000000"/>
          <w:sz w:val="22"/>
        </w:rPr>
        <w:t xml:space="preserve">HOUSTON, April 22, 2025 - </w:t>
      </w:r>
      <w:r>
        <w:rPr>
          <w:rFonts w:ascii="Times New Roman;sans-serif" w:hAnsi="Times New Roman;sans-serif"/>
          <w:b w:val="false"/>
          <w:color w:val="000000"/>
          <w:sz w:val="22"/>
        </w:rPr>
        <w:t xml:space="preserve">Weatherford International plc (NASDAQ: WFRD) ("Weatherford" or the "Company") today announced Anuj Dhruv has been appointed as Executive Vice President and Chief Financial Officer. </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Girish Saligram, President and Chief Executive Officer of Weatherford, commented, “I am pleased to welcome Anuj to Weatherford. With fresh perspective and proven expertise, Anuj will enhance our leadership team and help position Weatherford to lead confidently through the next phase of our journey. His experience across multiple industries and leadership roles in finance will help shape Weatherford’s focus on delivering high returns for our shareholders. I would like to thank Arun Mitra for his contributions during his time with Weatherford and wish him the best for the future.”</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About Anuj Dhruv </w:t>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Dhruv brings more than two decades of diverse experience in global finance, strategy, and transformation roles across the technology, energy, and chemicals industries. Most recently, he served as Vice President of Finance and Strategy for the Global Olefins and Polyolefins segment at LyondellBasell, where he was responsible for driving performance, investment strategies, and transformation initiatives across a $29B revenue segment. Mr. Dhruv’s extensive background includes strategic leadership at Schlumberger and Microsoft, with a track record of optimizing financial performance, leading complex M&amp;A transactions, and building high-performing teams.</w:t>
      </w:r>
    </w:p>
    <w:p>
      <w:pPr>
        <w:pStyle w:val="TextBody"/>
        <w:bidi w:val="0"/>
        <w:spacing w:before="0" w:after="0"/>
        <w:jc w:val="both"/>
        <w:rPr/>
      </w:pPr>
      <w:r>
        <w:rPr/>
      </w:r>
    </w:p>
    <w:p>
      <w:pPr>
        <w:pStyle w:val="TextBody"/>
        <w:bidi w:val="0"/>
        <w:spacing w:lineRule="auto" w:line="484" w:before="0" w:after="140"/>
        <w:jc w:val="left"/>
        <w:rPr>
          <w:rFonts w:ascii="Times New Roman;sans-serif" w:hAnsi="Times New Roman;sans-serif"/>
          <w:b/>
          <w:color w:val="000000"/>
          <w:sz w:val="22"/>
          <w:u w:val="single"/>
        </w:rPr>
      </w:pPr>
      <w:r>
        <w:rPr>
          <w:rFonts w:ascii="Times New Roman;sans-serif" w:hAnsi="Times New Roman;sans-serif"/>
          <w:b/>
          <w:color w:val="000000"/>
          <w:sz w:val="22"/>
          <w:u w:val="single"/>
        </w:rPr>
        <w:t>About Weatherford</w:t>
      </w:r>
    </w:p>
    <w:p>
      <w:pPr>
        <w:pStyle w:val="TextBody"/>
        <w:bidi w:val="0"/>
        <w:spacing w:lineRule="auto" w:line="484" w:before="0" w:after="1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4" w:before="0" w:after="140"/>
        <w:jc w:val="both"/>
        <w:rPr/>
      </w:pPr>
      <w:r>
        <w:rPr>
          <w:rFonts w:ascii="Times New Roman;sans-serif" w:hAnsi="Times New Roman;sans-serif"/>
          <w:b w:val="false"/>
          <w:color w:val="000000"/>
          <w:sz w:val="22"/>
        </w:rPr>
        <w:t xml:space="preserve">18,000 team members representing more than 110 nationalities and 320 operating locations. Visit </w:t>
      </w:r>
      <w:r>
        <w:rPr>
          <w:rFonts w:ascii="Times New Roman;sans-serif" w:hAnsi="Times New Roman;sans-serif"/>
          <w:b w:val="false"/>
          <w:color w:val="3051F2"/>
          <w:sz w:val="22"/>
          <w:u w:val="single"/>
        </w:rPr>
        <w:t>weatherford.com</w:t>
      </w:r>
      <w:r>
        <w:rPr>
          <w:color w:val="000000"/>
        </w:rPr>
        <w:t xml:space="preserve"> </w:t>
      </w:r>
      <w:r>
        <w:rPr>
          <w:rFonts w:ascii="Times New Roman;sans-serif" w:hAnsi="Times New Roman;sans-serif"/>
          <w:b w:val="false"/>
          <w:color w:val="000000"/>
          <w:sz w:val="22"/>
        </w:rPr>
        <w:t>for more information and connect with us on social media.</w:t>
      </w:r>
    </w:p>
    <w:p>
      <w:pPr>
        <w:pStyle w:val="TextBody"/>
        <w:bidi w:val="0"/>
        <w:spacing w:before="0" w:after="0"/>
        <w:jc w:val="left"/>
        <w:rPr/>
      </w:pPr>
      <w:r>
        <w:rPr/>
      </w:r>
    </w:p>
    <w:p>
      <w:pPr>
        <w:pStyle w:val="TextBody"/>
        <w:bidi w:val="0"/>
        <w:spacing w:lineRule="auto" w:line="297"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 # #</w:t>
      </w:r>
    </w:p>
    <w:p>
      <w:pPr>
        <w:pStyle w:val="TextBody"/>
        <w:bidi w:val="0"/>
        <w:spacing w:before="0" w:after="0"/>
        <w:jc w:val="both"/>
        <w:rPr/>
      </w:pPr>
      <w:r>
        <w:rPr/>
      </w:r>
    </w:p>
    <w:p>
      <w:pPr>
        <w:pStyle w:val="TextBody"/>
        <w:bidi w:val="0"/>
        <w:spacing w:lineRule="auto" w:line="333" w:before="80" w:after="80"/>
        <w:jc w:val="both"/>
        <w:rPr>
          <w:rFonts w:ascii="Times New Roman;sans-serif" w:hAnsi="Times New Roman;sans-serif"/>
          <w:b/>
          <w:color w:val="000000"/>
          <w:sz w:val="22"/>
          <w:u w:val="single"/>
        </w:rPr>
      </w:pPr>
      <w:r>
        <w:rPr>
          <w:rFonts w:ascii="Times New Roman;sans-serif" w:hAnsi="Times New Roman;sans-serif"/>
          <w:b/>
          <w:color w:val="000000"/>
          <w:sz w:val="22"/>
          <w:u w:val="single"/>
        </w:rPr>
        <w:t>Contacts</w:t>
      </w:r>
    </w:p>
    <w:p>
      <w:pPr>
        <w:pStyle w:val="TextBody"/>
        <w:bidi w:val="0"/>
        <w:spacing w:lineRule="auto" w:line="333" w:before="0" w:after="0"/>
        <w:jc w:val="both"/>
        <w:rPr>
          <w:rFonts w:ascii="Times New Roman;sans-serif" w:hAnsi="Times New Roman;sans-serif"/>
          <w:b/>
          <w:color w:val="000000"/>
          <w:sz w:val="22"/>
        </w:rPr>
      </w:pPr>
      <w:r>
        <w:rPr>
          <w:rFonts w:ascii="Times New Roman;sans-serif" w:hAnsi="Times New Roman;sans-serif"/>
          <w:b/>
          <w:color w:val="000000"/>
          <w:sz w:val="22"/>
        </w:rPr>
        <w:t>For Investors:</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Luke Lemoine</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Senior Vice President, Corporate Development &amp; Investor Relations</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+1 713-836-7777</w:t>
      </w:r>
    </w:p>
    <w:p>
      <w:pPr>
        <w:pStyle w:val="TextBody"/>
        <w:bidi w:val="0"/>
        <w:spacing w:lineRule="auto" w:line="333" w:before="0" w:after="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investor.relations@weatherford.com</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2"/>
        </w:rPr>
      </w:pPr>
      <w:r>
        <w:rPr>
          <w:rFonts w:ascii="Times New Roman;sans-serif" w:hAnsi="Times New Roman;sans-serif"/>
          <w:b/>
          <w:color w:val="000000"/>
          <w:sz w:val="22"/>
        </w:rPr>
        <w:t>For Media:</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Kelley Hughes</w:t>
      </w:r>
    </w:p>
    <w:p>
      <w:pPr>
        <w:pStyle w:val="TextBody"/>
        <w:bidi w:val="0"/>
        <w:spacing w:lineRule="auto" w:line="333"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Senior Director, Communications &amp; Employee Engagement</w:t>
      </w:r>
    </w:p>
    <w:p>
      <w:pPr>
        <w:pStyle w:val="TextBody"/>
        <w:bidi w:val="0"/>
        <w:spacing w:lineRule="auto" w:line="333" w:before="0" w:after="0"/>
        <w:jc w:val="both"/>
        <w:rPr>
          <w:rFonts w:ascii="Times New Roman;sans-serif" w:hAnsi="Times New Roman;sans-serif"/>
          <w:b w:val="false"/>
          <w:color w:val="0E32E1"/>
          <w:sz w:val="22"/>
          <w:u w:val="single"/>
        </w:rPr>
      </w:pPr>
      <w:r>
        <w:rPr>
          <w:rFonts w:ascii="Times New Roman;sans-serif" w:hAnsi="Times New Roman;sans-serif"/>
          <w:b w:val="false"/>
          <w:color w:val="0E32E1"/>
          <w:sz w:val="22"/>
          <w:u w:val="single"/>
        </w:rPr>
        <w:t>media@weatherford.com</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1708</Words>
  <Characters>9606</Characters>
  <CharactersWithSpaces>11304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