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4928" w:type="dxa"/>
        <w:jc w:val="center"/>
        <w:tblInd w:w="0" w:type="dxa"/>
        <w:tblLayout w:type="fixed"/>
        <w:tblCellMar>
          <w:top w:w="28" w:type="dxa"/>
          <w:left w:w="28" w:type="dxa"/>
          <w:bottom w:w="28" w:type="dxa"/>
          <w:right w:w="28" w:type="dxa"/>
        </w:tblCellMar>
      </w:tblPr>
      <w:tblGrid>
        <w:gridCol w:w="124"/>
        <w:gridCol w:w="109"/>
        <w:gridCol w:w="109"/>
        <w:gridCol w:w="1403"/>
        <w:gridCol w:w="1403"/>
        <w:gridCol w:w="14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59" w:type="dxa"/>
        <w:jc w:val="center"/>
        <w:tblInd w:w="0" w:type="dxa"/>
        <w:tblLayout w:type="fixed"/>
        <w:tblCellMar>
          <w:top w:w="28" w:type="dxa"/>
          <w:left w:w="28" w:type="dxa"/>
          <w:bottom w:w="28" w:type="dxa"/>
          <w:right w:w="28" w:type="dxa"/>
        </w:tblCellMar>
      </w:tblPr>
      <w:tblGrid>
        <w:gridCol w:w="380"/>
        <w:gridCol w:w="334"/>
        <w:gridCol w:w="336"/>
        <w:gridCol w:w="109"/>
        <w:gridCol w:w="109"/>
        <w:gridCol w:w="109"/>
        <w:gridCol w:w="195"/>
        <w:gridCol w:w="195"/>
        <w:gridCol w:w="196"/>
        <w:gridCol w:w="174"/>
        <w:gridCol w:w="174"/>
        <w:gridCol w:w="176"/>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Form</w:t>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103"/>
        <w:gridCol w:w="1103"/>
        <w:gridCol w:w="1036"/>
        <w:gridCol w:w="1069"/>
        <w:gridCol w:w="1030"/>
        <w:gridCol w:w="1030"/>
        <w:gridCol w:w="1030"/>
        <w:gridCol w:w="1030"/>
        <w:gridCol w:w="105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or</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__________________________________to __________________________________</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001-36504</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24"/>
        </w:rPr>
      </w:pPr>
      <w:r>
        <w:rPr>
          <w:rFonts w:ascii="Times New Roman;serif" w:hAnsi="Times New Roman;serif"/>
          <w:b/>
          <w:color w:val="000000"/>
          <w:sz w:val="24"/>
        </w:rPr>
        <w:t>Weatherford International plc</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242" w:type="dxa"/>
        <w:jc w:val="center"/>
        <w:tblInd w:w="0" w:type="dxa"/>
        <w:tblLayout w:type="fixed"/>
        <w:tblCellMar>
          <w:top w:w="28" w:type="dxa"/>
          <w:left w:w="28" w:type="dxa"/>
          <w:bottom w:w="28" w:type="dxa"/>
          <w:right w:w="28" w:type="dxa"/>
        </w:tblCellMar>
      </w:tblPr>
      <w:tblGrid>
        <w:gridCol w:w="684"/>
        <w:gridCol w:w="603"/>
        <w:gridCol w:w="603"/>
        <w:gridCol w:w="333"/>
        <w:gridCol w:w="333"/>
        <w:gridCol w:w="333"/>
        <w:gridCol w:w="333"/>
        <w:gridCol w:w="333"/>
        <w:gridCol w:w="333"/>
        <w:gridCol w:w="333"/>
        <w:gridCol w:w="333"/>
        <w:gridCol w:w="333"/>
        <w:gridCol w:w="333"/>
        <w:gridCol w:w="333"/>
        <w:gridCol w:w="333"/>
        <w:gridCol w:w="109"/>
        <w:gridCol w:w="109"/>
        <w:gridCol w:w="109"/>
        <w:gridCol w:w="884"/>
        <w:gridCol w:w="884"/>
        <w:gridCol w:w="1261"/>
      </w:tblGrid>
      <w:tr>
        <w:trPr/>
        <w:tc>
          <w:tcPr>
            <w:tcW w:w="68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8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588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588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ind w:left="0" w:right="0" w:firstLine="36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713.836.4000 </w:t>
      </w:r>
    </w:p>
    <w:tbl>
      <w:tblPr>
        <w:tblW w:w="7743" w:type="dxa"/>
        <w:jc w:val="center"/>
        <w:tblInd w:w="0" w:type="dxa"/>
        <w:tblLayout w:type="fixed"/>
        <w:tblCellMar>
          <w:top w:w="28" w:type="dxa"/>
          <w:left w:w="28" w:type="dxa"/>
          <w:bottom w:w="28" w:type="dxa"/>
          <w:right w:w="28" w:type="dxa"/>
        </w:tblCellMar>
      </w:tblPr>
      <w:tblGrid>
        <w:gridCol w:w="124"/>
        <w:gridCol w:w="109"/>
        <w:gridCol w:w="109"/>
        <w:gridCol w:w="781"/>
        <w:gridCol w:w="781"/>
        <w:gridCol w:w="781"/>
        <w:gridCol w:w="781"/>
        <w:gridCol w:w="781"/>
        <w:gridCol w:w="781"/>
        <w:gridCol w:w="781"/>
        <w:gridCol w:w="781"/>
        <w:gridCol w:w="7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119"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ind w:left="0" w:right="0" w:firstLine="450"/>
        <w:jc w:val="both"/>
        <w:rPr/>
      </w:pPr>
      <w:r>
        <w:rPr/>
      </w:r>
    </w:p>
    <w:p>
      <w:pPr>
        <w:pStyle w:val="TextBody"/>
        <w:bidi w:val="0"/>
        <w:spacing w:lineRule="auto" w:line="288" w:before="60" w:after="6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6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60"/>
        <w:ind w:left="0" w:right="0" w:firstLine="3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6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October 15, 2026, there were 72,470,284 Weatherford ordinary shares, $0.001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60" w:after="60"/>
        <w:ind w:left="0" w:right="0" w:firstLine="360"/>
        <w:jc w:val="center"/>
        <w:rPr>
          <w:rFonts w:ascii="Times New Roman;serif" w:hAnsi="Times New Roman;serif"/>
          <w:b/>
          <w:color w:val="000000"/>
          <w:sz w:val="20"/>
        </w:rPr>
      </w:pPr>
      <w:r>
        <w:rPr>
          <w:rFonts w:ascii="Times New Roman;serif" w:hAnsi="Times New Roman;serif"/>
          <w:b/>
          <w:color w:val="000000"/>
          <w:sz w:val="20"/>
        </w:rPr>
        <w:t>Weatherford International public limited company</w:t>
      </w:r>
    </w:p>
    <w:p>
      <w:pPr>
        <w:pStyle w:val="TextBody"/>
        <w:bidi w:val="0"/>
        <w:spacing w:lineRule="auto" w:line="288" w:before="60" w:after="6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Form 10-Q for the Third Quarter Ended September 30, 2026 </w:t>
      </w:r>
    </w:p>
    <w:tbl>
      <w:tblPr>
        <w:tblW w:w="8810" w:type="dxa"/>
        <w:jc w:val="left"/>
        <w:tblInd w:w="0" w:type="dxa"/>
        <w:tblLayout w:type="fixed"/>
        <w:tblCellMar>
          <w:top w:w="28" w:type="dxa"/>
          <w:left w:w="28" w:type="dxa"/>
          <w:bottom w:w="28" w:type="dxa"/>
          <w:right w:w="28" w:type="dxa"/>
        </w:tblCellMar>
      </w:tblPr>
      <w:tblGrid>
        <w:gridCol w:w="1483"/>
        <w:gridCol w:w="1298"/>
        <w:gridCol w:w="1298"/>
        <w:gridCol w:w="1298"/>
        <w:gridCol w:w="1298"/>
        <w:gridCol w:w="1318"/>
        <w:gridCol w:w="235"/>
        <w:gridCol w:w="235"/>
        <w:gridCol w:w="347"/>
      </w:tblGrid>
      <w:tr>
        <w:trPr/>
        <w:tc>
          <w:tcPr>
            <w:tcW w:w="148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0">
              <w:r>
                <w:rPr>
                  <w:rStyle w:val="InternetLink"/>
                  <w:rFonts w:ascii="Times New Roman;serif" w:hAnsi="Times New Roman;serif"/>
                  <w:b/>
                  <w:color w:val="0000FF"/>
                  <w:sz w:val="20"/>
                  <w:u w:val="single"/>
                </w:rPr>
                <w:t>PART I – FINANCIAL INFORMATION</w:t>
              </w:r>
            </w:hyperlink>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3">
              <w:r>
                <w:rPr>
                  <w:rStyle w:val="InternetLink"/>
                  <w:rFonts w:ascii="Times New Roman;serif" w:hAnsi="Times New Roman;serif"/>
                  <w:b w:val="false"/>
                  <w:color w:val="0000FF"/>
                  <w:sz w:val="20"/>
                  <w:u w:val="single"/>
                </w:rPr>
                <w:t>Item 1. Financial Statements.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3">
              <w:r>
                <w:rPr>
                  <w:rStyle w:val="InternetLink"/>
                  <w:rFonts w:ascii="Times New Roman;serif" w:hAnsi="Times New Roman;serif"/>
                  <w:b w:val="false"/>
                  <w:color w:val="0000FF"/>
                  <w:sz w:val="20"/>
                  <w:u w:val="single"/>
                </w:rPr>
                <w:t>2</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6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67">
              <w:r>
                <w:rPr>
                  <w:rStyle w:val="InternetLink"/>
                  <w:rFonts w:ascii="Times New Roman;serif" w:hAnsi="Times New Roman;serif"/>
                  <w:b w:val="false"/>
                  <w:color w:val="0000FF"/>
                  <w:sz w:val="20"/>
                  <w:u w:val="single"/>
                </w:rPr>
                <w:t>21</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60">
              <w:r>
                <w:rPr>
                  <w:rStyle w:val="InternetLink"/>
                  <w:rFonts w:ascii="Times New Roman;serif" w:hAnsi="Times New Roman;serif"/>
                  <w:b w:val="false"/>
                  <w:color w:val="0000FF"/>
                  <w:sz w:val="20"/>
                  <w:u w:val="single"/>
                </w:rPr>
                <w:t>Item 3. Quantitative and Qualitative Disclosures About Market Risk.</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60">
              <w:r>
                <w:rPr>
                  <w:rStyle w:val="InternetLink"/>
                  <w:rFonts w:ascii="Times New Roman;serif" w:hAnsi="Times New Roman;serif"/>
                  <w:b w:val="false"/>
                  <w:color w:val="0000FF"/>
                  <w:sz w:val="20"/>
                  <w:u w:val="single"/>
                </w:rPr>
                <w:t>36</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63">
              <w:r>
                <w:rPr>
                  <w:rStyle w:val="InternetLink"/>
                  <w:rFonts w:ascii="Times New Roman;serif" w:hAnsi="Times New Roman;serif"/>
                  <w:b w:val="false"/>
                  <w:color w:val="0000FF"/>
                  <w:sz w:val="20"/>
                  <w:u w:val="single"/>
                </w:rPr>
                <w:t>Item 4. Controls and Procedures.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63">
              <w:r>
                <w:rPr>
                  <w:rStyle w:val="InternetLink"/>
                  <w:rFonts w:ascii="Times New Roman;serif" w:hAnsi="Times New Roman;serif"/>
                  <w:b w:val="false"/>
                  <w:color w:val="0000FF"/>
                  <w:sz w:val="20"/>
                  <w:u w:val="single"/>
                </w:rPr>
                <w:t>36</w:t>
              </w:r>
            </w:hyperlink>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66">
              <w:r>
                <w:rPr>
                  <w:rStyle w:val="InternetLink"/>
                  <w:rFonts w:ascii="Times New Roman;serif" w:hAnsi="Times New Roman;serif"/>
                  <w:b/>
                  <w:color w:val="0000FF"/>
                  <w:sz w:val="20"/>
                  <w:u w:val="single"/>
                </w:rPr>
                <w:t>PART II –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69">
              <w:r>
                <w:rPr>
                  <w:rStyle w:val="InternetLink"/>
                  <w:rFonts w:ascii="Times New Roman;serif" w:hAnsi="Times New Roman;serif"/>
                  <w:b w:val="false"/>
                  <w:color w:val="0000FF"/>
                  <w:sz w:val="20"/>
                  <w:u w:val="single"/>
                </w:rPr>
                <w:t>Item 1. Legal Proceedings.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69">
              <w:r>
                <w:rPr>
                  <w:rStyle w:val="InternetLink"/>
                  <w:rFonts w:ascii="Times New Roman;serif" w:hAnsi="Times New Roman;serif"/>
                  <w:b w:val="false"/>
                  <w:color w:val="0000FF"/>
                  <w:sz w:val="20"/>
                  <w:u w:val="single"/>
                </w:rPr>
                <w:t>37</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72">
              <w:r>
                <w:rPr>
                  <w:rStyle w:val="InternetLink"/>
                  <w:rFonts w:ascii="Times New Roman;serif" w:hAnsi="Times New Roman;serif"/>
                  <w:b w:val="false"/>
                  <w:color w:val="0000FF"/>
                  <w:sz w:val="20"/>
                  <w:u w:val="single"/>
                </w:rPr>
                <w:t>Item 1A. Risk Factors.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72">
              <w:r>
                <w:rPr>
                  <w:rStyle w:val="InternetLink"/>
                  <w:rFonts w:ascii="Times New Roman;serif" w:hAnsi="Times New Roman;serif"/>
                  <w:b w:val="false"/>
                  <w:color w:val="0000FF"/>
                  <w:sz w:val="20"/>
                  <w:u w:val="single"/>
                </w:rPr>
                <w:t>37</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75">
              <w:r>
                <w:rPr>
                  <w:rStyle w:val="InternetLink"/>
                  <w:rFonts w:ascii="Times New Roman;serif" w:hAnsi="Times New Roman;serif"/>
                  <w:b w:val="false"/>
                  <w:color w:val="0000FF"/>
                  <w:sz w:val="20"/>
                  <w:u w:val="single"/>
                </w:rPr>
                <w:t>Item 2. Unregistered Sales of Equity Securities and Use of Proceeds.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75">
              <w:r>
                <w:rPr>
                  <w:rStyle w:val="InternetLink"/>
                  <w:rFonts w:ascii="Times New Roman;serif" w:hAnsi="Times New Roman;serif"/>
                  <w:b w:val="false"/>
                  <w:color w:val="0000FF"/>
                  <w:sz w:val="20"/>
                  <w:u w:val="single"/>
                </w:rPr>
                <w:t>37</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78">
              <w:r>
                <w:rPr>
                  <w:rStyle w:val="InternetLink"/>
                  <w:rFonts w:ascii="Times New Roman;serif" w:hAnsi="Times New Roman;serif"/>
                  <w:b w:val="false"/>
                  <w:color w:val="0000FF"/>
                  <w:sz w:val="20"/>
                  <w:u w:val="single"/>
                </w:rPr>
                <w:t>Item 3. Defaults Upon Senior Securities.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78">
              <w:r>
                <w:rPr>
                  <w:rStyle w:val="InternetLink"/>
                  <w:rFonts w:ascii="Times New Roman;serif" w:hAnsi="Times New Roman;serif"/>
                  <w:b w:val="false"/>
                  <w:color w:val="0000FF"/>
                  <w:sz w:val="20"/>
                  <w:u w:val="single"/>
                </w:rPr>
                <w:t>37</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81">
              <w:r>
                <w:rPr>
                  <w:rStyle w:val="InternetLink"/>
                  <w:rFonts w:ascii="Times New Roman;serif" w:hAnsi="Times New Roman;serif"/>
                  <w:b w:val="false"/>
                  <w:color w:val="0000FF"/>
                  <w:sz w:val="20"/>
                  <w:u w:val="single"/>
                </w:rPr>
                <w:t>Item 4. Mine Safety Disclosures</w:t>
              </w:r>
            </w:hyperlink>
            <w:r>
              <w:rPr>
                <w:rFonts w:ascii="Times New Roman;serif" w:hAnsi="Times New Roman;serif"/>
                <w:b w:val="false"/>
                <w:color w:val="000000"/>
                <w:sz w:val="20"/>
              </w:rPr>
              <w:t>.</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81">
              <w:r>
                <w:rPr>
                  <w:rStyle w:val="InternetLink"/>
                  <w:rFonts w:ascii="Times New Roman;serif" w:hAnsi="Times New Roman;serif"/>
                  <w:b w:val="false"/>
                  <w:color w:val="0000FF"/>
                  <w:sz w:val="20"/>
                  <w:u w:val="single"/>
                </w:rPr>
                <w:t>38</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84">
              <w:r>
                <w:rPr>
                  <w:rStyle w:val="InternetLink"/>
                  <w:rFonts w:ascii="Times New Roman;serif" w:hAnsi="Times New Roman;serif"/>
                  <w:b w:val="false"/>
                  <w:color w:val="0000FF"/>
                  <w:sz w:val="20"/>
                  <w:u w:val="single"/>
                </w:rPr>
                <w:t>Item 5.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84">
              <w:r>
                <w:rPr>
                  <w:rStyle w:val="InternetLink"/>
                  <w:rFonts w:ascii="Times New Roman;serif" w:hAnsi="Times New Roman;serif"/>
                  <w:b w:val="false"/>
                  <w:color w:val="0000FF"/>
                  <w:sz w:val="20"/>
                  <w:u w:val="single"/>
                </w:rPr>
                <w:t>38</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87">
              <w:r>
                <w:rPr>
                  <w:rStyle w:val="InternetLink"/>
                  <w:rFonts w:ascii="Times New Roman;serif" w:hAnsi="Times New Roman;serif"/>
                  <w:b w:val="false"/>
                  <w:color w:val="0000FF"/>
                  <w:sz w:val="20"/>
                  <w:u w:val="single"/>
                </w:rPr>
                <w:t>Item 6. Exhibits.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87">
              <w:r>
                <w:rPr>
                  <w:rStyle w:val="InternetLink"/>
                  <w:rFonts w:ascii="Times New Roman;serif" w:hAnsi="Times New Roman;serif"/>
                  <w:b w:val="false"/>
                  <w:color w:val="0000FF"/>
                  <w:sz w:val="20"/>
                  <w:u w:val="single"/>
                </w:rPr>
                <w:t>38</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9660e62ec43e4bb44101e519177ec_190">
              <w:r>
                <w:rPr>
                  <w:rStyle w:val="InternetLink"/>
                  <w:rFonts w:ascii="Times New Roman;serif" w:hAnsi="Times New Roman;serif"/>
                  <w:b w:val="false"/>
                  <w:color w:val="0000FF"/>
                  <w:sz w:val="20"/>
                  <w:u w:val="single"/>
                </w:rPr>
                <w:t>SIGNATURES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69660e62ec43e4bb44101e519177ec_190">
              <w:r>
                <w:rPr>
                  <w:rStyle w:val="InternetLink"/>
                  <w:rFonts w:ascii="Times New Roman;serif" w:hAnsi="Times New Roman;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firstLine="360"/>
        <w:jc w:val="center"/>
        <w:rPr/>
      </w:pPr>
      <w:r>
        <w:rPr>
          <w:rFonts w:ascii="Times New Roman;serif" w:hAnsi="Times New Roman;serif"/>
          <w:b/>
          <w:color w:val="000000"/>
          <w:sz w:val="20"/>
        </w:rPr>
        <w:t xml:space="preserve">PART I </w:t>
      </w:r>
      <w:r>
        <w:rPr>
          <w:color w:val="000000"/>
        </w:rPr>
        <w:t xml:space="preserve">– </w:t>
      </w: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tbl>
      <w:tblPr>
        <w:tblW w:w="9533" w:type="dxa"/>
        <w:jc w:val="center"/>
        <w:tblInd w:w="0" w:type="dxa"/>
        <w:tblLayout w:type="fixed"/>
        <w:tblCellMar>
          <w:top w:w="28" w:type="dxa"/>
          <w:left w:w="28" w:type="dxa"/>
          <w:bottom w:w="28" w:type="dxa"/>
          <w:right w:w="28" w:type="dxa"/>
        </w:tblCellMar>
      </w:tblPr>
      <w:tblGrid>
        <w:gridCol w:w="1960"/>
        <w:gridCol w:w="1724"/>
        <w:gridCol w:w="1731"/>
        <w:gridCol w:w="238"/>
        <w:gridCol w:w="576"/>
        <w:gridCol w:w="123"/>
        <w:gridCol w:w="238"/>
        <w:gridCol w:w="576"/>
        <w:gridCol w:w="123"/>
        <w:gridCol w:w="109"/>
        <w:gridCol w:w="109"/>
        <w:gridCol w:w="109"/>
        <w:gridCol w:w="211"/>
        <w:gridCol w:w="616"/>
        <w:gridCol w:w="109"/>
        <w:gridCol w:w="211"/>
        <w:gridCol w:w="616"/>
        <w:gridCol w:w="154"/>
      </w:tblGrid>
      <w:tr>
        <w:trPr/>
        <w:tc>
          <w:tcPr>
            <w:tcW w:w="196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and shares in millions, except per share amounts)</w:t>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Revenue: </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C2C2C"/>
              </w:rPr>
            </w:pPr>
            <w:r>
              <w:rPr>
                <w:color w:val="2C2C2C"/>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Redomestication</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Charges, Net </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Expense:</w:t>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$13, $11, $34 and $36</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Weatherford</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98780"/>
                <wp:effectExtent l="0" t="0" r="0" b="0"/>
                <wp:wrapNone/>
                <wp:docPr id="3" name="Frame3"/>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9309" w:type="dxa"/>
        <w:jc w:val="center"/>
        <w:tblInd w:w="0" w:type="dxa"/>
        <w:tblLayout w:type="fixed"/>
        <w:tblCellMar>
          <w:top w:w="28" w:type="dxa"/>
          <w:left w:w="28" w:type="dxa"/>
          <w:bottom w:w="28" w:type="dxa"/>
          <w:right w:w="28" w:type="dxa"/>
        </w:tblCellMar>
      </w:tblPr>
      <w:tblGrid>
        <w:gridCol w:w="1921"/>
        <w:gridCol w:w="1687"/>
        <w:gridCol w:w="1702"/>
        <w:gridCol w:w="269"/>
        <w:gridCol w:w="595"/>
        <w:gridCol w:w="139"/>
        <w:gridCol w:w="269"/>
        <w:gridCol w:w="461"/>
        <w:gridCol w:w="139"/>
        <w:gridCol w:w="109"/>
        <w:gridCol w:w="109"/>
        <w:gridCol w:w="109"/>
        <w:gridCol w:w="235"/>
        <w:gridCol w:w="519"/>
        <w:gridCol w:w="121"/>
        <w:gridCol w:w="235"/>
        <w:gridCol w:w="519"/>
        <w:gridCol w:w="171"/>
      </w:tblGrid>
      <w:tr>
        <w:trPr/>
        <w:tc>
          <w:tcPr>
            <w:tcW w:w="192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Activity</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Income Attributable to Weatherford</w:t>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8780"/>
                <wp:effectExtent l="0" t="0" r="0" b="0"/>
                <wp:wrapNone/>
                <wp:docPr id="4" name="Frame4"/>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814"/>
        <w:gridCol w:w="2244"/>
        <w:gridCol w:w="2252"/>
        <w:gridCol w:w="332"/>
        <w:gridCol w:w="971"/>
        <w:gridCol w:w="172"/>
        <w:gridCol w:w="304"/>
        <w:gridCol w:w="888"/>
        <w:gridCol w:w="228"/>
      </w:tblGrid>
      <w:tr>
        <w:trPr/>
        <w:tc>
          <w:tcPr>
            <w:tcW w:w="281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and shares in millions, except par value)</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September 30, 2026</w:t>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Assets:</w:t>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$12 at September 30, 2026 and $10 at December 31, 2025</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3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$1,232 at September 30, 2026 and $1,150 at December 31, 2025</w:t>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 Net of Accumulated Amortization of $873 at September 30, 2026 and $828 at December 31, 2025</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3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Taxes Payable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 Par Value $0.001; Authorized 1,356 shares, Issued and Outstanding 72.5 shares at September 30, 2026 and 71.6 at December 31, 2025</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3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8780"/>
                <wp:effectExtent l="0" t="0" r="0" b="0"/>
                <wp:wrapNone/>
                <wp:docPr id="5" name="Frame5"/>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724"/>
        <w:gridCol w:w="2318"/>
        <w:gridCol w:w="2341"/>
        <w:gridCol w:w="301"/>
        <w:gridCol w:w="855"/>
        <w:gridCol w:w="167"/>
        <w:gridCol w:w="301"/>
        <w:gridCol w:w="855"/>
        <w:gridCol w:w="343"/>
      </w:tblGrid>
      <w:tr>
        <w:trPr/>
        <w:tc>
          <w:tcPr>
            <w:tcW w:w="2724"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millions)</w:t>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Losses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Disposition of Assets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Accounts Receivable, Inventory, Accounts Payable, Accrued Salaries and Benefits and Income Taxes Payable:</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Accounts Receivable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Inventories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erif" w:hAnsi="Times New Roman;serif"/>
                <w:b w:val="false"/>
                <w:color w:val="000000"/>
                <w:sz w:val="18"/>
              </w:rPr>
              <w:t>Accounts Payable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Accrued Salaries and Benefits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Taxes Payable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for Property, Plant and Equipment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 of Assets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Blue Chip Swap Securities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Sales of Blue Chip Swap Securities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 Net of Cash Acquired</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Distributions to Noncontrolling Interests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Remittance on Equity Awards Vested</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bookmarkStart w:id="0" w:name="i834aeb2bbef24a55858ec3d7e67d041f_61-0-1"/>
            <w:bookmarkEnd w:id="0"/>
            <w:r>
              <w:rPr>
                <w:rFonts w:ascii="Times New Roman;serif" w:hAnsi="Times New Roman;serif"/>
                <w:b w:val="false"/>
                <w:color w:val="000000"/>
                <w:sz w:val="18"/>
              </w:rPr>
              <w:t>Income Taxes Paid, Net of Refunds</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Supplemental Noncash Information:</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1,033,696 Ordinary Shares Issued for Acquisition</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Portion of Assumed Equity Awards Included in Acquisition Consideration</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8780"/>
                <wp:effectExtent l="0" t="0" r="0" b="0"/>
                <wp:wrapNone/>
                <wp:docPr id="6" name="Frame6"/>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60" w:after="283"/>
        <w:ind w:left="0" w:right="0" w:firstLine="360"/>
        <w:jc w:val="both"/>
        <w:rPr/>
      </w:pPr>
      <w:hyperlink w:anchor="i4469660e62ec43e4bb44101e519177e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1 – Basis of Presentation and Summary of Significant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2025 (“2025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Condensed Consolidated Financial Statements reflect all adjustments, which consist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Please refer to “Note 1 – Summary of Significant Accounting Policies” of our Consolidated Financial Statements from our 2025 Form 10-K for the discussion on our significant accounting policies. Certain reclassifications have been made to these Condensed Consolidated Financial Statements and accompanying footnotes for the three and nine months ended September 30, 2025 to conform to the presentation for the three and nine months ended September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Accounting Standards Issued Not Yet Adopted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Please refer to “Note 1 – Summary of Significant Accounting Policies” of our Consolidated Financial Statements from our 2025 Form 10-K for the discussion on accounting pronouncements that have been issued but not yet effective for the interim periods presented that are not expected to have a material impact on our financial position or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Evaluations of all other new accounting pronouncements that have been issued, but not yet effective are on-going, and at this time are not expected to have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2 – Segment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information by segment is summarized below. The accounting policies of the segments are the same as those described in the summary of significant accounting policies as presented in our 2025 Form 10-K. We have three reportable segments: (1) Drilling and Evaluation “DRE,” (2) Well Construction and Completions “WCC,” and (3) Production and Intervention “PRI.”</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our chief executive officer,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Costs includes overhead support and centrally managed or shared facilities costs. All Other and Corporate Costs do not individually meet the criteria for segment reporting.</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Redomestication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785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63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Redomestication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before="0" w:after="0"/>
        <w:ind w:left="0" w:right="0" w:firstLine="360"/>
        <w:jc w:val="both"/>
        <w:rPr/>
      </w:pPr>
      <w:r>
        <w:rPr/>
      </w:r>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360"/>
        <w:jc w:val="both"/>
        <w:rPr/>
      </w:pPr>
      <w:r>
        <w:rPr/>
      </w:r>
    </w:p>
    <w:tbl>
      <w:tblPr>
        <w:tblW w:w="800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631"/>
        <w:gridCol w:w="109"/>
        <w:gridCol w:w="211"/>
        <w:gridCol w:w="63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53b9411e1775408293eb106066b71b94_57-6-1"/>
            <w:bookmarkEnd w:id="1"/>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before="0" w:after="0"/>
        <w:ind w:left="0" w:right="0" w:firstLine="90"/>
        <w:jc w:val="both"/>
        <w:rPr/>
      </w:pPr>
      <w:r>
        <w:rPr/>
      </w:r>
    </w:p>
    <w:tbl>
      <w:tblPr>
        <w:tblW w:w="9607" w:type="dxa"/>
        <w:jc w:val="left"/>
        <w:tblInd w:w="0" w:type="dxa"/>
        <w:tblLayout w:type="fixed"/>
        <w:tblCellMar>
          <w:top w:w="28" w:type="dxa"/>
          <w:left w:w="28" w:type="dxa"/>
          <w:bottom w:w="28" w:type="dxa"/>
          <w:right w:w="28" w:type="dxa"/>
        </w:tblCellMar>
      </w:tblPr>
      <w:tblGrid>
        <w:gridCol w:w="1128"/>
        <w:gridCol w:w="991"/>
        <w:gridCol w:w="1000"/>
        <w:gridCol w:w="483"/>
        <w:gridCol w:w="827"/>
        <w:gridCol w:w="249"/>
        <w:gridCol w:w="483"/>
        <w:gridCol w:w="827"/>
        <w:gridCol w:w="249"/>
        <w:gridCol w:w="109"/>
        <w:gridCol w:w="109"/>
        <w:gridCol w:w="109"/>
        <w:gridCol w:w="397"/>
        <w:gridCol w:w="877"/>
        <w:gridCol w:w="205"/>
        <w:gridCol w:w="397"/>
        <w:gridCol w:w="877"/>
        <w:gridCol w:w="290"/>
      </w:tblGrid>
      <w:tr>
        <w:trPr/>
        <w:tc>
          <w:tcPr>
            <w:tcW w:w="112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5"/>
        <w:gridCol w:w="1037"/>
        <w:gridCol w:w="1047"/>
        <w:gridCol w:w="675"/>
        <w:gridCol w:w="1983"/>
        <w:gridCol w:w="352"/>
        <w:gridCol w:w="196"/>
        <w:gridCol w:w="196"/>
        <w:gridCol w:w="196"/>
        <w:gridCol w:w="657"/>
        <w:gridCol w:w="1929"/>
        <w:gridCol w:w="343"/>
        <w:gridCol w:w="109"/>
        <w:gridCol w:w="109"/>
        <w:gridCol w:w="161"/>
      </w:tblGrid>
      <w:tr>
        <w:trPr/>
        <w:tc>
          <w:tcPr>
            <w:tcW w:w="121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2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2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01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2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w:t>
            </w:r>
            <w:r>
              <w:rPr>
                <w:rFonts w:ascii="Times New Roman;serif" w:hAnsi="Times New Roman;serif"/>
                <w:b w:val="false"/>
                <w:color w:val="000000"/>
                <w:sz w:val="13"/>
              </w:rPr>
              <w:t>(a)</w:t>
            </w:r>
          </w:p>
        </w:tc>
        <w:tc>
          <w:tcPr>
            <w:tcW w:w="2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6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26"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Corporate and other total assets primarily include cash and cash equivalents, certain intangible assets, and centrally managed or shared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PP&amp;E, Net and Operating Lease Assets by Geographic Area</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U.S. accounted for 23% at both dates, and the Kingdom of Saudi Arabia accounted for 11% and 13% respectively, of our PP&amp;E, Net and operating lease assets identifiable by geography. No other country accounted for more than 10% of our PP&amp;E, Net and operating lease assets identifiable by geography as of September 30, 2026 and December 31, 2025. We had no PP&amp;E, Net and operating lease assets in our country of domicile (Ireland) as of September 30, 2026 and December 31, 2025.</w:t>
      </w:r>
    </w:p>
    <w:p>
      <w:pPr>
        <w:pStyle w:val="TextBody"/>
        <w:bidi w:val="0"/>
        <w:spacing w:before="0" w:after="0"/>
        <w:ind w:left="0" w:right="0" w:firstLine="270"/>
        <w:jc w:val="both"/>
        <w:rPr/>
      </w:pPr>
      <w:r>
        <w:rPr/>
      </w:r>
    </w:p>
    <w:tbl>
      <w:tblPr>
        <w:tblW w:w="8842" w:type="dxa"/>
        <w:jc w:val="left"/>
        <w:tblInd w:w="0" w:type="dxa"/>
        <w:tblLayout w:type="fixed"/>
        <w:tblCellMar>
          <w:top w:w="28" w:type="dxa"/>
          <w:left w:w="28" w:type="dxa"/>
          <w:bottom w:w="28" w:type="dxa"/>
          <w:right w:w="28" w:type="dxa"/>
        </w:tblCellMar>
      </w:tblPr>
      <w:tblGrid>
        <w:gridCol w:w="1683"/>
        <w:gridCol w:w="1477"/>
        <w:gridCol w:w="1490"/>
        <w:gridCol w:w="109"/>
        <w:gridCol w:w="109"/>
        <w:gridCol w:w="109"/>
        <w:gridCol w:w="397"/>
        <w:gridCol w:w="1165"/>
        <w:gridCol w:w="207"/>
        <w:gridCol w:w="109"/>
        <w:gridCol w:w="109"/>
        <w:gridCol w:w="109"/>
        <w:gridCol w:w="380"/>
        <w:gridCol w:w="1110"/>
        <w:gridCol w:w="279"/>
      </w:tblGrid>
      <w:tr>
        <w:trPr/>
        <w:tc>
          <w:tcPr>
            <w:tcW w:w="168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PP&amp;E, Net and Operating Lease Assets by Geography </w:t>
            </w:r>
            <w:r>
              <w:rPr>
                <w:rFonts w:ascii="Times New Roman;serif" w:hAnsi="Times New Roman;serif"/>
                <w:b w:val="false"/>
                <w:color w:val="000000"/>
                <w:sz w:val="13"/>
              </w:rPr>
              <w:t>(b)</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842" w:type="dxa"/>
            <w:gridSpan w:val="15"/>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North America consists of the U.S. and Canada.</w:t>
            </w:r>
          </w:p>
        </w:tc>
      </w:tr>
      <w:tr>
        <w:trPr/>
        <w:tc>
          <w:tcPr>
            <w:tcW w:w="8842"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Corporate assets not allocated by geography are excluded from this total.</w:t>
            </w:r>
          </w:p>
        </w:tc>
      </w:tr>
    </w:tbl>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3 –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Disaggregated Revenue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 from contracts with customers by geographic area and includes equipment rental revenue. Equipment rental revenues were $20 million and $60 million in the three and nine months ended September 30, 2026, respectively, and $24 million and $91 million for the three and nine months ended September 30, 2025,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the U.S. accounted for 15% and 14% of total revenue, respectively. During the three and nine months ended September 30, 2025, the U.S. accounted for 15% of total revenue in each period and the Kingdom of Saudi Arabia accounted for 10% and 11% of total revenue, respectively. No other country accounted for more than 10% of our revenue in the periods presented.</w:t>
      </w:r>
    </w:p>
    <w:tbl>
      <w:tblPr>
        <w:tblW w:w="10205" w:type="dxa"/>
        <w:jc w:val="center"/>
        <w:tblInd w:w="0" w:type="dxa"/>
        <w:tblLayout w:type="fixed"/>
        <w:tblCellMar>
          <w:top w:w="28" w:type="dxa"/>
          <w:left w:w="28" w:type="dxa"/>
          <w:bottom w:w="28" w:type="dxa"/>
          <w:right w:w="28" w:type="dxa"/>
        </w:tblCellMar>
      </w:tblPr>
      <w:tblGrid>
        <w:gridCol w:w="1431"/>
        <w:gridCol w:w="1231"/>
        <w:gridCol w:w="1242"/>
        <w:gridCol w:w="339"/>
        <w:gridCol w:w="993"/>
        <w:gridCol w:w="175"/>
        <w:gridCol w:w="339"/>
        <w:gridCol w:w="993"/>
        <w:gridCol w:w="175"/>
        <w:gridCol w:w="109"/>
        <w:gridCol w:w="109"/>
        <w:gridCol w:w="109"/>
        <w:gridCol w:w="325"/>
        <w:gridCol w:w="949"/>
        <w:gridCol w:w="167"/>
        <w:gridCol w:w="325"/>
        <w:gridCol w:w="949"/>
        <w:gridCol w:w="245"/>
      </w:tblGrid>
      <w:tr>
        <w:trPr/>
        <w:tc>
          <w:tcPr>
            <w:tcW w:w="14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 by Geographic Areas:</w:t>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(a)</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East/North Africa/Asia</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Europe/Sub-Sahara Africa/Russia</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100" w:after="283"/>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North America consists of the U.S. and Canada.</w:t>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our revenue recognition, billings, and cash collections results in the recording of accounts receivable, contract assets, and contract liabilities. The following table summarizes these balances as of September 30, 2026 and December 31, 2025:</w:t>
      </w:r>
    </w:p>
    <w:tbl>
      <w:tblPr>
        <w:tblW w:w="9088" w:type="dxa"/>
        <w:jc w:val="left"/>
        <w:tblInd w:w="0" w:type="dxa"/>
        <w:tblLayout w:type="fixed"/>
        <w:tblCellMar>
          <w:top w:w="28" w:type="dxa"/>
          <w:left w:w="28" w:type="dxa"/>
          <w:bottom w:w="28" w:type="dxa"/>
          <w:right w:w="28" w:type="dxa"/>
        </w:tblCellMar>
      </w:tblPr>
      <w:tblGrid>
        <w:gridCol w:w="2008"/>
        <w:gridCol w:w="1763"/>
        <w:gridCol w:w="1779"/>
        <w:gridCol w:w="397"/>
        <w:gridCol w:w="1165"/>
        <w:gridCol w:w="207"/>
        <w:gridCol w:w="380"/>
        <w:gridCol w:w="1110"/>
        <w:gridCol w:w="279"/>
      </w:tblGrid>
      <w:tr>
        <w:trPr/>
        <w:tc>
          <w:tcPr>
            <w:tcW w:w="200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for Products and Services in Accounts Receivable, Net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for Equipment Rentals in Account Receivable, Net</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in Other Current Assets</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in Other Non-Current Assets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 Other Current Liabilities</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 Other Non-Current Liabilities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4 – Restructuring Charges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charges were $6 million and $28 million in the three and nine months ended September 30, 2026, respectively, and $11 million and $51 million in the three and nine months ended September 30, 2025, respectively, and are presented as “Restructuring Charges” on the accompanying Condensed Consolidated Statements of Operations. These charges were related to optimization and efficiency initiatives throughout the organization and primarily relate to severance expenses.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liabilities were $17 million as of September 30, 2026 and $22 million as of December 31, 2025. Of the restructuring liabilities, $16 million and $19 million are recorded in “Other Current Liabilities” on the accompanying Condensed Consolidated Balance Sheets as of September 30, 2026 and December 31, 2025, respectively. The remaining $1 million and $3 million are recorded in “Other Non-Current Liabilities” on the accompanying Condensed Consolidated Balance Sheets as of September 30, 2026 and December 31, 2025. Changes in the liabilities are primarily driven by restructuring charges and cash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restructuring charges by segment and Corporate and Other in the three and nine months ended September 30, 2026 and 2025:</w:t>
      </w:r>
    </w:p>
    <w:tbl>
      <w:tblPr>
        <w:tblW w:w="8901" w:type="dxa"/>
        <w:jc w:val="left"/>
        <w:tblInd w:w="0" w:type="dxa"/>
        <w:tblLayout w:type="fixed"/>
        <w:tblCellMar>
          <w:top w:w="28" w:type="dxa"/>
          <w:left w:w="28" w:type="dxa"/>
          <w:bottom w:w="28" w:type="dxa"/>
          <w:right w:w="28" w:type="dxa"/>
        </w:tblCellMar>
      </w:tblPr>
      <w:tblGrid>
        <w:gridCol w:w="874"/>
        <w:gridCol w:w="767"/>
        <w:gridCol w:w="774"/>
        <w:gridCol w:w="523"/>
        <w:gridCol w:w="635"/>
        <w:gridCol w:w="270"/>
        <w:gridCol w:w="523"/>
        <w:gridCol w:w="896"/>
        <w:gridCol w:w="270"/>
        <w:gridCol w:w="109"/>
        <w:gridCol w:w="109"/>
        <w:gridCol w:w="109"/>
        <w:gridCol w:w="456"/>
        <w:gridCol w:w="781"/>
        <w:gridCol w:w="235"/>
        <w:gridCol w:w="456"/>
        <w:gridCol w:w="781"/>
        <w:gridCol w:w="333"/>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4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69" w:type="dxa"/>
            <w:gridSpan w:val="9"/>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5 – Inventories,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are reported net of reserves of $125 million and $118 million as of September 30, 2026 and December 31, 2025, respectively, and are presented by category in the table below: </w:t>
      </w:r>
    </w:p>
    <w:tbl>
      <w:tblPr>
        <w:tblW w:w="8743" w:type="dxa"/>
        <w:jc w:val="center"/>
        <w:tblInd w:w="0" w:type="dxa"/>
        <w:tblLayout w:type="fixed"/>
        <w:tblCellMar>
          <w:top w:w="28" w:type="dxa"/>
          <w:left w:w="28" w:type="dxa"/>
          <w:bottom w:w="28" w:type="dxa"/>
          <w:right w:w="28" w:type="dxa"/>
        </w:tblCellMar>
      </w:tblPr>
      <w:tblGrid>
        <w:gridCol w:w="1883"/>
        <w:gridCol w:w="1653"/>
        <w:gridCol w:w="1668"/>
        <w:gridCol w:w="475"/>
        <w:gridCol w:w="1049"/>
        <w:gridCol w:w="246"/>
        <w:gridCol w:w="448"/>
        <w:gridCol w:w="992"/>
        <w:gridCol w:w="329"/>
      </w:tblGrid>
      <w:tr>
        <w:trPr/>
        <w:tc>
          <w:tcPr>
            <w:tcW w:w="18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2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 and Raw Materials, Components and Supplies</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inventory reserves includes inventory charges, primarily offset by the disposal of inventory previously reserved. The charges are recorded in “Cost of Products” on our Condensed Consolidated Statements of Operations in the amount of $7 million and $28 million in the three and nine months ended September 30, 2026, respectively, and $8 million and $22 million during the three and nine months ended September 30, 2025,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inventories, net was primarily related to inventory acquired in connection with an acquisition during the three and nine months ended September 30, 2026. Please refer to “Note 13 –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6 – Intangibles,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intangible assets, net were as follows:</w:t>
      </w:r>
    </w:p>
    <w:tbl>
      <w:tblPr>
        <w:tblW w:w="10205" w:type="dxa"/>
        <w:jc w:val="center"/>
        <w:tblInd w:w="0" w:type="dxa"/>
        <w:tblLayout w:type="fixed"/>
        <w:tblCellMar>
          <w:top w:w="28" w:type="dxa"/>
          <w:left w:w="28" w:type="dxa"/>
          <w:bottom w:w="28" w:type="dxa"/>
          <w:right w:w="28" w:type="dxa"/>
        </w:tblCellMar>
      </w:tblPr>
      <w:tblGrid>
        <w:gridCol w:w="2708"/>
        <w:gridCol w:w="2278"/>
        <w:gridCol w:w="2277"/>
        <w:gridCol w:w="394"/>
        <w:gridCol w:w="871"/>
        <w:gridCol w:w="204"/>
        <w:gridCol w:w="372"/>
        <w:gridCol w:w="824"/>
        <w:gridCol w:w="277"/>
      </w:tblGrid>
      <w:tr>
        <w:trPr/>
        <w:tc>
          <w:tcPr>
            <w:tcW w:w="270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and Acquired Technology, Net of Accumulated Amortization of $600 at September 30, 2026 and $586 at December 31, 2025</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 Net of Accumulated Amortization of $273 at September 30, 2026 and $242 at December 31, 2025</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 Net of Accumulated Amortization of $873 at September 30, 2026 and $828 at December 31, 2025</w:t>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$15 million and $46 million in the three and nine months ended September 30, 2026, respectively, and $15 million and $44 million in the three and nine months ended September 30, 2025, respectively, and is reported in “Selling, General and Administrative” on our Condensed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increase in developed and acquired technology was primarily related to intangibles acquired in connection with an acquisition during the three and nine months ended September 30, 2026. Please refer to “Note 13 – Acquisition.”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color w:val="000000"/>
        </w:rPr>
      </w:pPr>
      <w:r>
        <w:rPr>
          <w:color w:val="000000"/>
        </w:rPr>
        <w:t xml:space="preserve">     </w:t>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7 – Borrowings and Other Debt Obligations</w:t>
      </w:r>
    </w:p>
    <w:tbl>
      <w:tblPr>
        <w:tblW w:w="8230" w:type="dxa"/>
        <w:jc w:val="center"/>
        <w:tblInd w:w="0" w:type="dxa"/>
        <w:tblLayout w:type="fixed"/>
        <w:tblCellMar>
          <w:top w:w="28" w:type="dxa"/>
          <w:left w:w="28" w:type="dxa"/>
          <w:bottom w:w="28" w:type="dxa"/>
          <w:right w:w="28" w:type="dxa"/>
        </w:tblCellMar>
      </w:tblPr>
      <w:tblGrid>
        <w:gridCol w:w="1579"/>
        <w:gridCol w:w="1387"/>
        <w:gridCol w:w="1399"/>
        <w:gridCol w:w="397"/>
        <w:gridCol w:w="1165"/>
        <w:gridCol w:w="207"/>
        <w:gridCol w:w="109"/>
        <w:gridCol w:w="109"/>
        <w:gridCol w:w="109"/>
        <w:gridCol w:w="380"/>
        <w:gridCol w:w="1110"/>
        <w:gridCol w:w="279"/>
      </w:tblGrid>
      <w:tr>
        <w:trPr/>
        <w:tc>
          <w:tcPr>
            <w:tcW w:w="15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8.625% Senior Notes due 2030 “2030 Senior Notes”</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 Senior Notes due 2033 “2033 Senior Notes”</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Leases </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2030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2021, Weatherford International Ltd. (“Weatherford Bermuda”) issued 8.625% senior notes in aggregate principal amount of $1.6 billion maturing April 30, 2030 (the “2030 Senior Notes”). Interest on the 2030 Senior Notes is payable semiannually on June 1 and December 1 of each year, and commenced on June 1, 2022. On December 1, 2022, the indenture related to our 2030 Senior Notes was amended and supplemented to add Weatherford US Holding, LLC (formerly named Weatherford International, LLC, “Weatherford Delaware”) as co-issuer and co-obligor, and concurrently release the guarantee of Weatherford Delaware. At September 30, 2026 and December 31, 2025, the carrying value represented the remaining unpaid principal of $236 million, offset by unamortized deferred issuance cost of $2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20, 2026, the Company issued a notice to redeem the remaining 2030 Senior Notes in an aggregate principal amount of $236 million. The redemption will be funded using cash on hand. Pursuant to the Company's accounting policy election, the Company has the ability and intent to repay long-term debt with cash on hand within the next year. As such, the carrying value of the 2030 Senior Notes was reclassified from long-term debt to current maturities of long-term debt as of September 30, 2026.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2033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2025, Weatherford Bermuda issued 6.75% senior notes in aggregate principal amount of $1.2 billion maturing on October 15, 2033 (the “2033 Senior Notes”). Interest on the 2033 Senior Notes is payable semiannually on April 15th and October 15th of each year, beginning on April 15, 2026. On October 24, 2025, the indenture related to our 2033 Senior Notes was amended and supplemented to add Weatherford Delaware as co-issuer and co-obligor, and concurrently released the guarantee of Weatherford Delaware. On September 25, 2026, the indenture related to our 2033 Senior Notes was further amended and supplemented to add Weatherford International Holding LLC, a Texas limited liability company, as an additional co-issuer and co-obligor, and concurrently release the guarantee of Weatherford International Holding LLC. At September 30, 2026, the carrying value represents the remaining unpaid principal of $1.2 billion, offset by unamortized deferred issuance cost of $17 million. At December 31, 2025, the carrying value represented the remaining unpaid principal of $1.2 billion, offset by unamortized deferred issuance cost of $19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Credit Agreement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September 30, 2026 and December 31, 2025, the Credit Agreement allowed for a total commitment amount of $1 billion, maturing on the date that occurs first: (a) September 18, 2030 or (b) if more than $200 million of the 2030 Senior Notes remain outstanding, the date that is 91 days before the maturity of those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2026, under the Credit Agreement we had zero borrowings, $1 million in financial letters of credit and $233 million in performance letters of credit outstanding. Additionally as of September 30, 2026, we had $297 million letters of credit under various uncommitted bi-lateral facilities ($31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under the Credit Agreement we had zero borrowings, $7 million in financial letters of credit and $245 million in performance letters of credit outstanding. Additionally as of December 31, 2025, we had $207 million of letters of credit under various uncommitted bi-lateral facilities ($47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Fair Value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tbl>
      <w:tblPr>
        <w:tblW w:w="9023" w:type="dxa"/>
        <w:jc w:val="center"/>
        <w:tblInd w:w="0" w:type="dxa"/>
        <w:tblLayout w:type="fixed"/>
        <w:tblCellMar>
          <w:top w:w="28" w:type="dxa"/>
          <w:left w:w="28" w:type="dxa"/>
          <w:bottom w:w="28" w:type="dxa"/>
          <w:right w:w="28" w:type="dxa"/>
        </w:tblCellMar>
      </w:tblPr>
      <w:tblGrid>
        <w:gridCol w:w="1351"/>
        <w:gridCol w:w="1186"/>
        <w:gridCol w:w="1197"/>
        <w:gridCol w:w="324"/>
        <w:gridCol w:w="948"/>
        <w:gridCol w:w="167"/>
        <w:gridCol w:w="230"/>
        <w:gridCol w:w="671"/>
        <w:gridCol w:w="118"/>
        <w:gridCol w:w="109"/>
        <w:gridCol w:w="109"/>
        <w:gridCol w:w="109"/>
        <w:gridCol w:w="324"/>
        <w:gridCol w:w="948"/>
        <w:gridCol w:w="167"/>
        <w:gridCol w:w="229"/>
        <w:gridCol w:w="669"/>
        <w:gridCol w:w="167"/>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2033 Senior Notes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8 – Disputes, Litigation and Legal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9 – Shareholders’ Equity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issued and outstanding on our Condensed Consolidated Balance Sheets increased from 71.6 million as of December 31, 2025 to 72.5 million as of September 30, 2026. The increase was due to the issuance of 1.0 million of our ordinary shares related to an acquisition and of 0.4 million of our ordinary shares for equity awards vested and delivered, net of shares withheld for taxes, partially offset by the cancellation of 0.5 million of our ordinary shares repurchased for $54 million. See “Note 13 – Acquisition” for additional information regarding the acquisition.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declared and paid $59 million in dividends and accrued $1 million of dividend equivalent rights on share-based awards.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our shareholders’ equity activity for the three and nine months ended September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tbl>
      <w:tblPr>
        <w:tblW w:w="10434" w:type="dxa"/>
        <w:jc w:val="left"/>
        <w:tblInd w:w="0" w:type="dxa"/>
        <w:tblLayout w:type="fixed"/>
        <w:tblCellMar>
          <w:top w:w="28" w:type="dxa"/>
          <w:left w:w="28" w:type="dxa"/>
          <w:bottom w:w="28" w:type="dxa"/>
          <w:right w:w="28" w:type="dxa"/>
        </w:tblCellMar>
      </w:tblPr>
      <w:tblGrid>
        <w:gridCol w:w="761"/>
        <w:gridCol w:w="234"/>
        <w:gridCol w:w="236"/>
        <w:gridCol w:w="275"/>
        <w:gridCol w:w="275"/>
        <w:gridCol w:w="276"/>
        <w:gridCol w:w="109"/>
        <w:gridCol w:w="109"/>
        <w:gridCol w:w="109"/>
        <w:gridCol w:w="196"/>
        <w:gridCol w:w="406"/>
        <w:gridCol w:w="109"/>
        <w:gridCol w:w="109"/>
        <w:gridCol w:w="109"/>
        <w:gridCol w:w="109"/>
        <w:gridCol w:w="196"/>
        <w:gridCol w:w="556"/>
        <w:gridCol w:w="109"/>
        <w:gridCol w:w="109"/>
        <w:gridCol w:w="109"/>
        <w:gridCol w:w="109"/>
        <w:gridCol w:w="196"/>
        <w:gridCol w:w="571"/>
        <w:gridCol w:w="109"/>
        <w:gridCol w:w="109"/>
        <w:gridCol w:w="109"/>
        <w:gridCol w:w="109"/>
        <w:gridCol w:w="360"/>
        <w:gridCol w:w="745"/>
        <w:gridCol w:w="201"/>
        <w:gridCol w:w="109"/>
        <w:gridCol w:w="109"/>
        <w:gridCol w:w="109"/>
        <w:gridCol w:w="407"/>
        <w:gridCol w:w="687"/>
        <w:gridCol w:w="227"/>
        <w:gridCol w:w="109"/>
        <w:gridCol w:w="109"/>
        <w:gridCol w:w="109"/>
        <w:gridCol w:w="269"/>
        <w:gridCol w:w="765"/>
        <w:gridCol w:w="152"/>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(Dollars in millions)</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Retained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Dividends Declared ($0.275 per share) </w:t>
            </w:r>
            <w:r>
              <w:rPr>
                <w:rFonts w:ascii="Times New Roman;serif" w:hAnsi="Times New Roman;serif"/>
                <w:b w:val="false"/>
                <w:color w:val="000000"/>
                <w:sz w:val="12"/>
              </w:rPr>
              <w:t>(1)</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Dividends Declared ($0.275 per share)</w:t>
            </w:r>
            <w:r>
              <w:rPr>
                <w:color w:val="000000"/>
              </w:rPr>
              <w:t xml:space="preserve"> </w:t>
            </w:r>
            <w:r>
              <w:rPr>
                <w:rFonts w:ascii="Times New Roman;serif" w:hAnsi="Times New Roman;serif"/>
                <w:b w:val="false"/>
                <w:color w:val="000000"/>
                <w:sz w:val="12"/>
              </w:rPr>
              <w:t>(1)</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Dividends Declared ($0.275 per share)</w:t>
            </w:r>
            <w:r>
              <w:rPr>
                <w:color w:val="000000"/>
              </w:rPr>
              <w:t xml:space="preserve"> </w:t>
            </w:r>
            <w:r>
              <w:rPr>
                <w:rFonts w:ascii="Times New Roman;serif" w:hAnsi="Times New Roman;serif"/>
                <w:b w:val="false"/>
                <w:color w:val="000000"/>
                <w:sz w:val="12"/>
              </w:rPr>
              <w:t>(1)</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Activity</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September 30, 2026</w:t>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80" w:type="dxa"/>
            <w:gridSpan w:val="4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dividend equivalent rights on share-based awards.</w:t>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tbl>
      <w:tblPr>
        <w:tblW w:w="10979" w:type="dxa"/>
        <w:jc w:val="left"/>
        <w:tblInd w:w="0" w:type="dxa"/>
        <w:tblLayout w:type="fixed"/>
        <w:tblCellMar>
          <w:top w:w="28" w:type="dxa"/>
          <w:left w:w="28" w:type="dxa"/>
          <w:bottom w:w="28" w:type="dxa"/>
          <w:right w:w="28" w:type="dxa"/>
        </w:tblCellMar>
      </w:tblPr>
      <w:tblGrid>
        <w:gridCol w:w="723"/>
        <w:gridCol w:w="253"/>
        <w:gridCol w:w="255"/>
        <w:gridCol w:w="275"/>
        <w:gridCol w:w="275"/>
        <w:gridCol w:w="276"/>
        <w:gridCol w:w="109"/>
        <w:gridCol w:w="109"/>
        <w:gridCol w:w="109"/>
        <w:gridCol w:w="196"/>
        <w:gridCol w:w="406"/>
        <w:gridCol w:w="109"/>
        <w:gridCol w:w="109"/>
        <w:gridCol w:w="109"/>
        <w:gridCol w:w="109"/>
        <w:gridCol w:w="196"/>
        <w:gridCol w:w="556"/>
        <w:gridCol w:w="109"/>
        <w:gridCol w:w="109"/>
        <w:gridCol w:w="109"/>
        <w:gridCol w:w="109"/>
        <w:gridCol w:w="196"/>
        <w:gridCol w:w="571"/>
        <w:gridCol w:w="109"/>
        <w:gridCol w:w="109"/>
        <w:gridCol w:w="109"/>
        <w:gridCol w:w="109"/>
        <w:gridCol w:w="345"/>
        <w:gridCol w:w="768"/>
        <w:gridCol w:w="193"/>
        <w:gridCol w:w="109"/>
        <w:gridCol w:w="109"/>
        <w:gridCol w:w="109"/>
        <w:gridCol w:w="461"/>
        <w:gridCol w:w="602"/>
        <w:gridCol w:w="258"/>
        <w:gridCol w:w="109"/>
        <w:gridCol w:w="109"/>
        <w:gridCol w:w="109"/>
        <w:gridCol w:w="269"/>
        <w:gridCol w:w="765"/>
        <w:gridCol w:w="152"/>
        <w:gridCol w:w="109"/>
        <w:gridCol w:w="109"/>
        <w:gridCol w:w="109"/>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Par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Dividends Declared ($0.25 per share)</w:t>
            </w:r>
            <w:r>
              <w:rPr>
                <w:color w:val="000000"/>
              </w:rPr>
              <w:t xml:space="preserve"> </w:t>
            </w:r>
            <w:r>
              <w:rPr>
                <w:rFonts w:ascii="Times New Roman;serif" w:hAnsi="Times New Roman;serif"/>
                <w:b w:val="false"/>
                <w:color w:val="000000"/>
                <w:sz w:val="12"/>
              </w:rPr>
              <w:t>(1)</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Dividends Declared ($0.25 per share)</w:t>
            </w:r>
            <w:r>
              <w:rPr>
                <w:color w:val="000000"/>
              </w:rPr>
              <w:t xml:space="preserve"> </w:t>
            </w:r>
            <w:r>
              <w:rPr>
                <w:rFonts w:ascii="Times New Roman;serif" w:hAnsi="Times New Roman;serif"/>
                <w:b w:val="false"/>
                <w:color w:val="000000"/>
                <w:sz w:val="12"/>
              </w:rPr>
              <w:t>(1)</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Dividends Declared ($0.25 per share)</w:t>
            </w:r>
            <w:r>
              <w:rPr>
                <w:color w:val="000000"/>
              </w:rPr>
              <w:t xml:space="preserve"> </w:t>
            </w:r>
            <w:r>
              <w:rPr>
                <w:rFonts w:ascii="Times New Roman;serif" w:hAnsi="Times New Roman;serif"/>
                <w:b w:val="false"/>
                <w:color w:val="000000"/>
                <w:sz w:val="12"/>
              </w:rPr>
              <w:t>(1)</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94" w:type="dxa"/>
            <w:gridSpan w:val="3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dividend equivalent rights on share-based awards.</w:t>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accumulated other comprehensive income (loss) by component for the nine months ended September 30, 2026 and 2025:</w:t>
      </w:r>
    </w:p>
    <w:tbl>
      <w:tblPr>
        <w:tblW w:w="8922" w:type="dxa"/>
        <w:jc w:val="center"/>
        <w:tblInd w:w="0" w:type="dxa"/>
        <w:tblLayout w:type="fixed"/>
        <w:tblCellMar>
          <w:top w:w="28" w:type="dxa"/>
          <w:left w:w="28" w:type="dxa"/>
          <w:bottom w:w="28" w:type="dxa"/>
          <w:right w:w="28" w:type="dxa"/>
        </w:tblCellMar>
      </w:tblPr>
      <w:tblGrid>
        <w:gridCol w:w="988"/>
        <w:gridCol w:w="867"/>
        <w:gridCol w:w="875"/>
        <w:gridCol w:w="780"/>
        <w:gridCol w:w="1783"/>
        <w:gridCol w:w="406"/>
        <w:gridCol w:w="636"/>
        <w:gridCol w:w="1132"/>
        <w:gridCol w:w="331"/>
        <w:gridCol w:w="109"/>
        <w:gridCol w:w="109"/>
        <w:gridCol w:w="211"/>
        <w:gridCol w:w="54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 Translation Adjustment</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 Benefit Pension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2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10 – Income per Share</w:t>
      </w:r>
    </w:p>
    <w:p>
      <w:pPr>
        <w:pStyle w:val="TextBody"/>
        <w:bidi w:val="0"/>
        <w:spacing w:before="0" w:after="0"/>
        <w:ind w:left="0" w:right="0" w:firstLine="360"/>
        <w:jc w:val="left"/>
        <w:rPr/>
      </w:pPr>
      <w:r>
        <w:rPr/>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number of shares used for the basic and diluted income per share calculation was as follows:</w:t>
      </w:r>
    </w:p>
    <w:tbl>
      <w:tblPr>
        <w:tblW w:w="10205" w:type="dxa"/>
        <w:jc w:val="left"/>
        <w:tblInd w:w="0" w:type="dxa"/>
        <w:tblLayout w:type="fixed"/>
        <w:tblCellMar>
          <w:top w:w="28" w:type="dxa"/>
          <w:left w:w="28" w:type="dxa"/>
          <w:bottom w:w="28" w:type="dxa"/>
          <w:right w:w="28" w:type="dxa"/>
        </w:tblCellMar>
      </w:tblPr>
      <w:tblGrid>
        <w:gridCol w:w="1558"/>
        <w:gridCol w:w="1323"/>
        <w:gridCol w:w="1329"/>
        <w:gridCol w:w="363"/>
        <w:gridCol w:w="879"/>
        <w:gridCol w:w="187"/>
        <w:gridCol w:w="363"/>
        <w:gridCol w:w="879"/>
        <w:gridCol w:w="187"/>
        <w:gridCol w:w="109"/>
        <w:gridCol w:w="109"/>
        <w:gridCol w:w="109"/>
        <w:gridCol w:w="346"/>
        <w:gridCol w:w="840"/>
        <w:gridCol w:w="178"/>
        <w:gridCol w:w="346"/>
        <w:gridCol w:w="840"/>
        <w:gridCol w:w="260"/>
      </w:tblGrid>
      <w:tr>
        <w:trPr/>
        <w:tc>
          <w:tcPr>
            <w:tcW w:w="15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and shares in millions, except per share amounts)</w:t>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Weatherford</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Awards Granted in Stock Incentive Plans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2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Income per Share</w:t>
            </w:r>
            <w:r>
              <w:rPr>
                <w:color w:val="000000"/>
              </w:rPr>
              <w:t xml:space="preserve">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Antidilutive Weighted Average Shares:</w:t>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 Awards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Antidilutive Weighted Average Shares</w:t>
            </w:r>
          </w:p>
        </w:tc>
        <w:tc>
          <w:tcPr>
            <w:tcW w:w="12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3"/>
            <w:tcBorders/>
            <w:vAlign w:val="center"/>
          </w:tcPr>
          <w:p>
            <w:pPr>
              <w:pStyle w:val="TableContents"/>
              <w:bidi w:val="0"/>
              <w:spacing w:before="0" w:after="283"/>
              <w:jc w:val="left"/>
              <w:rPr>
                <w:sz w:val="4"/>
                <w:szCs w:val="4"/>
              </w:rPr>
            </w:pPr>
            <w:r>
              <w:rPr>
                <w:sz w:val="4"/>
                <w:szCs w:val="4"/>
              </w:rPr>
            </w:r>
          </w:p>
        </w:tc>
        <w:tc>
          <w:tcPr>
            <w:tcW w:w="5995" w:type="dxa"/>
            <w:gridSpan w:val="15"/>
            <w:tcBorders/>
          </w:tcPr>
          <w:p>
            <w:pPr>
              <w:pStyle w:val="TableContents"/>
              <w:bidi w:val="0"/>
              <w:spacing w:before="0" w:after="283"/>
              <w:jc w:val="left"/>
              <w:rPr>
                <w:sz w:val="4"/>
                <w:szCs w:val="4"/>
              </w:rPr>
            </w:pPr>
            <w:r>
              <w:rPr>
                <w:sz w:val="4"/>
                <w:szCs w:val="4"/>
              </w:rPr>
            </w:r>
          </w:p>
        </w:tc>
      </w:tr>
      <w:tr>
        <w:trPr/>
        <w:tc>
          <w:tcPr>
            <w:tcW w:w="4210"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210"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income per share for all periods presented equals net income available to shareholders divided by our weighted average shares outstanding during the period. Diluted income per share is computed by dividing net income available to shareholders by our weighted average shares outstanding during the period including potential dilutive ordinary shares. Anti-dilutive weighted average shares represent securities that could potentially dilute income per share in the future and are excluded from the computation of income per share.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11 – 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a tax expense of $4 million and $33 million for the three and nine months ended September 30, 2026, respectively, compared to the three and nine months ended September 30, 2025 where we recognized a tax expense of $52 million and $108 million, respectively. Income tax expense was lower in the three months ended September 30, 2026 compared to the same period in 2025 primarily due to a release of a valuation allowance of $56 million in the third quarter of 2026 driven by the extension of the statutory utilization period of our deferred tax assets in a specific jurisdiction. Income tax expense was lower in the nine months ended September 30, 2026 compared with the corresponding period in 2025 primarily due to a release of a valuation allowance of $56 million in the third quarter of 2026, decreased earnings before taxes and increased recognition of benefits from previously uncertain tax positions. The recognized benefit amounts for the first nine months of 2026 and 2025 were $44 million and $26 million, respectively. We calculate our income tax provision using the estimated annual effective tax rate method in accordance with Accounting Standards Codification “ASC” 740 - 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and withholding taxes on intercompany and third-party transactions that do not directly correlate to ordinary income or loss. Certain charges and impairments recognized do not result in a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continuously under tax examination in various jurisdictions and cannot predict the timing or outcome regarding the resolutions or if they will have a material impact on our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12 – Accounts Payable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Supplier Financing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we entered into a supply chain finance program in connection with the purchase of goods, which allows our suppliers to work directly with a third party to provide financing by purchasing their receivables earlier in the payment cycle at a discounted price. The program became operational in the third quarter of 2026. We maintain the same contractually agreed upon invoice terms prior to each supplier entering into the program. We are not required to provide collateral to the third party. As of September 30, 2026, we had approximately $19 million outstanding under the program, which is included in accounts payable on our Condensed Consolidated Balance Sheet.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13 – Acquisition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On September 1, 2026, we completed the acquisition of NCS Multistage Holdings, Inc. with total consideration of $128 million, which includes $13 million in cash net of cash acquired and 1.0 million of our ordinary shares valued at $101 million on the closing date and $7 million for the portion of the assumed equity awards attributable to pre-combination service. The purchase was accounted for using the acquisition method of accounting in accordance with Accounting Standards Codification “ASC”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 xml:space="preserve">and the purchase price was allocated to the assets acquired and liabilities assumed based on their estimated fair values measured in accordance with the guidance under ASC 820 </w:t>
      </w:r>
      <w:r>
        <w:rPr>
          <w:rFonts w:ascii="Times New Roman;serif" w:hAnsi="Times New Roman;serif"/>
          <w:b w:val="false"/>
          <w:i/>
          <w:color w:val="000000"/>
          <w:sz w:val="20"/>
        </w:rPr>
        <w:t xml:space="preserve">Fair Value Measurement. </w:t>
      </w:r>
      <w:r>
        <w:rPr>
          <w:rFonts w:ascii="Times New Roman;serif" w:hAnsi="Times New Roman;serif"/>
          <w:b w:val="false"/>
          <w:color w:val="000000"/>
          <w:sz w:val="20"/>
        </w:rPr>
        <w:t>The fair value measurements of the intangible assets were based on inputs not observable in the market and therefore represent Level 3 measurements. The fair value of tangible assets acquired was $150 million, intangible assets acquired and goodwill was $46 million, and liabilities acquired was $34 million. In addition, the acquisition resulted in the recognition of $34 million of previously existing noncontrolling interest, representing the acquisition-date fair value of ownership interests retained by third parties. Acquisition-related costs incurred by the Company are expensed as incurred. The operating results of the acquired business were included in the Company’s results of operations from the date of acquisition. See also “Note 6 – Intangibles, Net” and “Note 9 – Shareholders’ Equity” in our Notes to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14 – Subsequent Events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Declaration of cash dividend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2026, our Board of Directors declared a cash dividend of $0.275 per share of the Company’s ordinary shares, payable on December 3, 2026 to shareholders of record as of November 6,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Redemption of 2030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20, 2026, the Company issued a notice to redeem the remaining outstanding principal amount of approximately $236 million of its 2030 Senior Notes. The redemption is expected to occur on October 30, 2026 and will be funded using cash on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2026 shareholders approved the proposed redomestication of the parent company from Ireland to the United States as a Delaware corporation ("Redomestication"). The Redomestication remains subject to customary closing conditions, including sanction by the High Court of Ireland and other related implementation steps. The Company currently expects the Redomestication to be completed during the fourth quarter of 2026. As discussed elsewhere in this Form 10-Q, certain related restructuring activities, including the planned intellectual property transition, are expected to occur in connection with the Redomestication and are being evaluated for their potential accounting and tax implications. The Company does not expect the Redomestication to impact its global footprint, customer commitments or ongoing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2026, the Company completed its acquisition of NCS Multistage Holdings, Inc. ("NCS"), which is now a wholly owned subsidiary of Weatherford. The transaction consideration consisted of a combination of Weatherford ordinary shares and cash, subject to the terms of the merger agreement. The acquisition expands the Company's completions portfolio and strengthens its exposure to unconventional resource markets.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 business in approximately 75 countries, answering the challenges of the energy industry with 320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Drilling and Evaluation</w:t>
      </w:r>
      <w:r>
        <w:rPr>
          <w:color w:val="000000"/>
        </w:rPr>
        <w:t xml:space="preserve"> </w:t>
      </w:r>
      <w:r>
        <w:rPr>
          <w:rFonts w:ascii="Times New Roman;serif" w:hAnsi="Times New Roman;serif"/>
          <w:b/>
          <w:i/>
          <w:color w:val="000000"/>
          <w:sz w:val="20"/>
        </w:rPr>
        <w:t>(“DRE”)</w:t>
      </w:r>
      <w:r>
        <w:rPr>
          <w:color w:val="000000"/>
        </w:rPr>
        <w:t xml:space="preserve"> </w:t>
      </w:r>
      <w:r>
        <w:rPr>
          <w:rFonts w:ascii="Times New Roman;serif" w:hAnsi="Times New Roman;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and productivity.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Well Construction and Completions (“WCC”)</w:t>
      </w:r>
      <w:r>
        <w:rPr>
          <w:color w:val="000000"/>
        </w:rPr>
        <w:t xml:space="preserve"> </w:t>
      </w:r>
      <w:r>
        <w:rPr>
          <w:rFonts w:ascii="Times New Roman;serif" w:hAnsi="Times New Roman;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Production and Intervention (“PRI”)</w:t>
      </w:r>
      <w:r>
        <w:rPr>
          <w:color w:val="000000"/>
        </w:rPr>
        <w:t xml:space="preserve"> </w:t>
      </w:r>
      <w:r>
        <w:rPr>
          <w:rFonts w:ascii="Times New Roman;serif" w:hAnsi="Times New Roman;serif"/>
          <w:b w:val="false"/>
          <w:color w:val="000000"/>
          <w:sz w:val="20"/>
        </w:rPr>
        <w:t xml:space="preserve">offers a suite of reservoir stimulation designs, and engineering capabilities that isolate zones and unlock reserves in conventional and unconventional wells, deep water, and aging reservoirs. The primary offerings are intervention services &amp; drilling tools, artificial lift, digital solutions, sub-sea intervention and pressure pumping services in select markets.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4469660e62ec43e4bb44101e519177e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Industry Trends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Lower oil and natural gas prices and lower rig count generally correlate to lower exploration and production spending, and higher oil and natural gas prices and higher rig count generally correlate to higher exploration and production spending. Therefore, our financial results can be significantly affected by oil and natural gas prices as well as rig counts. As shown in the following tables, as of three and nine months ended September 30, 2026, the average WTI oil price and average Brent crude oil price were higher compared to three and nine months ended September 30, 2025 while the average Henry Hub natural gas prices were lower than during the three months ended September 30, 2025 and higher than during the nine months ended September 30, 2025. Average rig counts increased during the three and nine months ended September 30, 2026 compared to the three and nine months ended September 30, 2025. Oil prices have experienced increased volatility and upward pressure in response to the ongoing geopolitical conflict involving Iran, the U.S. and Israel (“Iran Conflict”). Despite higher oil prices driven by the Iran Conflict, it has adversely impacted exploration and production spending in the Middle East resulting in disruption of global energy supplies and adversely affecting global supply chains, energy markets and overall macroeconomic conditions.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Developments in global trade policy, tariffs, geopolitical conflicts, sanctions, and regulation have affected and may continue to affect our industry. In February 2026, the U.S. Supreme Court ruled that certain tariffs were unlawful and affirmed that jurisdiction for tariff-related matters resided with the Court of International Trade; however, uncertainty persists as new tariffs have been introduced under alternative authorities. We have filed claims for refunds of certain tariffs and have begun receiving approvals and cash receipts. Separately, certain tariffs implemented in 2026 have been challenged or modified and new tariffs continue to be introduced. We continue to monitor these developments, which are not currently expected to have a material impact on our results, but could if certain tariffs are ultimately imposed at maximum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the average oil and natural gas prices for West Texas Intermediate (“WTI”), Brent North Sea (“Brent”) crude oil and Henry Hub natural gas.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825"/>
        <w:gridCol w:w="774"/>
        <w:gridCol w:w="779"/>
        <w:gridCol w:w="125"/>
        <w:gridCol w:w="125"/>
        <w:gridCol w:w="125"/>
        <w:gridCol w:w="373"/>
        <w:gridCol w:w="1091"/>
        <w:gridCol w:w="192"/>
        <w:gridCol w:w="192"/>
        <w:gridCol w:w="242"/>
        <w:gridCol w:w="710"/>
        <w:gridCol w:w="125"/>
        <w:gridCol w:w="125"/>
        <w:gridCol w:w="109"/>
        <w:gridCol w:w="597"/>
        <w:gridCol w:w="597"/>
        <w:gridCol w:w="300"/>
        <w:gridCol w:w="878"/>
        <w:gridCol w:w="155"/>
        <w:gridCol w:w="211"/>
        <w:gridCol w:w="616"/>
        <w:gridCol w:w="109"/>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3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92" w:type="dxa"/>
            <w:tcBorders/>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Oil price - WTI </w:t>
            </w:r>
            <w:r>
              <w:rPr>
                <w:rFonts w:ascii="Times New Roman;serif" w:hAnsi="Times New Roman;serif"/>
                <w:b w:val="false"/>
                <w:color w:val="000000"/>
                <w:sz w:val="13"/>
              </w:rPr>
              <w:t>(1)</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Oil price - Brent </w:t>
            </w:r>
            <w:r>
              <w:rPr>
                <w:rFonts w:ascii="Times New Roman;serif" w:hAnsi="Times New Roman;serif"/>
                <w:b w:val="false"/>
                <w:color w:val="000000"/>
                <w:sz w:val="13"/>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Natural gas price - Henry Hub </w:t>
            </w:r>
            <w:r>
              <w:rPr>
                <w:rFonts w:ascii="Times New Roman;serif" w:hAnsi="Times New Roman;serif"/>
                <w:b w:val="false"/>
                <w:color w:val="000000"/>
                <w:sz w:val="13"/>
              </w:rPr>
              <w:t>(2)</w:t>
            </w:r>
          </w:p>
        </w:tc>
        <w:tc>
          <w:tcPr>
            <w:tcW w:w="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3" w:type="dxa"/>
            <w:gridSpan w:val="1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Oil price measured in dollars per barrel (rounded to the nearest $0.01)</w:t>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648"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3" w:type="dxa"/>
            <w:gridSpan w:val="14"/>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Natural gas price measured in dollars per million British thermal units (rounded to the nearest $0.01)</w:t>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648"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historical average rig counts based on the weekly Baker Hughes Company rig count information. </w:t>
      </w:r>
    </w:p>
    <w:tbl>
      <w:tblPr>
        <w:tblW w:w="8879" w:type="dxa"/>
        <w:jc w:val="center"/>
        <w:tblInd w:w="0" w:type="dxa"/>
        <w:tblLayout w:type="fixed"/>
        <w:tblCellMar>
          <w:top w:w="28" w:type="dxa"/>
          <w:left w:w="28" w:type="dxa"/>
          <w:bottom w:w="28" w:type="dxa"/>
          <w:right w:w="28" w:type="dxa"/>
        </w:tblCellMar>
      </w:tblPr>
      <w:tblGrid>
        <w:gridCol w:w="472"/>
        <w:gridCol w:w="415"/>
        <w:gridCol w:w="418"/>
        <w:gridCol w:w="109"/>
        <w:gridCol w:w="109"/>
        <w:gridCol w:w="109"/>
        <w:gridCol w:w="938"/>
        <w:gridCol w:w="938"/>
        <w:gridCol w:w="333"/>
        <w:gridCol w:w="283"/>
        <w:gridCol w:w="258"/>
        <w:gridCol w:w="531"/>
        <w:gridCol w:w="439"/>
        <w:gridCol w:w="439"/>
        <w:gridCol w:w="439"/>
        <w:gridCol w:w="216"/>
        <w:gridCol w:w="216"/>
        <w:gridCol w:w="216"/>
        <w:gridCol w:w="325"/>
        <w:gridCol w:w="291"/>
        <w:gridCol w:w="221"/>
        <w:gridCol w:w="308"/>
        <w:gridCol w:w="308"/>
        <w:gridCol w:w="176"/>
        <w:gridCol w:w="109"/>
        <w:gridCol w:w="109"/>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0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1" w:type="dxa"/>
            <w:tcBorders/>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8" w:type="dxa"/>
            <w:gridSpan w:val="8"/>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2649" w:type="dxa"/>
            <w:gridSpan w:val="12"/>
            <w:tcBorders/>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Iran Conflict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Iran Conflict, which began in February 2026, has and could continue to significantly disrupt the global oil and gas supply-demand balance, increase commodity price volatility and heighten uncertainty in regional operating conditions. We continue to evaluate our operations and business exposure, with a priority on the safety and well</w:t>
        <w:noBreakHyphen/>
        <w:t>being of our employees, operating in compliance with applicable laws and sanctions, and performing under existing contracts with customers in the region. Disruptions to transportation routes, higher logistics and insurance costs, and changes in customer activity levels or project timing could continue to affect our operating results, liquidity, and cash flows, particularly if conditions persist or escalate. While the situation remains fluid, adverse impacts can continue in future periods. We will continue to monitor developments and, to the extent possible, mitigate potential impacts on our business and financial position.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Russia Ukraine Conflict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in Russia were 8% and 9% of our total revenues for the three and nine months ended September 30, 2026, respectively, compared to 8% and 7% of our total revenue for both the three and nine months ended September 30, 2025, respectively. The increase in Russia revenues as a percentage of consolidated results year over year was driven by revenue decreases in the Middle East/North Africa/Asia region as a result of the Iran Conflict and the strengthening of the Ruble against the U.S. dollar. As of September 30, 2026, our Russia operations included $128 million in cash, $137 million in other current assets, $102 million in property, plant and equipment, net and other non-current assets, and $69 million in liabilities. As of December 31, 2025, our Russia operations included $107 million in cash, $152 million in other current assets, $91 million in property, plant and equipment, net and other non-current assets, and $80 million in liabilities.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 xml:space="preserve">continuing the business in compliance with applicable laws and sanctions; </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 xml:space="preserve">evaluating the continued use or change in products, equipment and service offerings we currently provide in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Russia; </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 xml:space="preserve">curtailing or winding down our activities over time;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potentially divesting some or all of our assets or businesses in Russia, which could include the option of re-entering the country if and when sanctions or applicable laws would allow for the same; and</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potential nationalization of the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Consolidated Statements of Operations - Operating Summary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of $1.1 billion and $3.4 billion in the three and nine months ended September 30, 2026, respectively, decreased 7% and 6% compared to $1.2 billion and $3.6 billion in the three and nine months ended September 30, 2025, respectively. Year-over-year in the third quarter, service revenues decreased 8% and product revenues decreased 6%. For the same period, revenues declined in all segments with WCC, DRE, and PRI responsible for 20%, 17%, and 13% of the decrease, respectively, with the remaining decrease from lower activity in integrated services and projects. Year-over-year in the nine months ended September 30, 2026, service revenues decreased 7% and product revenues decreased 6%. For the same period, revenues declined in all segments with DRE, PRI and WCC responsible for 38%, 27% and 17% of the decrease, respectively, with the remaining decrease from lower activity in integrated services and projects.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Geographically, the year-over-year third quarter revenue decrease was led by declines in Middle East/North Africa/Asia of $86 million, North America of $7 million and Europe/Sub-Sahara Africa/Russia of $7 million, partly offset by a revenue increase of $11 million in the Latin America region. Year-over-year in the nine months ended September 30, 2026, revenue decrease was led by declines in Middle East/North Africa/Asia of $191 million and North America of $73 million, and partly offset by a revenue increase of $40 million in the Europe/Sub-Sahara Africa/Russia region. The decrease of revenue was primarily due to market disruptions caused by the Iran Conflict and lower activity in the North America region.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of $153 million and $383 million in the three and nine months ended September 30, 2026, respectively, decreased 14% and 31% compared to $178 million and $557 million in the three and nine months ended September 30, 2025, respectively. The third quarter year-over-year decrease was primarily due to the decline in revenue with a partial offset from lower cost of products and services, restructuring and research and development costs. The nine months ended September 30, 2026 year-over-year decrease was primarily due to the decline in revenue and prior year $70 million gain on the sale of our pressure pumping business in Argentina, with a partial offset from lower cost of products and services, restructuring and research and development costs.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products and services of $769 million and $2.4 billion in the three and nine months ended September 30, 2026, respectively, decreased 9% and 6% compared to $844 million and $2.5 billion in the three and nine months ended September 30, 2025, respectively. The year-over-year decrease was primarily due to a decline in product sales, lower integrated services and projects activity and a reduction in headcount resulting in lower personnel costs. Our cost of products and services as a percentage of revenues was 67% and 69% in the three and nine months ended September 30, 2026, respectively, compared to 69% in both the three and nine months ended September 30, 2025,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of $182 million and $522 million in the three and nine months ended September 30, 2026, respectively, increased 8% and 6% compared to $169 million and $494 million in the three and nine months ended September 30, 2025, respectively. The year-over-year increase was primarily due to an increase in share-based compensation and employee incentive programs. Selling, general and administrative costs as a percentage of revenues were 16% and 15% in the three and nine months ended September 30, 2026, respectively, and 14% in both the three and nine months ended September 30,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of $23 million and $64 million in the three and nine months ended September 30, 2026, respectively, decreased 15% and 26% compared to $27 million and $86 million in the three and nine months ended September 30, 2025, respectively. The year-over-year decrease was due to lower costs for research and development projects. Research and development costs as a percentage of revenues was 2% in both the three and nine months ended September 30, 2026 and 2% in both the three and nine months ended September 30,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charges were $6 million and $28 million in the three and nine months ended September 30, 2026, respectively, and $11 million and $51 million in the three and nine months ended September 30, 2025, respectively. See “Note 4 – Restructuring Charges”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Redomestication expense was $6 million and $30 million in the three and nine months ended September 30, 2026, respectively. These costs primarily relate to activities associated with the Company's proposed redomestication from Ireland to the United States, including legal, tax, consulting and other transaction-related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Charges, Net were $4 million and $20 million in the three and nine months ended September 30, 2026, respectively, and $3 million and $19 million in the three and nine months ended September 30, 2025, respectively. Other Charges, Net primarily included mergers and acquisition costs in the three and nine months ended September 30, 2026 and primarily included fees to third-party financial institutions related to collections of certain receivables from our largest customer in Mexico as well as other miscellaneous charges and credits in the three and nine months ended September 30, 2025.</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Consolidated Statements of Operations - Non-Operating Summary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was $15 million and $48 million in the three and nine months ended September 30, 2026, respectively, and $23 million and $70 million in the three and nine months ended September 30, 2025, respectively. Interest Expense, Net is interest expense net of interest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was $28 million and $82 million in the three and nine months ended September 30, 2026, respectively, and $34 million and $106 million in the three and nine months ended September 30, 2025, respectively. The decrease was primarily due to a lower interest rate following the refinancing of long-term debt in the fourth quarter of 2025 and the reduction in our outstanding long-term debt. Interest income was $13 million and $34 million in the three and nine months ended September 30, 2026, respectively, and $11 million and $36 million in the three and nine months ended September 30, 2025,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was $9 million and $26 million in the three and nine months ended September 30, 2026, respectively, and $16 million and $61 million in the three and nine months ended September 30, 2025, respectively. Other Expense, Net primarily represents foreign exchange gains and losses in countries with no or limited markets to hedge, letter of credit fees and other financing charges, including bond redemption premiums partially offset by certain investment gains and losses. When economically advantageous, we enter into foreign currency forward contracts to mitigate the risk of future cash flows denominated in a foreign currency.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Charges can be partially offset by the utilization of previously unbenefited deferred tax assets, such as net operating loss carryforwards. Please see “Note 11 – Income Taxes” to our Condensed Consolidated Financial Statements for additional details.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Results of Operations by Segment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information by segment is summarized below. </w:t>
      </w:r>
    </w:p>
    <w:p>
      <w:pPr>
        <w:pStyle w:val="TextBody"/>
        <w:bidi w:val="0"/>
        <w:spacing w:before="0" w:after="0"/>
        <w:ind w:left="0" w:right="0" w:firstLine="360"/>
        <w:jc w:val="both"/>
        <w:rPr/>
      </w:pPr>
      <w:r>
        <w:rPr/>
      </w:r>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Redomestication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tbl>
      <w:tblPr>
        <w:tblW w:w="785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63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Redomestication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360"/>
        <w:jc w:val="both"/>
        <w:rPr/>
      </w:pPr>
      <w:r>
        <w:rPr/>
      </w:r>
    </w:p>
    <w:tbl>
      <w:tblPr>
        <w:tblW w:w="800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631"/>
        <w:gridCol w:w="109"/>
        <w:gridCol w:w="211"/>
        <w:gridCol w:w="63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DRE Results</w:t>
      </w:r>
    </w:p>
    <w:p>
      <w:pPr>
        <w:pStyle w:val="TextBody"/>
        <w:bidi w:val="0"/>
        <w:spacing w:before="0" w:after="0"/>
        <w:ind w:left="0" w:right="0" w:firstLine="360"/>
        <w:jc w:val="both"/>
        <w:rPr/>
      </w:pPr>
      <w:r>
        <w:rPr/>
      </w:r>
    </w:p>
    <w:tbl>
      <w:tblPr>
        <w:tblW w:w="9268"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92"/>
        <w:gridCol w:w="869"/>
        <w:gridCol w:w="508"/>
        <w:gridCol w:w="109"/>
        <w:gridCol w:w="109"/>
        <w:gridCol w:w="109"/>
        <w:gridCol w:w="392"/>
        <w:gridCol w:w="869"/>
        <w:gridCol w:w="508"/>
        <w:gridCol w:w="109"/>
        <w:gridCol w:w="109"/>
        <w:gridCol w:w="109"/>
        <w:gridCol w:w="211"/>
        <w:gridCol w:w="436"/>
        <w:gridCol w:w="109"/>
        <w:gridCol w:w="109"/>
        <w:gridCol w:w="109"/>
        <w:gridCol w:w="109"/>
        <w:gridCol w:w="239"/>
        <w:gridCol w:w="227"/>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5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5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9269"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92"/>
        <w:gridCol w:w="869"/>
        <w:gridCol w:w="508"/>
        <w:gridCol w:w="109"/>
        <w:gridCol w:w="109"/>
        <w:gridCol w:w="109"/>
        <w:gridCol w:w="340"/>
        <w:gridCol w:w="993"/>
        <w:gridCol w:w="437"/>
        <w:gridCol w:w="109"/>
        <w:gridCol w:w="109"/>
        <w:gridCol w:w="109"/>
        <w:gridCol w:w="211"/>
        <w:gridCol w:w="436"/>
        <w:gridCol w:w="109"/>
        <w:gridCol w:w="109"/>
        <w:gridCol w:w="109"/>
        <w:gridCol w:w="109"/>
        <w:gridCol w:w="238"/>
        <w:gridCol w:w="228"/>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4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5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DRE revenues of $331 million and $943 million in the three and nine months ended September 30, 2026, decreased $15 million or 4%, and decreased $88 million or 9% compared to $346 million and $1,031 million in the three and nine months ended September 30, 2025,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third quarter year-over-year decrease was primarily due to lower activity for drilling related services and wireline which were each responsible for approximately 50% of the decrease within product lines with revenue decreases. This was partly offset by a revenue increase from managed pressure drilling activity. Geographically, within the regions with revenue decreases, approximately 45% of the decrease was from Europe/Sub-Sahara Africa/Russia and approximately 35% from the Middle East/North Africa/Asia region. This was partly offset by a revenue increase in the Latin America region. The Iran Conflict was the primary contributor to the decline of activity in the Middle East/North Africa/Asia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year-to-date year-over-year revenue decrease was primarily due to lower activity in wireline and drilling related services, which accounted for approximately 60% and 40% of the decrease, respectively. Geographically, approximately 40% of the revenue decrease was from Middle East/North Africa/Asia, approximately 30% of the decrease was from North America and approximately 25% of the decrease was from the Latin America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DRE segment adjusted EBITDA of $90 million and $220 million in the three and nine months ended September 30, 2026, increased $7 million or 8%, and decreased $6 million or 3% compared to $83 million and $226 million in the three and nine months ended September 30, 2025, respectively. DRE segment adjusted EBITDA margin was 27.2% and 23.3% in the three and nine months ended September 30, 2026 compared to 24.0% and 21.9% in the three and nine months ended September 30, 2025, respectively. The third quarter segment adjusted EBITDA increased year-over-year primarily due to higher margin managed pressure drilling activity and lower direct operating and selling, general and administrative costs. In the third quarter, direct costs and other expense decreased at a greater rate than revenue, contributing to the increase in margin. Year-to-date segment adjusted EBITDA decreased year-over-year primarily due to lower activity in wireline and drilling-related services, partially offset by higher margin managed pressure drilling activity. Year-to-date, direct costs decreased at a greater rate than revenue and other expense decreased at the same rate as revenue, resulting in an increase in margin.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WCC Results</w:t>
      </w:r>
    </w:p>
    <w:p>
      <w:pPr>
        <w:pStyle w:val="TextBody"/>
        <w:bidi w:val="0"/>
        <w:spacing w:before="0" w:after="0"/>
        <w:ind w:left="0" w:right="0" w:firstLine="360"/>
        <w:jc w:val="both"/>
        <w:rPr/>
      </w:pPr>
      <w:r>
        <w:rPr/>
      </w:r>
    </w:p>
    <w:tbl>
      <w:tblPr>
        <w:tblW w:w="9342"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92"/>
        <w:gridCol w:w="869"/>
        <w:gridCol w:w="508"/>
        <w:gridCol w:w="109"/>
        <w:gridCol w:w="109"/>
        <w:gridCol w:w="109"/>
        <w:gridCol w:w="392"/>
        <w:gridCol w:w="869"/>
        <w:gridCol w:w="508"/>
        <w:gridCol w:w="109"/>
        <w:gridCol w:w="109"/>
        <w:gridCol w:w="109"/>
        <w:gridCol w:w="211"/>
        <w:gridCol w:w="436"/>
        <w:gridCol w:w="109"/>
        <w:gridCol w:w="109"/>
        <w:gridCol w:w="109"/>
        <w:gridCol w:w="109"/>
        <w:gridCol w:w="276"/>
        <w:gridCol w:w="264"/>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5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9344"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40"/>
        <w:gridCol w:w="993"/>
        <w:gridCol w:w="437"/>
        <w:gridCol w:w="109"/>
        <w:gridCol w:w="109"/>
        <w:gridCol w:w="109"/>
        <w:gridCol w:w="340"/>
        <w:gridCol w:w="993"/>
        <w:gridCol w:w="437"/>
        <w:gridCol w:w="109"/>
        <w:gridCol w:w="109"/>
        <w:gridCol w:w="109"/>
        <w:gridCol w:w="211"/>
        <w:gridCol w:w="436"/>
        <w:gridCol w:w="109"/>
        <w:gridCol w:w="109"/>
        <w:gridCol w:w="109"/>
        <w:gridCol w:w="109"/>
        <w:gridCol w:w="275"/>
        <w:gridCol w:w="265"/>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4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4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4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WCC revenues of $450 million and $1,326 million in the three and nine months ended September 30, 2026, decreased $18 million, or 4%, and decreased $39 million or 3%, compared to $468 million and $1,365 million in the three and nine months ended September 30, 2025,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third quarter year-over-year decrease was primarily due to lower activity for liner hangers, which was responsible for approximately 50% of the decrease within product lines with revenue decreases with the remaining decrease equally attributable to lower activity in tubular running services and well services. This was partly offset by a revenue increase from cementation products activity. Geographically, approximately all of the revenue decrease was from the Middle East/North Africa/Asia region. The Iran Conflict was the primary contributor to the decline of activity in the Middle East/North Africa/Asia region. The decrease in revenue was partly offset by revenue increases in the North America and Latin America regions.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year-to-date year-over-year revenue decrease was primarily due to lower activity in liner hangers and well services, which accounted for approximately 45% and 35% of the decrease, respectively, among product lines with revenue decreases. This was partly offset by a revenue increase from completions activity. Geographically, all of the revenue decrease was from the Middle East/North Africa/Asia region. The Iran Conflict was the primary contributor to the decline of activity in the Middle East/North Africa/Asia region. This was partly offset by revenue increases in the Latin America and North America regions.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WCC segment adjusted EBITDA of $100 million and $317 million in the three and nine months ended September 30, 2026, decreased $25 million or 20%, and decreased $54 million or 15%, compared to $125 million and $371 million in the three and nine months ended September 30, 2025, respectively. WCC segment adjusted EBITDA margin was 22.2% and 23.9% in the three and nine months ended September 30, 2026, compared to 26.7% and 27.2% in the three and nine months ended September 30, 2025, respectively. The third quarter segment adjusted EBITDA decreased year-over-year primarily due to lower activity in the Middle East/North Africa/Asia region. The third quarter margin decreased year-over-year primarily due to lower revenue and higher other expenses, while direct costs remained flat. The year-to-date segment adjusted EBITDA decreased year-over-year primarily due to lower activity in the Middle East/North Africa/Asia region and an increase in direct operating costs. The year-to-date direct costs and other expense increased while revenue decreased causing the decrease in margin.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PRI Results</w:t>
      </w:r>
    </w:p>
    <w:p>
      <w:pPr>
        <w:pStyle w:val="TextBody"/>
        <w:bidi w:val="0"/>
        <w:spacing w:before="0" w:after="0"/>
        <w:ind w:left="0" w:right="0" w:firstLine="360"/>
        <w:jc w:val="both"/>
        <w:rPr/>
      </w:pPr>
      <w:r>
        <w:rPr/>
      </w:r>
    </w:p>
    <w:tbl>
      <w:tblPr>
        <w:tblW w:w="9268"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92"/>
        <w:gridCol w:w="869"/>
        <w:gridCol w:w="508"/>
        <w:gridCol w:w="109"/>
        <w:gridCol w:w="109"/>
        <w:gridCol w:w="109"/>
        <w:gridCol w:w="392"/>
        <w:gridCol w:w="869"/>
        <w:gridCol w:w="508"/>
        <w:gridCol w:w="109"/>
        <w:gridCol w:w="109"/>
        <w:gridCol w:w="109"/>
        <w:gridCol w:w="211"/>
        <w:gridCol w:w="436"/>
        <w:gridCol w:w="109"/>
        <w:gridCol w:w="109"/>
        <w:gridCol w:w="109"/>
        <w:gridCol w:w="109"/>
        <w:gridCol w:w="238"/>
        <w:gridCol w:w="228"/>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5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5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9268"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92"/>
        <w:gridCol w:w="869"/>
        <w:gridCol w:w="508"/>
        <w:gridCol w:w="109"/>
        <w:gridCol w:w="109"/>
        <w:gridCol w:w="109"/>
        <w:gridCol w:w="392"/>
        <w:gridCol w:w="869"/>
        <w:gridCol w:w="508"/>
        <w:gridCol w:w="109"/>
        <w:gridCol w:w="109"/>
        <w:gridCol w:w="109"/>
        <w:gridCol w:w="211"/>
        <w:gridCol w:w="436"/>
        <w:gridCol w:w="109"/>
        <w:gridCol w:w="109"/>
        <w:gridCol w:w="109"/>
        <w:gridCol w:w="109"/>
        <w:gridCol w:w="238"/>
        <w:gridCol w:w="228"/>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 revenues of $314 million and $926 million in the three and nine months ended September 30, 2026, decreased $12 million or 4% and decreased $61 million or 6%, compared to $326 million and $987 million in the three and nine months ended September 30, 2025,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third quarter year-over-year revenue decrease was primarily due to a decline in activity for artificial lift which was responsible for approximately all of the decrease. This was partly offset by a revenue increase from sub-sea intervention activity. Geographically, within the regions with revenue decreases, approximately 70% of the decrease was from North America. This was partly offset by a revenue increase in the Europe/Sub-Sahara Africa/Russia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year-to-date year-over-year revenue decrease was primarily due to lower activity in artificial lift and intervention services and drilling tools, which accounted for approximately 60% and 25% of the decrease, respectively, among product lines with revenue decreases. This was partly offset by a revenue increase from sub-sea intervention activity. Geographically, within the regions with revenue decreases, approximately 65% of the decrease was from North America and approximately 30% of the decrease was from Latin America. This was partly offset by a revenue increase in the Europe/Sub-Sahara Africa/Russia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 segment adjusted EBITDA of $73 million and $197 million in the three and nine months ended September 30, 2026, increased $14 million or 24%, and increased $13 million or 7%, compared to $59 million and $184 million in the three and nine months ended September 30, 2025, respectively. PRI segment adjusted EBITDA margin was 23.2% and 21.3% in the three and nine months ended September 30, 2026, compared to 18.1% and 18.6% in the three and nine months ended September 30, 2025, respectively. The third quarter segment adjusted EBITDA increased year-over-year primarily due to lower selling, general and administrative costs, higher margin intervention services and drilling tools activity and an increase of sub-sea intervention activity. In the third quarter, both direct costs and other expense decreased along with the decrease in activity. The rate of decrease for direct costs and other expense was higher than the rate of decrease in revenue, contributing to the increase in margin. Year-to-date segment adjusted EBITDA increased year-over-year, primarily due to broad-based cost reductions across direct operating costs, selling general and administrative and research and development expenses, as well as increased sub-sea intervention and digital solutions activity. Year-to-date, both direct costs and other expense decreased along with the decrease in revenue. The rate of decrease for direct costs and other expense was higher than the rate of decrease in revenue, contributing to the increase in margin.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All Other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Other results were from non-core business activities that do not individually meet the criteria for segment reporting, including integrated services and projects, which includes pass-through and project management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Other revenues were $48 million and $205 million in the three and nine months ended September 30, 2026, compared to $92 million and $246 million in the three and nine months ended September 30, 2025. The third quarter and year-to-date year-over-year decreases were due to lower activity in the Middle East/North Africa/Asia region following the completion of certain integrated services and projects that were not renewed.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Corporate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Corporate incurred net expense was $19 million and $53 million in the three and nine months ended September 30, 2026 compared to $12 million and $42 million in the three and nine months ended September 30, 2025. The year-over-year increase was primarily due to an increase in employee incentive programs.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$70 million and $211 million in the three and nine months ended September 30, 2026 compared to $67 million and $193 million in the three and nine months ended September 30, 2025. The year-over-year increase was primarily due to a larger asset base.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$15 million and $38 million of share-based compensation in the three and nine months ended September 30, 2026 compared to $10 million and $26 million in the three and nine months ended September 30, 2025. The increase was primarily attributable to $4 million of compensation cost related to equity awards assumed in connection with an acquisition, including $3 million of accelerated expense recognized upon qualifying terminations. The year-to-date increase also reflects approximately $7 million of additional expense resulting from the timing of equity grants and higher compensation cost associated with performance-based awards.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Growth and spending in the energy services industry is highly dependent on many external factors. These include but are not limited to; the impact from geopolitical conflicts; our customers’ capital expenditures; environmental, social and other sustainability policies and initiatives; world economic, political, trade, and weather conditions; the price of oil, natural gas, and alternatives; member-country quota compliance within the Organization of Petroleum Exporting Countries and the expanded alliance (OPEC+); and, non-OPEC+ investments and project timing. Imbalances across geographies driven by geopolitical conflicts, investment variances and supply disruptions are driving a greater focus on energy security and resiliency, which in turn is creating a shift towards national oil companies and diversification across multiple energy sources (oil, gas, coal, renewables, etc.) to meet domestic and global demand.</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look forward to the fourth quarter, the pace and timing of recovery in the Middle East remains a key source of uncertainty in our near-term outlook. Ongoing geopolitical tensions and operational disruptions continue to create uncertainty around the timing of a return to normalized conditions. Notwithstanding these conditions, we expect overall activity to improve through the remainder of 2026, driven by increased activity in North America and Latin America regions and supported by contributions from the recent acquisition, although the pace and extent of improvement may vary by region. We continue to closely monitor geopolitical developments, customer spending patterns, supply chain conditions, trade policies, inflationary pressures, and labor and logistical constraints that could impact our operations and financial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mid to long-term, we continue to believe the industry is supported by structural demand drivers rooted in energy security, infrastructure development, and the need for reliable and diversified energy supply. While near-term activity levels may remain uneven across certain markets, we believe our differentiated technologies, growing offshore and deepwater opportunities, operational execution, and disciplined capital allocation position us well to capitalize on long-cycle growth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2026, we had cash and cash equivalents of $1.161 billion and $37 million in restricted cash, compared to $987 million of cash and cash equivalents and $55 million in restricted cash at December 31,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cash flows provided by (used in) each type of business activity in the periods presented:</w:t>
      </w:r>
    </w:p>
    <w:tbl>
      <w:tblPr>
        <w:tblW w:w="6627" w:type="dxa"/>
        <w:jc w:val="center"/>
        <w:tblInd w:w="0" w:type="dxa"/>
        <w:tblLayout w:type="fixed"/>
        <w:tblCellMar>
          <w:top w:w="28" w:type="dxa"/>
          <w:left w:w="28" w:type="dxa"/>
          <w:bottom w:w="28" w:type="dxa"/>
          <w:right w:w="28" w:type="dxa"/>
        </w:tblCellMar>
      </w:tblPr>
      <w:tblGrid>
        <w:gridCol w:w="1297"/>
        <w:gridCol w:w="1139"/>
        <w:gridCol w:w="1149"/>
        <w:gridCol w:w="363"/>
        <w:gridCol w:w="932"/>
        <w:gridCol w:w="187"/>
        <w:gridCol w:w="363"/>
        <w:gridCol w:w="932"/>
        <w:gridCol w:w="265"/>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was $503 million for the nine months ended September 30, 2026 compared to cash provided by operating activities of $408 million for the nine months ended September 30, 2025. The increase in cash provided by operating activities was primarily due to increased cash from accounts receivable, partially offset by lower cash earnings and higher cash usage related to income taxes payable.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$164 million for the nine months ended September 30, 2026. The primary investing use of cash was for capital expenditures of $141 million. Cash used in investing activities also includes $13 million for business acquisition, net of cash acquired in the third quarter of 2026 (see “Note 13 – Acquisition”). Cash used in investing activities also includes the use of the Blue Chip Swap mechanism in Argentina, of which the purchases of $23 million offset the proceeds of $22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$82 million for the nine months ended September 30, 2025. The primary investing activities were cash used for capital expenditures of $175 million, partially offset by $97 million of proceeds received from the sale of our pressure pumping business in Argentina. Cash used in investing activities also includes the use of the Blue Chip Swap mechanism in Argentina, of which the purchases of $103 million offset the proceeds of $102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was $167 million for the nine months ended September 30, 2026. The primary financing uses of cash were for cash dividends of $59 million, share repurchases of $54 million (see “Note 9 – Shareholders’ Equity”), repayments of long-term debt of $25 million and tax remittances on equity awards vested of $20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was $277 million for the nine months ended September 30, 2025. The primary financing uses of cash were share repurchases of $94 million, repayments and repurchases of long-term debt of $80 million (including $61 million in repurchases of our 2030 Senior Notes), cash dividends of $54 million and tax remittances on equity awards of $20 million.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both in the short-term and long-term.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Cash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requirements will continue to include payments for principal and interest on our long-term debt, capital expenditures, payments on our finance and operating leases, payments for short-term working capital needs and operating costs. In the near term we anticipate cash uses to include costs related to our Redomestication, mergers and acquisition activity and restructuring costs.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in our Consolidated Financial Statements included in our Form 10-K for the year ended December 31, 2025 (“2025 Form 10-K”). Our cash requirements also include payments for our shareholder returns programs described in “Note 9 – Shareholders’ Equity.”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outstanding debt of $236 million in aggregate principal amount for our 2030 Senior Notes and $1.2 billion in aggregate principal amount for our 2033 Senior Notes. We expect to pay $102 million in interest payments in 2026 specific to these notes. See “Note 7 – Borrowings and Other Debt Obligations”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capital spend is expected to be 3-5% of revenue over a 12 to 18 month rolling period and our 2026 capital spend is projected to be within the same framework. Our payments on our operating and finance leases in 2026 are expected to be approximately $61 million and $38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are held by subsidiaries outside of Ireland. At September 30, 2026 and December 31, 2025, we had approximately $164 million and $31 million, respectively, of our cash and cash equivalents that cannot be immediately repatriated from various countries due to country central bank controls or other regulations. As we continue to conduct business in certain countries with cash that cannot be immediately repatriated, we may consider infrequent transactions to safeguard our cash from exposure to the effects of inflation and currency devaluation. Repatriation of those cash balances might result in incremental taxes or costs.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Ratings Services’ Credit Ratings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credit ratings at September 30, 2026 were maintained since December 31, 2025 and outlooks upgraded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Moody's Investors Service maintained a Corporate Family Rating of Ba2 and a positive outlook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Standard and Poor maintained issuer credit ratings of ‘BB;’ and revised its outlook from stable to a positive outlook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Fitch Ratings maintained our issuer credit ratings of ‘BB;’ and revised its outlook from stable to a positive outlook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Customer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net accounts receivables in Mexico were 19% and 27% of our total net accounts receivables as of September 30, 2026 and December 31, 2025, respectively, of which our largest customer in the country accounted for 14% and 24% of our total net outstanding accounts receivables, respectively. Our largest customer in Mexico has a history of making late payments and, at times in the past,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our net accounts receivables in the U.S were 14% and 11% of total net accounts receivables, respectively. Except for the above, no other country accounted for more than 10% of our net accounts receivables balance.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Accounts Receivable Factoring</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participate in factoring arrangements to sell accounts receivable to third-party financial institutions for cash proceeds net of discounts and hold-back. During the three and nine months ended September 30, 2026, we sold accounts receivable balances of $3 million and </w:t>
      </w:r>
      <w:bookmarkStart w:id="2" w:name="i96be3704a52848ddbf512b96275f68b5_721"/>
      <w:bookmarkEnd w:id="2"/>
      <w:r>
        <w:rPr>
          <w:rFonts w:ascii="Times New Roman;serif" w:hAnsi="Times New Roman;serif"/>
          <w:b w:val="false"/>
          <w:color w:val="000000"/>
          <w:sz w:val="20"/>
        </w:rPr>
        <w:t xml:space="preserve">$16 million, and received cash proceeds of $3 million and $16 million, respectively, at the time of factoring. During the three and nine months ended September 30, 2025, we sold accounts receivable balances of $91 million and $234 million, and received cash proceeds of $90 million and $231 million, respectively, at the time of factoring.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factoring proceeds were included in Net Cash Provided by Operating Activities in the Condensed Consolidated Statements of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2030 Senior Notes were issued by Weatherford International Ltd. (“Weatherford Bermuda”) and guaranteed by the Company and other subsidiary guarantors party thereto. On December 1, 2022, the indenture related to our 2030 Senior Notes was amended and supplemented to add Weatherford US Holding, LLC (formerly named Weatherford International, LLC, “Weatherford Delaware”) as co-issuer and co-obligor, and concurrently released the guarantee of Weatherford Delaware.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2033 Senior Notes were issued by Weatherford Bermuda and guaranteed by the Company and other subsidiary guarantors party thereto. On October 24, 2025, the indenture related to our 2033 Senior Notes was amended and supplemented to add Weatherford Delaware as co-issuer and co-obligor, and concurrently released the guarantee of Weatherford Delaware. On September 25, 2026, the indenture related to our 2033 Senior Notes was further amended and supplemented to add Weatherford International Holding LLC, a Texas limited liability company, as an additional co-issuer and co-obligor, and concurrently release the guarantee of Weatherford International Holding LLC.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Agreement, Letters of Credit and Surety Bonds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September 30, 2026 and December 31, 2025, the Credit Agreement allowed for a total commitment amount of $1 billion, maturing on the date that occurs first: (a) September 18, 2030 or (b) if more than $200 million of the 2030 Senior Notes remain outstanding, the date that is 91 days before the maturity of those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2026, under the Credit Agreement we had zero borrowings, $1 million in financial letters of credit and $233 million in performance letters of credit outstanding. Additionally as of September 30, 2026, we had $297 million letters of credit under various uncommitted bi-lateral facilities ($31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under the Credit Agreement we had zero borrowings, $7 million in financial letters of credit and $245 million in performance letters of credit outstanding. Additionally as of December 31, 2025, we had $207 million of letters of credit under various uncommitted bi-lateral facilities ($47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utilize surety bonds as part of our customary business practice in certain regions, primarily Latin America. As of September 30, 2026 and December 31, 2025, we had surety bonds outstanding of $534 million and $629 million, respectively. Any of our outstanding letters of credit or surety bonds could be called by the beneficiaries should we breach certain contractual or performance obligations and could reduce our available liquidity if we are unable to mitigate the issue.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the heading “Item 1A. Risk Factors” in our 2025 Form 10-K, Part I, and “Part II – Other Information – Item 1A. Risk Factors” of this Form 10-Q, sets forth certain risks and uncertainties relating to our forward-looking statements that may cause actual results to be materially different from our present expectations or projections: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the Iran Conflict and other conflicts in the Middle East);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global economic repercussions related to U.S. and global inflationary pressures and potential recessionary concerns;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the prices and lead times, and the lack of availability of our procured products and services, including due to macroeconomic and geopolitical conditions such as tariffs and changes in trade policies;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timely collect from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effectively and timely address the need to conduct our operations and provide services to our customers more sustainably and with a lower carbon footprint;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price and price volatility of, and demand for, oil, natural gas and natural gas liquids;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member-country quota compliance within the Organization of Petroleum Exporting Countries;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realize expected revenues and profitability levels from current and future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generate cash flow from operations to fund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realize cost savings and business enhancements from our revenue and cost improvement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effectively execute our capital allocation framework;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motivate and retain employees, including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access the capital markets on terms that are commercially acceptable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return capital to shareholders, including those related to the timing and amounts (including any plans or commitments in respect thereof) of any dividends and share repurchases;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service our debt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non-cash asset impairment charges for long-lived assets, intangible assets or other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weather conditions in certain regions of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receive, in a timely manner and on satisfactory terms, required court approval, and to satisfy the other conditions to the Redomestication within the expected timeframe or at all;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realize the expected benefits from the Redomestication;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occurrence of difficulties in connection with the Redomestication, including any costs related thereto;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any of the anticipated benefits of the acquisition of NCS will not be realized or will not be realized within the expected time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our future results will depend upon various other risks and uncertainties, including, but not limited to, those detailed in our current and past filings with the SEC under the Exchange Act and the Securities Act of 1933, as amended.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 has not changed materially since December 31, 2025. For additional information, see “Note 7 – Borrowings and Other Debt Obligations” in the Notes to Condensed Consolidated Financial Statements, as well as “Other Expense, Net” and “Liquidity and Capital Resources” under Item 2. Management’s Discussion and Analysis of Financial Condition and Results of Operations.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Evaluation of Disclosure Controls and Procedures. </w:t>
      </w:r>
      <w:r>
        <w:rPr>
          <w:rFonts w:ascii="Times New Roman;serif" w:hAnsi="Times New Roman;serif"/>
          <w:b w:val="false"/>
          <w:color w:val="000000"/>
          <w:sz w:val="20"/>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CEO and CFO, evaluated the effectiveness of the design and operation of our disclosure controls and procedures at September 30, 2026. Based on that evaluation, our CEO and CFO concluded that our disclosure controls and procedures were effective as of September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2026, we completed our acquisition of NCS and are in the process of integrating NCS into our internal control over financial reporting. Other than activities associated with integrating NCS, there were no changes that occurred during the three months ended September 30, 2026 that have materially affected, or are reasonably likely to materially affect, our internal control over financial reporting.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60" w:after="60"/>
        <w:ind w:left="0" w:right="0" w:firstLine="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8 – Disputes, Litigation and Legal Contingencies” in our Notes to Condensed Consolidated Financial Statements for details regarding our ongoing disputes and litigation.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various risks. You should consider carefully all of the risk factors described in our 2025 Form 10-K, Part I, under the heading “Item 1A. Risk Factors” as supplemented by the below, as well as the risk factors described in our definitive proxy statement on Schedule 14A filed with the SEC on July 13, 2026 and Form S-4 registration statement filed with the SEC on July 6, 2026 and amended on July 17, 2026, and other information included and incorporated by reference in this report. As of September 30, 2026, there have been no material changes in our assessment of our risk factors from the aforementioned.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erif" w:hAnsi="Times New Roman;serif"/>
          <w:b/>
          <w:color w:val="000000"/>
          <w:sz w:val="20"/>
        </w:rPr>
        <w:t>Changes in trade policy and uncertainties related to tariffs could adversely affect our business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Tariffs imposed by the United States and retaliatory measures from other countries have and may continue to lead to higher prices for, or reduced availability of, raw materials and finished goods in our supply chain. Further, these actions have and may continue to create uncertainty in financial markets, impact capital spending, and result in operational disruptions, inflation and diminished profitability. The imposition of additional tariffs on a broader range of imports or at higher rates could increase costs in our supply chain, dilute our margins and/or reduce demand for our products and services, all of which could adversely affect our results of operations. The unpredictable nature of tariff changes and trade restrictions makes it difficult to anticipate and mitigate risks, which could materially affect our business operations,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Unregistered Sales of Equity Securities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 2026, in connection with the Company’s acquisition of NCS, 357,159 ordinary shares were issued to Advent-NCS Acquisition Limited Partnership (“Advent”), the largest shareholder of NCS, in reliance upon the exemption from the registration requirements of the Securities Act pursuant to Section 4(a)(2) of the Securities Act as a private placement by Weatherford not involving any public offering. The resale of such shares by Advent was subsequently registered on Form S-3 by the filing of a prospectus supplement to the Company’s Form S-3ASR registration statement (Registration No. 333-288045) on September 1,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Issuer Repurchases of Equity Securities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is a summary of our repurchases of our ordinary shares during the three months ended September 30, 2026.</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472"/>
        <w:gridCol w:w="375"/>
        <w:gridCol w:w="295"/>
        <w:gridCol w:w="661"/>
        <w:gridCol w:w="522"/>
        <w:gridCol w:w="524"/>
        <w:gridCol w:w="440"/>
        <w:gridCol w:w="440"/>
        <w:gridCol w:w="441"/>
        <w:gridCol w:w="1030"/>
        <w:gridCol w:w="946"/>
        <w:gridCol w:w="948"/>
        <w:gridCol w:w="1051"/>
        <w:gridCol w:w="849"/>
        <w:gridCol w:w="1211"/>
      </w:tblGrid>
      <w:tr>
        <w:trPr/>
        <w:tc>
          <w:tcPr>
            <w:tcW w:w="4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Number of Shares Purchased as Part of a Publicly Announced Program</w:t>
            </w:r>
            <w:r>
              <w:rPr>
                <w:color w:val="000000"/>
              </w:rPr>
              <w:t xml:space="preserve"> </w:t>
            </w:r>
            <w:r>
              <w:rPr>
                <w:rFonts w:ascii="Times New Roman;serif" w:hAnsi="Times New Roman;serif"/>
                <w:b w:val="false"/>
                <w:color w:val="000000"/>
                <w:sz w:val="16"/>
              </w:rPr>
              <w:t>(1)</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Maximum Dollar Value of Shares that may yet be Purchased Under the Program </w:t>
            </w:r>
            <w:r>
              <w:rPr>
                <w:rFonts w:ascii="Times New Roman;serif" w:hAnsi="Times New Roman;serif"/>
                <w:b w:val="false"/>
                <w:color w:val="000000"/>
                <w:sz w:val="16"/>
              </w:rPr>
              <w:t>(1)</w:t>
            </w:r>
          </w:p>
        </w:tc>
      </w:tr>
      <w:tr>
        <w:trPr/>
        <w:tc>
          <w:tcPr>
            <w:tcW w:w="11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1 - 31</w:t>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205,585 </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w:t>
            </w:r>
          </w:p>
        </w:tc>
        <w:tc>
          <w:tcPr>
            <w:tcW w:w="1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205,585 </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$256,979,302</w:t>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1 - 31</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77,826 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w:t>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77,826 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$249,938,747</w:t>
            </w:r>
          </w:p>
        </w:tc>
      </w:tr>
      <w:tr>
        <w:trPr/>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1 - 30</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41,866 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w:t>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41,866 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$246,287,983</w:t>
            </w:r>
          </w:p>
        </w:tc>
      </w:tr>
      <w:tr>
        <w:trPr/>
        <w:tc>
          <w:tcPr>
            <w:tcW w:w="114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325,277 </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w:t>
            </w:r>
          </w:p>
        </w:tc>
        <w:tc>
          <w:tcPr>
            <w:tcW w:w="1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325,277 </w:t>
            </w:r>
          </w:p>
        </w:tc>
        <w:tc>
          <w:tcPr>
            <w:tcW w:w="9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c>
          <w:tcPr>
            <w:tcW w:w="311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1"/>
        <w:gridCol w:w="599"/>
        <w:gridCol w:w="599"/>
        <w:gridCol w:w="599"/>
        <w:gridCol w:w="599"/>
        <w:gridCol w:w="599"/>
        <w:gridCol w:w="599"/>
        <w:gridCol w:w="599"/>
        <w:gridCol w:w="599"/>
        <w:gridCol w:w="599"/>
        <w:gridCol w:w="599"/>
        <w:gridCol w:w="599"/>
        <w:gridCol w:w="599"/>
        <w:gridCol w:w="599"/>
        <w:gridCol w:w="599"/>
        <w:gridCol w:w="109"/>
        <w:gridCol w:w="109"/>
        <w:gridCol w:w="109"/>
        <w:gridCol w:w="109"/>
        <w:gridCol w:w="109"/>
        <w:gridCol w:w="109"/>
        <w:gridCol w:w="109"/>
        <w:gridCol w:w="109"/>
        <w:gridCol w:w="109"/>
        <w:gridCol w:w="157"/>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67"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On July 23, 2024, we announced a program under which we may repurchase our ordinary shares from time to time, up to $500 million through June 2027. Approximately $246 million remained authorized for repurchases as of September 30, 2026. From the inception of this program in July of 2024 through September 30, 2026, we have repurchased approximately 3.5 million ordinary shares for $254 million.</w:t>
            </w:r>
          </w:p>
        </w:tc>
        <w:tc>
          <w:tcPr>
            <w:tcW w:w="1138"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 director or executive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exhibits designated with a dagger (†) are filed herewith or double dagger (††) are furnished herewith. </w:t>
      </w:r>
    </w:p>
    <w:tbl>
      <w:tblPr>
        <w:tblW w:w="10205" w:type="dxa"/>
        <w:jc w:val="left"/>
        <w:tblInd w:w="0" w:type="dxa"/>
        <w:tblLayout w:type="fixed"/>
        <w:tblCellMar>
          <w:top w:w="28" w:type="dxa"/>
          <w:left w:w="28" w:type="dxa"/>
          <w:bottom w:w="28" w:type="dxa"/>
          <w:right w:w="28" w:type="dxa"/>
        </w:tblCellMar>
      </w:tblPr>
      <w:tblGrid>
        <w:gridCol w:w="352"/>
        <w:gridCol w:w="309"/>
        <w:gridCol w:w="310"/>
        <w:gridCol w:w="109"/>
        <w:gridCol w:w="109"/>
        <w:gridCol w:w="109"/>
        <w:gridCol w:w="2329"/>
        <w:gridCol w:w="2215"/>
        <w:gridCol w:w="2237"/>
        <w:gridCol w:w="372"/>
        <w:gridCol w:w="372"/>
        <w:gridCol w:w="373"/>
        <w:gridCol w:w="294"/>
        <w:gridCol w:w="294"/>
        <w:gridCol w:w="421"/>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Filed Exhibit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wfrd-2033supplementalinden.htm">
              <w:r>
                <w:rPr>
                  <w:rStyle w:val="InternetLink"/>
                  <w:rFonts w:ascii="Times New Roman;serif" w:hAnsi="Times New Roman;serif"/>
                  <w:b w:val="false"/>
                  <w:color w:val="000080"/>
                  <w:sz w:val="20"/>
                  <w:u w:val="single"/>
                </w:rPr>
                <w:t xml:space="preserve">Supplemental Indenture, dated as of </w:t>
              </w:r>
            </w:hyperlink>
            <w:hyperlink w:anchor="wfrd-2033supplementalinden.htm">
              <w:r>
                <w:rPr>
                  <w:rStyle w:val="InternetLink"/>
                  <w:rFonts w:ascii="Times New Roman;serif" w:hAnsi="Times New Roman;serif"/>
                  <w:b w:val="false"/>
                  <w:color w:val="000080"/>
                  <w:sz w:val="20"/>
                  <w:u w:val="single"/>
                </w:rPr>
                <w:t>September 25</w:t>
              </w:r>
            </w:hyperlink>
            <w:hyperlink w:anchor="wfrd-2033supplementalinden.htm">
              <w:r>
                <w:rPr>
                  <w:rStyle w:val="InternetLink"/>
                  <w:rFonts w:ascii="Times New Roman;serif" w:hAnsi="Times New Roman;serif"/>
                  <w:b w:val="false"/>
                  <w:color w:val="000080"/>
                  <w:sz w:val="20"/>
                  <w:u w:val="single"/>
                </w:rPr>
                <w:t>, 2026, by and among Weatherford International Ltd., Weatherford US Holding, LLC (formerly known as Weatherford International</w:t>
              </w:r>
            </w:hyperlink>
            <w:hyperlink w:anchor="wfrd-2033supplementalinden.htm">
              <w:r>
                <w:rPr>
                  <w:rStyle w:val="InternetLink"/>
                  <w:rFonts w:ascii="Times New Roman;serif" w:hAnsi="Times New Roman;serif"/>
                  <w:b w:val="false"/>
                  <w:color w:val="000080"/>
                  <w:sz w:val="20"/>
                  <w:u w:val="single"/>
                </w:rPr>
                <w:t>,</w:t>
              </w:r>
            </w:hyperlink>
            <w:hyperlink w:anchor="wfrd-2033supplementalinden.htm">
              <w:r>
                <w:rPr>
                  <w:rStyle w:val="InternetLink"/>
                  <w:rFonts w:ascii="Times New Roman;serif" w:hAnsi="Times New Roman;serif"/>
                  <w:b w:val="false"/>
                  <w:color w:val="000080"/>
                  <w:sz w:val="20"/>
                  <w:u w:val="single"/>
                </w:rPr>
                <w:t xml:space="preserve"> LLC)</w:t>
              </w:r>
            </w:hyperlink>
            <w:hyperlink w:anchor="wfrd-2033supplementalinden.htm">
              <w:r>
                <w:rPr>
                  <w:rStyle w:val="InternetLink"/>
                  <w:rFonts w:ascii="Times New Roman;serif" w:hAnsi="Times New Roman;serif"/>
                  <w:b w:val="false"/>
                  <w:color w:val="000080"/>
                  <w:sz w:val="20"/>
                  <w:u w:val="single"/>
                </w:rPr>
                <w:t xml:space="preserve"> and Weatherford International Holding LLC</w:t>
              </w:r>
            </w:hyperlink>
            <w:hyperlink w:anchor="wfrd-2033supplementalinden.htm">
              <w:r>
                <w:rPr>
                  <w:rStyle w:val="InternetLink"/>
                  <w:rFonts w:ascii="Times New Roman;serif" w:hAnsi="Times New Roman;serif"/>
                  <w:b w:val="false"/>
                  <w:color w:val="000080"/>
                  <w:sz w:val="20"/>
                  <w:u w:val="single"/>
                </w:rPr>
                <w:t>, the guarantors party thereto, and UMB Bank, N.A., as trustee</w:t>
              </w:r>
            </w:hyperlink>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q3ex311ceo302cert.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q3ex312cfo302cert.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q3ex321ceo906cert.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q3ex322cfo906cert.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6912"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Anuj Dhruv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Anuj Dhruv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Maximiliano Kricorian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Maximiliano Kricorian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FIFTH SUPPLEMENTAL INDENTURE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FIFTH SUPPLEMENTAL INDENTURE, dated as of September 25, 2026 (this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is among Weatherford International Ltd., a Bermuda exempted company limited by shares, and Weatherford US Holding, LLC, a Delaware limited liability company (formerly known as Weatherford International, LLC) (each, a “</w:t>
      </w:r>
      <w:r>
        <w:rPr>
          <w:rFonts w:ascii="Times New Roman;serif" w:hAnsi="Times New Roman;serif"/>
          <w:b w:val="false"/>
          <w:color w:val="000000"/>
          <w:sz w:val="24"/>
          <w:u w:val="single"/>
        </w:rPr>
        <w:t>Co-Issuer</w:t>
      </w:r>
      <w:r>
        <w:rPr>
          <w:color w:val="000000"/>
        </w:rPr>
        <w:t xml:space="preserve">” </w:t>
      </w:r>
      <w:r>
        <w:rPr>
          <w:rFonts w:ascii="Times New Roman;serif" w:hAnsi="Times New Roman;serif"/>
          <w:b w:val="false"/>
          <w:color w:val="000000"/>
          <w:sz w:val="24"/>
        </w:rPr>
        <w:t>and, together, the “</w:t>
      </w:r>
      <w:r>
        <w:rPr>
          <w:rFonts w:ascii="Times New Roman;serif" w:hAnsi="Times New Roman;serif"/>
          <w:b w:val="false"/>
          <w:color w:val="000000"/>
          <w:sz w:val="24"/>
          <w:u w:val="single"/>
        </w:rPr>
        <w:t>Co-Issuers</w:t>
      </w:r>
      <w:r>
        <w:rPr>
          <w:color w:val="000000"/>
        </w:rPr>
        <w:t>”</w:t>
      </w:r>
      <w:r>
        <w:rPr>
          <w:rFonts w:ascii="Times New Roman;serif" w:hAnsi="Times New Roman;serif"/>
          <w:b w:val="false"/>
          <w:color w:val="000000"/>
          <w:sz w:val="24"/>
        </w:rPr>
        <w:t>), Weatherford International Holding LLC, a Texas limited liability company (formerly known as Weatherford International Holding (Bermuda) Ltd.) (the “</w:t>
      </w:r>
      <w:r>
        <w:rPr>
          <w:rFonts w:ascii="Times New Roman;serif" w:hAnsi="Times New Roman;serif"/>
          <w:b w:val="false"/>
          <w:color w:val="000000"/>
          <w:sz w:val="24"/>
          <w:u w:val="single"/>
        </w:rPr>
        <w:t>New Co-Issuer</w:t>
      </w:r>
      <w:r>
        <w:rPr>
          <w:color w:val="000000"/>
        </w:rPr>
        <w:t>”</w:t>
      </w:r>
      <w:r>
        <w:rPr>
          <w:rFonts w:ascii="Times New Roman;serif" w:hAnsi="Times New Roman;serif"/>
          <w:b w:val="false"/>
          <w:color w:val="000000"/>
          <w:sz w:val="24"/>
        </w:rPr>
        <w:t>), Weatherford International plc, an Irish public limited company (the “</w:t>
      </w:r>
      <w:r>
        <w:rPr>
          <w:rFonts w:ascii="Times New Roman;serif" w:hAnsi="Times New Roman;serif"/>
          <w:b w:val="false"/>
          <w:color w:val="000000"/>
          <w:sz w:val="24"/>
          <w:u w:val="single"/>
        </w:rPr>
        <w:t>Parent Guarantor</w:t>
      </w:r>
      <w:r>
        <w:rPr>
          <w:color w:val="000000"/>
        </w:rPr>
        <w:t>”</w:t>
      </w:r>
      <w:r>
        <w:rPr>
          <w:rFonts w:ascii="Times New Roman;serif" w:hAnsi="Times New Roman;serif"/>
          <w:b w:val="false"/>
          <w:color w:val="000000"/>
          <w:sz w:val="24"/>
        </w:rPr>
        <w:t>), and UMB Bank, N.A., as trustee under the Indenture referred to herein (in such capacity,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Co-Issuers, the Parent Guarantor, the other Guarantors, and the Trustee have heretofore executed and delivered an Indenture, dated as of October 6, 2025 (the “</w:t>
      </w:r>
      <w:r>
        <w:rPr>
          <w:rFonts w:ascii="Times New Roman;serif" w:hAnsi="Times New Roman;serif"/>
          <w:b w:val="false"/>
          <w:color w:val="000000"/>
          <w:sz w:val="24"/>
          <w:u w:val="single"/>
        </w:rPr>
        <w:t>Base</w:t>
      </w:r>
      <w:r>
        <w:rPr>
          <w:color w:val="000000"/>
        </w:rPr>
        <w:t xml:space="preserve"> </w:t>
      </w:r>
      <w:r>
        <w:rPr>
          <w:rFonts w:ascii="Times New Roman;serif" w:hAnsi="Times New Roman;serif"/>
          <w:b w:val="false"/>
          <w:color w:val="000000"/>
          <w:sz w:val="24"/>
          <w:u w:val="single"/>
        </w:rPr>
        <w:t>Indenture</w:t>
      </w:r>
      <w:r>
        <w:rPr>
          <w:color w:val="000000"/>
        </w:rPr>
        <w:t xml:space="preserve">” </w:t>
      </w:r>
      <w:r>
        <w:rPr>
          <w:rFonts w:ascii="Times New Roman;serif" w:hAnsi="Times New Roman;serif"/>
          <w:b w:val="false"/>
          <w:color w:val="000000"/>
          <w:sz w:val="24"/>
        </w:rPr>
        <w:t>and, as amended, supplemented, waived, or otherwise modified from time to time as of the date hereof, including, without limitation, by that certain Supplemental Indenture dated as of October 24, 2025, collectively,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an unlimited aggregate principal amount of 6.750% Senior Notes due 2033 of the Co-Issuers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9.1(e) of the Base Indenture, the Co-Issuers, the Parent Guarantor, and the Trustee are authorized to execute and deliver this Supplemental Indenture to amend or supplement the Indenture without the consent of any Holder to add the New Co-Issuer as an additional co-issuer of the Notes, and to the extent such entity was a Guarantor prior to such addition, concurrently release the Guarantee of such entity;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each Co-Issuer desires to amend and supplement the Indenture to evidence the addition of the New Co-Issuer as an additional co-issuer of the Notes and concurrently release the Guarantee of the New Co-Issuer;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Co-Issuers have delivered to the Trustee, and the Trustee has received, accepted and approved from the Co-Issuers, an Officers’ Certificate and an Opinion of Counsel in accordance with Sections 9.1(e), 9.5, 11.3 and 11.4 of the Base Indenture.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each Co-Issuer, the New Co-Issuer, the Parent Guarantor and the Trustee mutually covenant and agree for the equal and ratable benefit of the Holders as follows: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Article I.    </w:t>
      </w:r>
      <w:r>
        <w:rPr>
          <w:rFonts w:ascii="Times New Roman;serif" w:hAnsi="Times New Roman;serif"/>
          <w:b w:val="false"/>
          <w:color w:val="000000"/>
          <w:sz w:val="24"/>
          <w:u w:val="single"/>
        </w:rPr>
        <w:t>Definitions</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Defined Terms</w:t>
      </w:r>
      <w:r>
        <w:rPr>
          <w:rFonts w:ascii="Times New Roman;serif" w:hAnsi="Times New Roman;serif"/>
          <w:b w:val="false"/>
          <w:color w:val="000000"/>
          <w:sz w:val="24"/>
        </w:rPr>
        <w:t xml:space="preserve">. As used in this Supplemental Indenture, capitalized terms defined in the Indenture or in the preamble or recitals thereto are used herein as therein defined. The words “herein,” “hereof” and “hereby” and other words of similar import used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Supplemental Indenture refer to this Supplemental Indenture as a whole and not to any particular section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6" w:after="283"/>
        <w:jc w:val="left"/>
        <w:rPr/>
      </w:pPr>
      <w:r>
        <w:rPr>
          <w:rFonts w:ascii="Times New Roman;serif" w:hAnsi="Times New Roman;serif"/>
          <w:b w:val="false"/>
          <w:color w:val="000000"/>
          <w:sz w:val="24"/>
        </w:rPr>
        <w:t>Article II.    </w:t>
      </w:r>
      <w:r>
        <w:rPr>
          <w:rFonts w:ascii="Times New Roman;serif" w:hAnsi="Times New Roman;serif"/>
          <w:b w:val="false"/>
          <w:color w:val="000000"/>
          <w:sz w:val="24"/>
          <w:u w:val="single"/>
        </w:rPr>
        <w:t>Agreement to Co-Issue</w:t>
      </w:r>
    </w:p>
    <w:p>
      <w:pPr>
        <w:pStyle w:val="TextBody"/>
        <w:bidi w:val="0"/>
        <w:spacing w:lineRule="auto" w:line="288" w:before="276" w:after="283"/>
        <w:jc w:val="both"/>
        <w:rPr/>
      </w:pPr>
      <w:r>
        <w:rPr>
          <w:rFonts w:ascii="Times New Roman;serif" w:hAnsi="Times New Roman;serif"/>
          <w:b w:val="false"/>
          <w:color w:val="000000"/>
          <w:sz w:val="24"/>
        </w:rPr>
        <w:t xml:space="preserve">Section 2.01 </w:t>
      </w:r>
      <w:r>
        <w:rPr>
          <w:rFonts w:ascii="Times New Roman;serif" w:hAnsi="Times New Roman;serif"/>
          <w:b w:val="false"/>
          <w:color w:val="000000"/>
          <w:sz w:val="24"/>
          <w:u w:val="single"/>
        </w:rPr>
        <w:t>Agreement to become a Co-Issuer</w:t>
      </w:r>
      <w:r>
        <w:rPr>
          <w:rFonts w:ascii="Times New Roman;serif" w:hAnsi="Times New Roman;serif"/>
          <w:b w:val="false"/>
          <w:color w:val="000000"/>
          <w:sz w:val="24"/>
        </w:rPr>
        <w:t>. The New Co-Issuer hereby agrees to become a co-issuer of the Notes and a co-obligor of any and all of the Issuer’s obligations under the Indenture and the Notes, on the same terms and subject to the same conditions as the Issuer, on a joint and several basis with the Co-Issuers. Unless the context otherwise requires, all references to the Issuer, as the issuer of the Notes in the Indenture and the Notes, shall be to the Co-Issuers and the New Co-Issuer, jointly, as co-issuers of the Notes.</w:t>
      </w:r>
    </w:p>
    <w:p>
      <w:pPr>
        <w:pStyle w:val="TextBody"/>
        <w:bidi w:val="0"/>
        <w:spacing w:lineRule="auto" w:line="288" w:before="276" w:after="283"/>
        <w:jc w:val="both"/>
        <w:rPr/>
      </w:pPr>
      <w:r>
        <w:rPr>
          <w:rFonts w:ascii="Times New Roman;serif" w:hAnsi="Times New Roman;serif"/>
          <w:b w:val="false"/>
          <w:color w:val="000000"/>
          <w:sz w:val="24"/>
        </w:rPr>
        <w:t xml:space="preserve">Article III. </w:t>
      </w:r>
      <w:r>
        <w:rPr>
          <w:rFonts w:ascii="Times New Roman;serif" w:hAnsi="Times New Roman;serif"/>
          <w:b w:val="false"/>
          <w:color w:val="000000"/>
          <w:sz w:val="24"/>
          <w:u w:val="single"/>
        </w:rPr>
        <w:t>Release of Guarantee</w:t>
      </w:r>
    </w:p>
    <w:p>
      <w:pPr>
        <w:pStyle w:val="TextBody"/>
        <w:bidi w:val="0"/>
        <w:spacing w:lineRule="auto" w:line="288" w:before="276" w:after="283"/>
        <w:jc w:val="left"/>
        <w:rPr/>
      </w:pPr>
      <w:r>
        <w:rPr>
          <w:rFonts w:ascii="Times New Roman;serif" w:hAnsi="Times New Roman;serif"/>
          <w:b w:val="false"/>
          <w:color w:val="000000"/>
          <w:sz w:val="24"/>
        </w:rPr>
        <w:t>Section 3.01    </w:t>
      </w:r>
      <w:r>
        <w:rPr>
          <w:rFonts w:ascii="Times New Roman;serif" w:hAnsi="Times New Roman;serif"/>
          <w:b w:val="false"/>
          <w:color w:val="000000"/>
          <w:sz w:val="24"/>
          <w:u w:val="single"/>
        </w:rPr>
        <w:t>Release of Guarantee</w:t>
      </w:r>
      <w:r>
        <w:rPr>
          <w:rFonts w:ascii="Times New Roman;serif" w:hAnsi="Times New Roman;serif"/>
          <w:b w:val="false"/>
          <w:color w:val="000000"/>
          <w:sz w:val="24"/>
        </w:rPr>
        <w:t>. The Guarantee of the New Co-Issuer under the Indenture is hereby unconditionally released in accordance with Section 9.1 of the Indenture.</w:t>
      </w:r>
    </w:p>
    <w:p>
      <w:pPr>
        <w:pStyle w:val="TextBody"/>
        <w:bidi w:val="0"/>
        <w:spacing w:lineRule="auto" w:line="288" w:before="276" w:after="283"/>
        <w:jc w:val="left"/>
        <w:rPr/>
      </w:pPr>
      <w:r>
        <w:rPr>
          <w:rFonts w:ascii="Times New Roman;serif" w:hAnsi="Times New Roman;serif"/>
          <w:b w:val="false"/>
          <w:color w:val="000000"/>
          <w:sz w:val="24"/>
        </w:rPr>
        <w:t>Article IV.    </w:t>
      </w:r>
      <w:r>
        <w:rPr>
          <w:rFonts w:ascii="Times New Roman;serif" w:hAnsi="Times New Roman;serif"/>
          <w:b w:val="false"/>
          <w:color w:val="000000"/>
          <w:sz w:val="24"/>
          <w:u w:val="single"/>
        </w:rPr>
        <w:t>Miscellaneous</w:t>
      </w:r>
    </w:p>
    <w:p>
      <w:pPr>
        <w:pStyle w:val="TextBody"/>
        <w:bidi w:val="0"/>
        <w:spacing w:lineRule="auto" w:line="288" w:before="276" w:after="283"/>
        <w:jc w:val="both"/>
        <w:rPr/>
      </w:pPr>
      <w:r>
        <w:rPr>
          <w:rFonts w:ascii="Times New Roman;serif" w:hAnsi="Times New Roman;serif"/>
          <w:b w:val="false"/>
          <w:color w:val="000000"/>
          <w:sz w:val="24"/>
        </w:rPr>
        <w:t xml:space="preserve">Section 4.01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laws of the State of New York.</w:t>
      </w:r>
    </w:p>
    <w:p>
      <w:pPr>
        <w:pStyle w:val="TextBody"/>
        <w:bidi w:val="0"/>
        <w:spacing w:lineRule="auto" w:line="288" w:before="276" w:after="283"/>
        <w:jc w:val="both"/>
        <w:rPr/>
      </w:pPr>
      <w:r>
        <w:rPr>
          <w:rFonts w:ascii="Times New Roman;serif" w:hAnsi="Times New Roman;serif"/>
          <w:b w:val="false"/>
          <w:color w:val="000000"/>
          <w:sz w:val="24"/>
        </w:rPr>
        <w:t xml:space="preserve">Section 4.02 </w:t>
      </w:r>
      <w:r>
        <w:rPr>
          <w:rFonts w:ascii="Times New Roman;serif" w:hAnsi="Times New Roman;serif"/>
          <w:b w:val="false"/>
          <w:color w:val="000000"/>
          <w:sz w:val="24"/>
          <w:u w:val="single"/>
        </w:rPr>
        <w:t>Severability Clause</w:t>
      </w:r>
      <w:r>
        <w:rPr>
          <w:rFonts w:ascii="Times New Roman;serif" w:hAnsi="Times New Roman;serif"/>
          <w:b w:val="false"/>
          <w:color w:val="000000"/>
          <w:sz w:val="24"/>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pStyle w:val="TextBody"/>
        <w:bidi w:val="0"/>
        <w:spacing w:lineRule="auto" w:line="288" w:before="276" w:after="283"/>
        <w:jc w:val="both"/>
        <w:rPr/>
      </w:pPr>
      <w:r>
        <w:rPr>
          <w:rFonts w:ascii="Times New Roman;serif" w:hAnsi="Times New Roman;serif"/>
          <w:b w:val="false"/>
          <w:color w:val="000000"/>
          <w:sz w:val="24"/>
        </w:rPr>
        <w:t xml:space="preserve">Section 4.03 </w:t>
      </w:r>
      <w:r>
        <w:rPr>
          <w:rFonts w:ascii="Times New Roman;serif" w:hAnsi="Times New Roman;serif"/>
          <w:b w:val="false"/>
          <w:color w:val="000000"/>
          <w:sz w:val="24"/>
          <w:u w:val="single"/>
        </w:rPr>
        <w:t>Ratification of Indenture; Supplemental Indentures Part of Indenture; No Liability</w:t>
      </w:r>
      <w:r>
        <w:rPr>
          <w:color w:val="000000"/>
        </w:rPr>
        <w:t xml:space="preserve"> </w:t>
      </w:r>
      <w:r>
        <w:rPr>
          <w:rFonts w:ascii="Times New Roman;serif" w:hAnsi="Times New Roman;serif"/>
          <w:b w:val="false"/>
          <w:color w:val="000000"/>
          <w:sz w:val="24"/>
          <w:u w:val="single"/>
        </w:rPr>
        <w:t>of Trustee</w:t>
      </w:r>
      <w:r>
        <w:rPr>
          <w:rFonts w:ascii="Times New Roman;serif" w:hAnsi="Times New Roman;serif"/>
          <w:b w:val="false"/>
          <w:color w:val="000000"/>
          <w:sz w:val="24"/>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Additionally, the Trustee shall not be responsible in any manner whatsoever for or with respect to any of the recitals or statements contained herein, all of which recitals or statements are made solely by the Co-Issuers, the Parent Guarantor and the New Co-Issuer, and the Trustee makes no representation with respect to any such matters.</w:t>
      </w:r>
    </w:p>
    <w:p>
      <w:pPr>
        <w:pStyle w:val="TextBody"/>
        <w:bidi w:val="0"/>
        <w:spacing w:lineRule="auto" w:line="288" w:before="276" w:after="283"/>
        <w:jc w:val="both"/>
        <w:rPr/>
      </w:pPr>
      <w:r>
        <w:rPr>
          <w:rFonts w:ascii="Times New Roman;serif" w:hAnsi="Times New Roman;serif"/>
          <w:b w:val="false"/>
          <w:color w:val="000000"/>
          <w:sz w:val="24"/>
        </w:rPr>
        <w:t xml:space="preserve">Section 4.04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Supplemental Indenture or any document to be signed in connection with this Supplemental Indenture shall be deemed to include electronic signatures, deliveries or the keeping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of records in electronic form, each of which shall be of the same legal effect, validity or enforceability as a manually executed signature, physical delivery thereof or the use of a paper based recordkeeping system, as the case may be, and the parties hereto consent to conduct the transactions contemplated hereunder by electronic means.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Section 4.05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Articles and the sections in this Supplemental Indenture are for convenience of reference only and shall not be deemed to alter or affect the meaning or interpretation of any provisions hereof.</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Section 4.06 </w:t>
      </w:r>
      <w:r>
        <w:rPr>
          <w:rFonts w:ascii="Times New Roman;serif" w:hAnsi="Times New Roman;serif"/>
          <w:b w:val="false"/>
          <w:color w:val="000000"/>
          <w:sz w:val="24"/>
          <w:u w:val="single"/>
        </w:rPr>
        <w:t>The Trustee</w:t>
      </w:r>
      <w:r>
        <w:rPr>
          <w:rFonts w:ascii="Times New Roman;serif" w:hAnsi="Times New Roman;serif"/>
          <w:b w:val="false"/>
          <w:color w:val="000000"/>
          <w:sz w:val="24"/>
        </w:rPr>
        <w:t>. The Trustee shall not be responsible in any manner whatsoever for or in respect of the validity or sufficiency of this Supplemental Indenture or for or in respect of the recitals contained herein, all of which recitals are made solely by the Co-Issuers, the New Co- Issuer and the Parent Guarantor.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firstLine="833"/>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as of 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WEATHERFORD US HOLDING, LLC</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Maximiliano A. Kricorian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88" w:before="0" w:after="0"/>
        <w:jc w:val="left"/>
        <w:rPr/>
      </w:pPr>
      <w:r>
        <w:rPr>
          <w:rFonts w:ascii="Times New Roman;serif" w:hAnsi="Times New Roman;serif"/>
          <w:b/>
          <w:color w:val="000000"/>
          <w:sz w:val="24"/>
        </w:rPr>
        <w:t>WEATHERFORD INTERNATIONAL LTD</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Bermuda exempted company limited by shares</w:t>
      </w:r>
    </w:p>
    <w:p>
      <w:pPr>
        <w:pStyle w:val="TextBody"/>
        <w:bidi w:val="0"/>
        <w:spacing w:before="0" w:after="0"/>
        <w:jc w:val="left"/>
        <w:rPr/>
      </w:pPr>
      <w:r>
        <w:rPr/>
      </w:r>
    </w:p>
    <w:p>
      <w:pPr>
        <w:pStyle w:val="TextBody"/>
        <w:bidi w:val="0"/>
        <w:spacing w:lineRule="auto" w:line="288" w:before="63"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Maximiliano A. Kricorian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72" w:after="283"/>
        <w:jc w:val="left"/>
        <w:rPr/>
      </w:pPr>
      <w:r>
        <w:rPr/>
      </w:r>
    </w:p>
    <w:p>
      <w:pPr>
        <w:pStyle w:val="TextBody"/>
        <w:bidi w:val="0"/>
        <w:spacing w:lineRule="auto" w:line="288" w:before="0" w:after="0"/>
        <w:jc w:val="left"/>
        <w:rPr/>
      </w:pPr>
      <w:r>
        <w:rPr>
          <w:rFonts w:ascii="Times New Roman;serif" w:hAnsi="Times New Roman;serif"/>
          <w:b/>
          <w:color w:val="000000"/>
          <w:sz w:val="24"/>
        </w:rPr>
        <w:t>WEATHERFORD INTERNATIONAL PLC</w:t>
      </w: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 Irish public limited company</w:t>
      </w:r>
    </w:p>
    <w:p>
      <w:pPr>
        <w:pStyle w:val="TextBody"/>
        <w:bidi w:val="0"/>
        <w:spacing w:before="63" w:after="283"/>
        <w:jc w:val="left"/>
        <w:rPr/>
      </w:pPr>
      <w:r>
        <w:rPr/>
      </w:r>
    </w:p>
    <w:p>
      <w:pPr>
        <w:pStyle w:val="TextBody"/>
        <w:bidi w:val="0"/>
        <w:spacing w:lineRule="auto" w:line="288" w:before="63"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Maximiliano A. Kricorian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pPr>
      <w:r>
        <w:rPr>
          <w:rFonts w:ascii="Times New Roman;serif" w:hAnsi="Times New Roman;serif"/>
          <w:b/>
          <w:color w:val="000000"/>
          <w:sz w:val="24"/>
        </w:rPr>
        <w:t>NEW CO-ISSUER</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Weatherford International Holding LLC</w:t>
      </w:r>
      <w:r>
        <w:rPr>
          <w:rFonts w:ascii="Times New Roman;serif" w:hAnsi="Times New Roman;serif"/>
          <w:b w:val="false"/>
          <w:color w:val="000000"/>
          <w:sz w:val="24"/>
        </w:rPr>
        <w:t>, a Texas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3"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Maximiliano A. Kricorian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Beth Ann Dranguet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Beth Ann Dranguet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and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pPr>
      <w:r>
        <w:rPr>
          <w:rFonts w:ascii="Times New Roman;serif" w:hAnsi="Times New Roman;serif"/>
          <w:b/>
          <w:color w:val="000000"/>
          <w:sz w:val="24"/>
        </w:rPr>
        <w:t>UMB BANK, N.A.</w:t>
      </w:r>
      <w:r>
        <w:rPr>
          <w:rFonts w:ascii="Times New Roman;serif" w:hAnsi="Times New Roman;serif"/>
          <w:b w:val="false"/>
          <w:color w:val="000000"/>
          <w:sz w:val="24"/>
        </w:rPr>
        <w:t>, as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Shazia Flores    </w:t>
      </w:r>
    </w:p>
    <w:p>
      <w:pPr>
        <w:pStyle w:val="TextBody"/>
        <w:bidi w:val="0"/>
        <w:spacing w:lineRule="auto" w:line="240" w:before="0" w:after="0"/>
        <w:jc w:val="left"/>
        <w:rPr/>
      </w:pPr>
      <w:r>
        <w:rPr>
          <w:rFonts w:ascii="Times New Roman;serif" w:hAnsi="Times New Roman;serif"/>
          <w:b w:val="false"/>
          <w:color w:val="000000"/>
          <w:sz w:val="24"/>
        </w:rPr>
        <w:t xml:space="preserve">Name: </w:t>
      </w:r>
      <w:r>
        <w:rPr>
          <w:rFonts w:ascii="Times New Roman;serif" w:hAnsi="Times New Roman;serif"/>
          <w:b w:val="false"/>
          <w:color w:val="000000"/>
          <w:sz w:val="20"/>
        </w:rPr>
        <w:t>Shazia Flores</w:t>
      </w:r>
    </w:p>
    <w:p>
      <w:pPr>
        <w:pStyle w:val="TextBody"/>
        <w:bidi w:val="0"/>
        <w:spacing w:lineRule="auto" w:line="288" w:before="4" w:after="283"/>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0"/>
        </w:rPr>
        <w:t>Senior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Girishchandra K. Saligram, certify that: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50" w:type="dxa"/>
        <w:jc w:val="left"/>
        <w:tblInd w:w="0" w:type="dxa"/>
        <w:tblLayout w:type="fixed"/>
        <w:tblCellMar>
          <w:top w:w="28" w:type="dxa"/>
          <w:left w:w="28" w:type="dxa"/>
          <w:bottom w:w="28" w:type="dxa"/>
          <w:right w:w="28" w:type="dxa"/>
        </w:tblCellMar>
      </w:tblPr>
      <w:tblGrid>
        <w:gridCol w:w="124"/>
        <w:gridCol w:w="109"/>
        <w:gridCol w:w="109"/>
        <w:gridCol w:w="274"/>
        <w:gridCol w:w="274"/>
        <w:gridCol w:w="276"/>
        <w:gridCol w:w="697"/>
        <w:gridCol w:w="697"/>
        <w:gridCol w:w="9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/s/ 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 Anuj Dhruv, certify that: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80" w:type="dxa"/>
        <w:jc w:val="left"/>
        <w:tblInd w:w="0" w:type="dxa"/>
        <w:tblLayout w:type="fixed"/>
        <w:tblCellMar>
          <w:top w:w="28" w:type="dxa"/>
          <w:left w:w="28" w:type="dxa"/>
          <w:bottom w:w="28" w:type="dxa"/>
          <w:right w:w="28" w:type="dxa"/>
        </w:tblCellMar>
      </w:tblPr>
      <w:tblGrid>
        <w:gridCol w:w="124"/>
        <w:gridCol w:w="109"/>
        <w:gridCol w:w="109"/>
        <w:gridCol w:w="378"/>
        <w:gridCol w:w="378"/>
        <w:gridCol w:w="383"/>
        <w:gridCol w:w="965"/>
        <w:gridCol w:w="965"/>
        <w:gridCol w:w="13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/s/ Anuj Dhruv</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Anuj Dhruv</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SECTION 906 OF THE SARBANES-OXLEY ACT OF 2002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Weatherford International plc (the "Company") for the period ended September 30, 2026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509" w:type="dxa"/>
        <w:jc w:val="left"/>
        <w:tblInd w:w="0" w:type="dxa"/>
        <w:tblLayout w:type="fixed"/>
        <w:tblCellMar>
          <w:top w:w="28" w:type="dxa"/>
          <w:left w:w="28" w:type="dxa"/>
          <w:bottom w:w="28" w:type="dxa"/>
          <w:right w:w="28" w:type="dxa"/>
        </w:tblCellMar>
      </w:tblPr>
      <w:tblGrid>
        <w:gridCol w:w="233"/>
        <w:gridCol w:w="205"/>
        <w:gridCol w:w="207"/>
        <w:gridCol w:w="1054"/>
        <w:gridCol w:w="1054"/>
        <w:gridCol w:w="1057"/>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Weatherford International plc (the "Company") for the period ended September 30, 2026 as filed with the Securities and Exchange Commission on the date hereof (the "Report"), I, Anuj Dhruv, Executive Vice President and Chief Financial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39" w:type="dxa"/>
        <w:jc w:val="left"/>
        <w:tblInd w:w="0" w:type="dxa"/>
        <w:tblLayout w:type="fixed"/>
        <w:tblCellMar>
          <w:top w:w="28" w:type="dxa"/>
          <w:left w:w="28" w:type="dxa"/>
          <w:bottom w:w="28" w:type="dxa"/>
          <w:right w:w="28" w:type="dxa"/>
        </w:tblCellMar>
      </w:tblPr>
      <w:tblGrid>
        <w:gridCol w:w="233"/>
        <w:gridCol w:w="205"/>
        <w:gridCol w:w="207"/>
        <w:gridCol w:w="1463"/>
        <w:gridCol w:w="1463"/>
        <w:gridCol w:w="1469"/>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/s/ Anuj Dhruv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Anuj Dhruv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19205</Words>
  <Characters>105390</Characters>
  <CharactersWithSpaces>123203</CharactersWithSpaces>
  <Paragraphs>2728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