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0001659429</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0002007317-24-000091</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Weatherford International plc</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001-36504</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2000 ST. JAMES PLACE</w:t>
              <w:br/>
              <w:t>HOUSTON</w:t>
              <w:br/>
              <w:t xml:space="preserve">TEXAS </w:t>
              <w:br/>
              <w:t>77056</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713.836.4000</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Weatherholt Scott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Stock</w:t>
            </w:r>
          </w:p>
        </w:tc>
        <w:tc>
          <w:tcPr>
            <w:tcW w:w="1427" w:type="dxa"/>
            <w:tcBorders/>
            <w:vAlign w:val="center"/>
          </w:tcPr>
          <w:p>
            <w:pPr>
              <w:pStyle w:val="TableContents"/>
              <w:bidi w:val="0"/>
              <w:spacing w:before="0" w:after="0"/>
              <w:jc w:val="left"/>
              <w:rPr/>
            </w:pPr>
            <w:r>
              <w:rPr/>
              <w:t>Merrill</w:t>
              <w:br/>
              <w:t>800 Capitol St. Suite 1900</w:t>
              <w:br/>
              <w:t>Houston   TX   77002</w:t>
            </w:r>
          </w:p>
        </w:tc>
        <w:tc>
          <w:tcPr>
            <w:tcW w:w="1175" w:type="dxa"/>
            <w:tcBorders/>
            <w:vAlign w:val="center"/>
          </w:tcPr>
          <w:p>
            <w:pPr>
              <w:pStyle w:val="TableContents"/>
              <w:bidi w:val="0"/>
              <w:spacing w:before="0" w:after="283"/>
              <w:jc w:val="left"/>
              <w:rPr/>
            </w:pPr>
            <w:r>
              <w:rPr/>
              <w:t>40455</w:t>
            </w:r>
          </w:p>
        </w:tc>
        <w:tc>
          <w:tcPr>
            <w:tcW w:w="1468" w:type="dxa"/>
            <w:tcBorders/>
            <w:vAlign w:val="center"/>
          </w:tcPr>
          <w:p>
            <w:pPr>
              <w:pStyle w:val="TableContents"/>
              <w:bidi w:val="0"/>
              <w:spacing w:before="0" w:after="283"/>
              <w:jc w:val="left"/>
              <w:rPr/>
            </w:pPr>
            <w:r>
              <w:rPr/>
              <w:t>4001239.07</w:t>
            </w:r>
          </w:p>
        </w:tc>
        <w:tc>
          <w:tcPr>
            <w:tcW w:w="1558" w:type="dxa"/>
            <w:tcBorders/>
            <w:vAlign w:val="center"/>
          </w:tcPr>
          <w:p>
            <w:pPr>
              <w:pStyle w:val="TableContents"/>
              <w:bidi w:val="0"/>
              <w:spacing w:before="0" w:after="283"/>
              <w:jc w:val="left"/>
              <w:rPr/>
            </w:pPr>
            <w:r>
              <w:rPr/>
              <w:t>72316426</w:t>
            </w:r>
          </w:p>
        </w:tc>
        <w:tc>
          <w:tcPr>
            <w:tcW w:w="1570" w:type="dxa"/>
            <w:tcBorders/>
            <w:vAlign w:val="center"/>
          </w:tcPr>
          <w:p>
            <w:pPr>
              <w:pStyle w:val="TableContents"/>
              <w:bidi w:val="0"/>
              <w:spacing w:before="0" w:after="283"/>
              <w:jc w:val="left"/>
              <w:rPr/>
            </w:pPr>
            <w:r>
              <w:rPr/>
              <w:t>02/08/2024</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8"/>
        <w:gridCol w:w="1121"/>
        <w:gridCol w:w="1469"/>
        <w:gridCol w:w="1404"/>
        <w:gridCol w:w="524"/>
        <w:gridCol w:w="1121"/>
        <w:gridCol w:w="1179"/>
        <w:gridCol w:w="1062"/>
        <w:gridCol w:w="1197"/>
      </w:tblGrid>
      <w:tr>
        <w:trPr/>
        <w:tc>
          <w:tcPr>
            <w:tcW w:w="1128"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40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8" w:type="dxa"/>
            <w:tcBorders/>
            <w:vAlign w:val="center"/>
          </w:tcPr>
          <w:p>
            <w:pPr>
              <w:pStyle w:val="TableContents"/>
              <w:bidi w:val="0"/>
              <w:spacing w:before="0" w:after="283"/>
              <w:jc w:val="left"/>
              <w:rPr/>
            </w:pPr>
            <w:r>
              <w:rPr/>
              <w:t>Common Stock</w:t>
            </w:r>
          </w:p>
        </w:tc>
        <w:tc>
          <w:tcPr>
            <w:tcW w:w="1121" w:type="dxa"/>
            <w:tcBorders/>
            <w:vAlign w:val="center"/>
          </w:tcPr>
          <w:p>
            <w:pPr>
              <w:pStyle w:val="TableContents"/>
              <w:bidi w:val="0"/>
              <w:spacing w:before="0" w:after="283"/>
              <w:jc w:val="left"/>
              <w:rPr/>
            </w:pPr>
            <w:r>
              <w:rPr/>
              <w:t>02/25/2023</w:t>
            </w:r>
          </w:p>
        </w:tc>
        <w:tc>
          <w:tcPr>
            <w:tcW w:w="1469" w:type="dxa"/>
            <w:tcBorders/>
            <w:vAlign w:val="center"/>
          </w:tcPr>
          <w:p>
            <w:pPr>
              <w:pStyle w:val="TableContents"/>
              <w:bidi w:val="0"/>
              <w:spacing w:before="0" w:after="283"/>
              <w:jc w:val="left"/>
              <w:rPr/>
            </w:pPr>
            <w:r>
              <w:rPr/>
              <w:t>Stock Bonus</w:t>
            </w:r>
          </w:p>
        </w:tc>
        <w:tc>
          <w:tcPr>
            <w:tcW w:w="1404" w:type="dxa"/>
            <w:tcBorders/>
            <w:vAlign w:val="center"/>
          </w:tcPr>
          <w:p>
            <w:pPr>
              <w:pStyle w:val="TableContents"/>
              <w:bidi w:val="0"/>
              <w:spacing w:before="0" w:after="283"/>
              <w:jc w:val="left"/>
              <w:rPr/>
            </w:pPr>
            <w:r>
              <w:rPr/>
              <w:t>Weatherford International plc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1029</w:t>
            </w:r>
          </w:p>
        </w:tc>
        <w:tc>
          <w:tcPr>
            <w:tcW w:w="1062" w:type="dxa"/>
            <w:tcBorders/>
            <w:vAlign w:val="center"/>
          </w:tcPr>
          <w:p>
            <w:pPr>
              <w:pStyle w:val="TableContents"/>
              <w:bidi w:val="0"/>
              <w:spacing w:before="0" w:after="283"/>
              <w:jc w:val="left"/>
              <w:rPr/>
            </w:pPr>
            <w:r>
              <w:rPr/>
              <w:t>02/25/2023</w:t>
            </w:r>
          </w:p>
        </w:tc>
        <w:tc>
          <w:tcPr>
            <w:tcW w:w="1197" w:type="dxa"/>
            <w:tcBorders/>
            <w:vAlign w:val="center"/>
          </w:tcPr>
          <w:p>
            <w:pPr>
              <w:pStyle w:val="TableContents"/>
              <w:bidi w:val="0"/>
              <w:spacing w:before="0" w:after="283"/>
              <w:jc w:val="left"/>
              <w:rPr/>
            </w:pPr>
            <w:r>
              <w:rPr/>
              <w:t>Stock Bonus</w:t>
            </w:r>
          </w:p>
        </w:tc>
      </w:tr>
      <w:tr>
        <w:trPr/>
        <w:tc>
          <w:tcPr>
            <w:tcW w:w="1128" w:type="dxa"/>
            <w:tcBorders/>
            <w:vAlign w:val="center"/>
          </w:tcPr>
          <w:p>
            <w:pPr>
              <w:pStyle w:val="TableContents"/>
              <w:bidi w:val="0"/>
              <w:spacing w:before="0" w:after="283"/>
              <w:jc w:val="left"/>
              <w:rPr/>
            </w:pPr>
            <w:r>
              <w:rPr/>
              <w:t>Common Stock</w:t>
            </w:r>
          </w:p>
        </w:tc>
        <w:tc>
          <w:tcPr>
            <w:tcW w:w="1121" w:type="dxa"/>
            <w:tcBorders/>
            <w:vAlign w:val="center"/>
          </w:tcPr>
          <w:p>
            <w:pPr>
              <w:pStyle w:val="TableContents"/>
              <w:bidi w:val="0"/>
              <w:spacing w:before="0" w:after="283"/>
              <w:jc w:val="left"/>
              <w:rPr/>
            </w:pPr>
            <w:r>
              <w:rPr/>
              <w:t>02/08/2023</w:t>
            </w:r>
          </w:p>
        </w:tc>
        <w:tc>
          <w:tcPr>
            <w:tcW w:w="1469" w:type="dxa"/>
            <w:tcBorders/>
            <w:vAlign w:val="center"/>
          </w:tcPr>
          <w:p>
            <w:pPr>
              <w:pStyle w:val="TableContents"/>
              <w:bidi w:val="0"/>
              <w:spacing w:before="0" w:after="283"/>
              <w:jc w:val="left"/>
              <w:rPr/>
            </w:pPr>
            <w:r>
              <w:rPr/>
              <w:t>Stock Bonus</w:t>
            </w:r>
          </w:p>
        </w:tc>
        <w:tc>
          <w:tcPr>
            <w:tcW w:w="1404" w:type="dxa"/>
            <w:tcBorders/>
            <w:vAlign w:val="center"/>
          </w:tcPr>
          <w:p>
            <w:pPr>
              <w:pStyle w:val="TableContents"/>
              <w:bidi w:val="0"/>
              <w:spacing w:before="0" w:after="283"/>
              <w:jc w:val="left"/>
              <w:rPr/>
            </w:pPr>
            <w:r>
              <w:rPr/>
              <w:t>Weatherford International plc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104517</w:t>
            </w:r>
          </w:p>
        </w:tc>
        <w:tc>
          <w:tcPr>
            <w:tcW w:w="1062" w:type="dxa"/>
            <w:tcBorders/>
            <w:vAlign w:val="center"/>
          </w:tcPr>
          <w:p>
            <w:pPr>
              <w:pStyle w:val="TableContents"/>
              <w:bidi w:val="0"/>
              <w:spacing w:before="0" w:after="283"/>
              <w:jc w:val="left"/>
              <w:rPr/>
            </w:pPr>
            <w:r>
              <w:rPr/>
              <w:t>02/08/2023</w:t>
            </w:r>
          </w:p>
        </w:tc>
        <w:tc>
          <w:tcPr>
            <w:tcW w:w="1197" w:type="dxa"/>
            <w:tcBorders/>
            <w:vAlign w:val="center"/>
          </w:tcPr>
          <w:p>
            <w:pPr>
              <w:pStyle w:val="TableContents"/>
              <w:bidi w:val="0"/>
              <w:spacing w:before="0" w:after="283"/>
              <w:jc w:val="left"/>
              <w:rPr/>
            </w:pPr>
            <w:r>
              <w:rPr/>
              <w:t>Stock Bonus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45"/>
        <w:gridCol w:w="5860"/>
      </w:tblGrid>
      <w:tr>
        <w:trPr/>
        <w:tc>
          <w:tcPr>
            <w:tcW w:w="4345" w:type="dxa"/>
            <w:tcBorders/>
            <w:vAlign w:val="center"/>
          </w:tcPr>
          <w:p>
            <w:pPr>
              <w:pStyle w:val="TableContents"/>
              <w:bidi w:val="0"/>
              <w:spacing w:before="0" w:after="283"/>
              <w:jc w:val="left"/>
              <w:rPr/>
            </w:pPr>
            <w:r>
              <w:rPr/>
              <w:t>Remarks</w:t>
            </w:r>
          </w:p>
        </w:tc>
        <w:tc>
          <w:tcPr>
            <w:tcW w:w="5860" w:type="dxa"/>
            <w:tcBorders/>
            <w:vAlign w:val="center"/>
          </w:tcPr>
          <w:p>
            <w:pPr>
              <w:pStyle w:val="TableContents"/>
              <w:bidi w:val="0"/>
              <w:spacing w:before="0" w:after="283"/>
              <w:jc w:val="left"/>
              <w:rPr>
                <w:sz w:val="4"/>
                <w:szCs w:val="4"/>
              </w:rPr>
            </w:pPr>
            <w:r>
              <w:rPr>
                <w:sz w:val="4"/>
                <w:szCs w:val="4"/>
              </w:rPr>
            </w:r>
          </w:p>
        </w:tc>
      </w:tr>
      <w:tr>
        <w:trPr/>
        <w:tc>
          <w:tcPr>
            <w:tcW w:w="4345" w:type="dxa"/>
            <w:tcBorders/>
            <w:vAlign w:val="center"/>
          </w:tcPr>
          <w:p>
            <w:pPr>
              <w:pStyle w:val="TableContents"/>
              <w:bidi w:val="0"/>
              <w:spacing w:before="0" w:after="283"/>
              <w:jc w:val="left"/>
              <w:rPr/>
            </w:pPr>
            <w:r>
              <w:rPr/>
              <w:t>Date of Notice</w:t>
            </w:r>
          </w:p>
        </w:tc>
        <w:tc>
          <w:tcPr>
            <w:tcW w:w="5860" w:type="dxa"/>
            <w:tcBorders/>
            <w:vAlign w:val="center"/>
          </w:tcPr>
          <w:p>
            <w:pPr>
              <w:pStyle w:val="TableContents"/>
              <w:bidi w:val="0"/>
              <w:spacing w:before="0" w:after="0"/>
              <w:jc w:val="left"/>
              <w:rPr/>
            </w:pPr>
            <w:r>
              <w:rPr/>
              <w:t>02/09/2024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45" w:type="dxa"/>
            <w:tcBorders/>
            <w:vAlign w:val="center"/>
          </w:tcPr>
          <w:p>
            <w:pPr>
              <w:pStyle w:val="TableContents"/>
              <w:bidi w:val="0"/>
              <w:spacing w:before="0" w:after="283"/>
              <w:jc w:val="left"/>
              <w:rPr/>
            </w:pPr>
            <w:r>
              <w:rPr/>
              <w:t>Signature</w:t>
            </w:r>
          </w:p>
        </w:tc>
        <w:tc>
          <w:tcPr>
            <w:tcW w:w="5860" w:type="dxa"/>
            <w:tcBorders/>
            <w:vAlign w:val="center"/>
          </w:tcPr>
          <w:p>
            <w:pPr>
              <w:pStyle w:val="TableContents"/>
              <w:bidi w:val="0"/>
              <w:spacing w:before="0" w:after="0"/>
              <w:jc w:val="left"/>
              <w:rPr/>
            </w:pPr>
            <w:r>
              <w:rPr/>
              <w:t>Scott C Weatherholt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592</Words>
  <Characters>3047</Characters>
  <CharactersWithSpaces>3576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