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508000</wp:posOffset>
            </wp:positionH>
            <wp:positionV relativeFrom="page">
              <wp:posOffset>723265</wp:posOffset>
            </wp:positionV>
            <wp:extent cx="65322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2245" cy="8255"/>
                    </a:xfrm>
                    <a:prstGeom prst="rect">
                      <a:avLst/>
                    </a:prstGeom>
                    <a:noFill/>
                  </pic:spPr>
                </pic:pic>
              </a:graphicData>
            </a:graphic>
          </wp:anchor>
        </w:drawing>
        <w:t>UNITED STATES</w:t>
      </w:r>
    </w:p>
    <w:p>
      <w:pPr>
        <w:spacing w:after="0" w:line="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3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22, 2024</w:t>
      </w:r>
    </w:p>
    <w:p>
      <w:pPr>
        <w:spacing w:after="0" w:line="2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Weatherford International plc</w:t>
      </w:r>
    </w:p>
    <w:p>
      <w:pPr>
        <w:spacing w:after="0" w:line="54" w:lineRule="exact"/>
        <w:rPr>
          <w:sz w:val="24"/>
          <w:szCs w:val="24"/>
          <w:color w:val="auto"/>
        </w:rPr>
      </w:pPr>
    </w:p>
    <w:tbl>
      <w:tblPr>
        <w:tblLayout w:type="fixed"/>
        <w:tblInd w:w="160" w:type="dxa"/>
        <w:tblCellMar>
          <w:top w:w="0" w:type="dxa"/>
          <w:left w:w="0" w:type="dxa"/>
          <w:bottom w:w="0" w:type="dxa"/>
          <w:right w:w="0" w:type="dxa"/>
        </w:tblCellMar>
      </w:tblPr>
      <w:tr>
        <w:trPr>
          <w:trHeight w:val="233"/>
        </w:trPr>
        <w:tc>
          <w:tcPr>
            <w:tcW w:w="800" w:type="dxa"/>
            <w:vAlign w:val="bottom"/>
          </w:tcPr>
          <w:p>
            <w:pPr>
              <w:spacing w:after="0"/>
              <w:rPr>
                <w:sz w:val="20"/>
                <w:szCs w:val="20"/>
                <w:color w:val="auto"/>
              </w:rPr>
            </w:pPr>
          </w:p>
        </w:tc>
        <w:tc>
          <w:tcPr>
            <w:tcW w:w="6820" w:type="dxa"/>
            <w:vAlign w:val="bottom"/>
            <w:gridSpan w:val="2"/>
          </w:tcPr>
          <w:p>
            <w:pPr>
              <w:jc w:val="center"/>
              <w:ind w:left="243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25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8"/>
        </w:trPr>
        <w:tc>
          <w:tcPr>
            <w:tcW w:w="80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Ireland</w:t>
            </w:r>
          </w:p>
        </w:tc>
        <w:tc>
          <w:tcPr>
            <w:tcW w:w="3380" w:type="dxa"/>
            <w:vAlign w:val="bottom"/>
            <w:tcBorders>
              <w:bottom w:val="single" w:sz="8" w:color="auto"/>
            </w:tcBorders>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001-36504</w:t>
            </w:r>
          </w:p>
        </w:tc>
        <w:tc>
          <w:tcPr>
            <w:tcW w:w="25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98-0606750</w:t>
            </w:r>
          </w:p>
        </w:tc>
        <w:tc>
          <w:tcPr>
            <w:tcW w:w="820" w:type="dxa"/>
            <w:vAlign w:val="bottom"/>
            <w:tcBorders>
              <w:bottom w:val="single" w:sz="8" w:color="auto"/>
            </w:tcBorders>
          </w:tcPr>
          <w:p>
            <w:pPr>
              <w:spacing w:after="0"/>
              <w:rPr>
                <w:sz w:val="20"/>
                <w:szCs w:val="20"/>
                <w:color w:val="auto"/>
              </w:rPr>
            </w:pPr>
          </w:p>
        </w:tc>
      </w:tr>
      <w:tr>
        <w:trPr>
          <w:trHeight w:val="228"/>
        </w:trPr>
        <w:tc>
          <w:tcPr>
            <w:tcW w:w="42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338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46"/>
        </w:trPr>
        <w:tc>
          <w:tcPr>
            <w:tcW w:w="800" w:type="dxa"/>
            <w:vAlign w:val="bottom"/>
          </w:tcPr>
          <w:p>
            <w:pPr>
              <w:spacing w:after="0"/>
              <w:rPr>
                <w:sz w:val="24"/>
                <w:szCs w:val="24"/>
                <w:color w:val="auto"/>
              </w:rPr>
            </w:pPr>
          </w:p>
        </w:tc>
        <w:tc>
          <w:tcPr>
            <w:tcW w:w="34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2000 St. James Place ,  Houston,</w:t>
            </w:r>
          </w:p>
        </w:tc>
        <w:tc>
          <w:tcPr>
            <w:tcW w:w="33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Texas</w:t>
            </w:r>
          </w:p>
        </w:tc>
        <w:tc>
          <w:tcPr>
            <w:tcW w:w="25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77056</w:t>
            </w:r>
          </w:p>
        </w:tc>
        <w:tc>
          <w:tcPr>
            <w:tcW w:w="820" w:type="dxa"/>
            <w:vAlign w:val="bottom"/>
          </w:tcPr>
          <w:p>
            <w:pPr>
              <w:spacing w:after="0"/>
              <w:rPr>
                <w:sz w:val="24"/>
                <w:szCs w:val="24"/>
                <w:color w:val="auto"/>
              </w:rPr>
            </w:pPr>
          </w:p>
        </w:tc>
      </w:tr>
      <w:tr>
        <w:trPr>
          <w:trHeight w:val="228"/>
        </w:trPr>
        <w:tc>
          <w:tcPr>
            <w:tcW w:w="800" w:type="dxa"/>
            <w:vAlign w:val="bottom"/>
          </w:tcPr>
          <w:p>
            <w:pPr>
              <w:spacing w:after="0"/>
              <w:rPr>
                <w:sz w:val="19"/>
                <w:szCs w:val="19"/>
                <w:color w:val="auto"/>
              </w:rPr>
            </w:pPr>
          </w:p>
        </w:tc>
        <w:tc>
          <w:tcPr>
            <w:tcW w:w="68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50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(Zip Code)</w:t>
            </w:r>
          </w:p>
        </w:tc>
        <w:tc>
          <w:tcPr>
            <w:tcW w:w="820" w:type="dxa"/>
            <w:vAlign w:val="bottom"/>
          </w:tcPr>
          <w:p>
            <w:pPr>
              <w:spacing w:after="0"/>
              <w:rPr>
                <w:sz w:val="19"/>
                <w:szCs w:val="19"/>
                <w:color w:val="auto"/>
              </w:rPr>
            </w:pPr>
          </w:p>
        </w:tc>
      </w:tr>
    </w:tbl>
    <w:p>
      <w:pPr>
        <w:spacing w:after="0" w:line="67"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713.836.4000</w:t>
      </w:r>
    </w:p>
    <w:p>
      <w:pPr>
        <w:spacing w:after="0" w:line="131"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467995</wp:posOffset>
            </wp:positionH>
            <wp:positionV relativeFrom="paragraph">
              <wp:posOffset>19685</wp:posOffset>
            </wp:positionV>
            <wp:extent cx="61976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97600" cy="825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04" w:lineRule="exact"/>
        <w:rPr>
          <w:sz w:val="24"/>
          <w:szCs w:val="24"/>
          <w:color w:val="auto"/>
        </w:rPr>
      </w:pPr>
    </w:p>
    <w:p>
      <w:pPr>
        <w:jc w:val="both"/>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83"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82" w:lineRule="exact"/>
        <w:rPr>
          <w:rFonts w:ascii="MS PGothic" w:cs="MS PGothic" w:eastAsia="MS PGothic" w:hAnsi="MS PGothic"/>
          <w:sz w:val="22"/>
          <w:szCs w:val="22"/>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82" w:lineRule="exact"/>
        <w:rPr>
          <w:rFonts w:ascii="MS PGothic" w:cs="MS PGothic" w:eastAsia="MS PGothic" w:hAnsi="MS PGothic"/>
          <w:sz w:val="22"/>
          <w:szCs w:val="22"/>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82" w:lineRule="exact"/>
        <w:rPr>
          <w:rFonts w:ascii="MS PGothic" w:cs="MS PGothic" w:eastAsia="MS PGothic" w:hAnsi="MS PGothic"/>
          <w:sz w:val="22"/>
          <w:szCs w:val="22"/>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4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6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338"/>
        </w:trPr>
        <w:tc>
          <w:tcPr>
            <w:tcW w:w="80" w:type="dxa"/>
            <w:vAlign w:val="bottom"/>
          </w:tcPr>
          <w:p>
            <w:pPr>
              <w:spacing w:after="0"/>
              <w:rPr>
                <w:sz w:val="24"/>
                <w:szCs w:val="24"/>
                <w:color w:val="auto"/>
              </w:rPr>
            </w:pPr>
          </w:p>
        </w:tc>
        <w:tc>
          <w:tcPr>
            <w:tcW w:w="44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8"/>
              </w:rPr>
              <w:t>Trading Symbol</w:t>
            </w:r>
          </w:p>
        </w:tc>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80" w:type="dxa"/>
            <w:vAlign w:val="bottom"/>
          </w:tcPr>
          <w:p>
            <w:pPr>
              <w:spacing w:after="0"/>
              <w:rPr>
                <w:sz w:val="19"/>
                <w:szCs w:val="19"/>
                <w:color w:val="auto"/>
              </w:rPr>
            </w:pPr>
          </w:p>
        </w:tc>
        <w:tc>
          <w:tcPr>
            <w:tcW w:w="44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Ordinary shares, $0.001 par value per share</w:t>
            </w:r>
          </w:p>
        </w:tc>
        <w:tc>
          <w:tcPr>
            <w:tcW w:w="21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WFRD</w:t>
            </w: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71" w:lineRule="exact"/>
        <w:rPr>
          <w:sz w:val="24"/>
          <w:szCs w:val="24"/>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1860"/>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17" w:lineRule="exact"/>
        <w:rPr>
          <w:sz w:val="24"/>
          <w:szCs w:val="24"/>
          <w:color w:val="auto"/>
        </w:rPr>
      </w:pPr>
    </w:p>
    <w:p>
      <w:pPr>
        <w:ind w:right="100"/>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3" w:right="399" w:bottom="1440" w:gutter="0" w:footer="0" w:header="0"/>
        </w:sectPr>
      </w:pPr>
    </w:p>
    <w:bookmarkStart w:id="1" w:name="page2"/>
    <w:bookmarkEnd w:id="1"/>
    <w:p>
      <w:pPr>
        <w:ind w:left="18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351"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8"/>
          <w:szCs w:val="18"/>
          <w:color w:val="auto"/>
        </w:rPr>
        <w:t>On October 22, 2024, Weatherford International plc (“Weatherford” and together with its subsidiaries, “we” or the “Company”) issued a news release announcing results for the third quarter ended September 30, 2024. A copy of the news release is furnished as Exhibit 99.1 and incorporated into this Item 2.02.</w:t>
      </w:r>
    </w:p>
    <w:p>
      <w:pPr>
        <w:spacing w:after="0" w:line="244"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Weatherford will host a conference call on Wednesday, October 23, 2024, to discuss the Company’s results for the third quarter ended September 30, 2024. The conference call will begin at 8:30 a.m. Eastern Time (7:30 a.m. Central Time).</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Listeners are encouraged to download the accompanying presentation slides which will be available in the investor relations section of the Company’s website.</w:t>
      </w:r>
    </w:p>
    <w:p>
      <w:pPr>
        <w:spacing w:after="0" w:line="203"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8"/>
          <w:szCs w:val="18"/>
          <w:color w:val="auto"/>
        </w:rPr>
        <w:t>Listeners can participate in the conference call via a live webcast at https://www.weatherford.com/investor-relations/investor-news-and-events/events/ or by dialing +1 877-328-5344 (within the U.S.) or +1 412-902-6762 (outside of the U.S.) and asking for the Weatherford conference call. Participants should log in or dial in approximately 10 minutes prior to the start of the call.</w:t>
      </w:r>
    </w:p>
    <w:p>
      <w:pPr>
        <w:spacing w:after="0" w:line="217"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8"/>
          <w:szCs w:val="18"/>
          <w:color w:val="auto"/>
        </w:rPr>
        <w:t>A telephonic replay of the conference call will be available until November 6, 2024, at 5:00 p.m. Eastern Time. To access the replay, please dial +1 877-344-7529 (within the U.S.) or +1 412-317-0088 (outside of the U.S.) and reference conference number 6410466. A replay and transcript of the earnings call will also be available in the investor relations section of the Company’s website</w:t>
      </w:r>
    </w:p>
    <w:p>
      <w:pPr>
        <w:spacing w:after="0" w:line="254" w:lineRule="exact"/>
        <w:rPr>
          <w:sz w:val="20"/>
          <w:szCs w:val="20"/>
          <w:color w:val="auto"/>
        </w:rPr>
      </w:pPr>
    </w:p>
    <w:p>
      <w:pPr>
        <w:ind w:left="18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33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October 22, 2024, Weatherford announced that its Board of Directors (the “Board”) has declared a cash dividend of $0.25 per share on the Company’s ordinary shares, par value $0.001 per share, payable on December 5, 2024 to shareholders of record as of November 6, 2024. The declaration of any future dividends is subject to the Board’s discretion.</w:t>
      </w:r>
    </w:p>
    <w:p>
      <w:pPr>
        <w:spacing w:after="0" w:line="19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 copy of the press release announcing the dividend is attached as Exhibit 99.1 to this Form 8-K and the portions related to the dividend are incorporated herein by reference.</w:t>
      </w:r>
    </w:p>
    <w:p>
      <w:pPr>
        <w:spacing w:after="0" w:line="200" w:lineRule="exact"/>
        <w:rPr>
          <w:sz w:val="20"/>
          <w:szCs w:val="20"/>
          <w:color w:val="auto"/>
        </w:rPr>
      </w:pPr>
    </w:p>
    <w:p>
      <w:pPr>
        <w:spacing w:after="0" w:line="255" w:lineRule="exact"/>
        <w:rPr>
          <w:sz w:val="20"/>
          <w:szCs w:val="20"/>
          <w:color w:val="auto"/>
        </w:rPr>
      </w:pPr>
    </w:p>
    <w:p>
      <w:pPr>
        <w:ind w:left="18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97" w:lineRule="exact"/>
        <w:rPr>
          <w:sz w:val="20"/>
          <w:szCs w:val="20"/>
          <w:color w:val="auto"/>
        </w:rPr>
      </w:pPr>
    </w:p>
    <w:p>
      <w:pPr>
        <w:ind w:left="1660" w:hanging="913"/>
        <w:spacing w:after="0"/>
        <w:tabs>
          <w:tab w:leader="none" w:pos="1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20" w:type="dxa"/>
            <w:vAlign w:val="bottom"/>
          </w:tcPr>
          <w:p>
            <w:pPr>
              <w:spacing w:after="0"/>
              <w:rPr>
                <w:sz w:val="20"/>
                <w:szCs w:val="20"/>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83"/>
        </w:trPr>
        <w:tc>
          <w:tcPr>
            <w:tcW w:w="1520" w:type="dxa"/>
            <w:vAlign w:val="bottom"/>
            <w:tcBorders>
              <w:top w:val="single" w:sz="8" w:color="auto"/>
            </w:tcBorders>
          </w:tcPr>
          <w:p>
            <w:pPr>
              <w:jc w:val="right"/>
              <w:ind w:right="51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600" w:type="dxa"/>
            <w:vAlign w:val="bottom"/>
            <w:tcBorders>
              <w:top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News Release dated October 22, 2024 announcing results for the third quarter ended September 30, 2024</w:t>
            </w:r>
            <w:r>
              <w:rPr>
                <w:rFonts w:ascii="Times New Roman" w:cs="Times New Roman" w:eastAsia="Times New Roman" w:hAnsi="Times New Roman"/>
                <w:sz w:val="18"/>
                <w:szCs w:val="18"/>
                <w:color w:val="000000"/>
              </w:rPr>
              <w:t>.</w:t>
            </w:r>
          </w:p>
        </w:tc>
      </w:tr>
      <w:tr>
        <w:trPr>
          <w:trHeight w:val="20"/>
        </w:trPr>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580" w:type="dxa"/>
            <w:vAlign w:val="bottom"/>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50"/>
        </w:trPr>
        <w:tc>
          <w:tcPr>
            <w:tcW w:w="15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965"/>
        </w:trPr>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58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Date: October 22, 2024</w:t>
      </w:r>
    </w:p>
    <w:p>
      <w:pPr>
        <w:spacing w:after="0" w:line="23"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/s/ Arunava Mitra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14605</wp:posOffset>
            </wp:positionV>
            <wp:extent cx="32575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1"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Arunava Mitra</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00"/>
          </w:cols>
          <w:pgMar w:left="320" w:top="887"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62865</wp:posOffset>
            </wp:positionV>
            <wp:extent cx="1903095" cy="7886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0309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0140"/>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Weatherford Third Quarter 2024 Results</w:t>
      </w:r>
    </w:p>
    <w:p>
      <w:pPr>
        <w:spacing w:after="0" w:line="220"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Revenues of $1,409 million increased 7% year-over-year</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income of $243 million increased 11% year-over-year</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 of $157 million increased 28% year-over-year; net income margin of 11.1%</w:t>
      </w:r>
    </w:p>
    <w:p>
      <w:pPr>
        <w:spacing w:after="0" w:line="121" w:lineRule="exact"/>
        <w:rPr>
          <w:rFonts w:ascii="Times New Roman" w:cs="Times New Roman" w:eastAsia="Times New Roman" w:hAnsi="Times New Roman"/>
          <w:sz w:val="20"/>
          <w:szCs w:val="20"/>
          <w:color w:val="auto"/>
        </w:rPr>
      </w:pPr>
    </w:p>
    <w:p>
      <w:pPr>
        <w:ind w:left="660" w:right="20" w:hanging="328"/>
        <w:spacing w:after="0" w:line="359"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of $355 million increased 16% year-over-year; adjusted EBITDA margin* of 25.2% increased by 197 basis points year-over-year</w:t>
      </w:r>
    </w:p>
    <w:p>
      <w:pPr>
        <w:ind w:left="660" w:hanging="328"/>
        <w:spacing w:after="0" w:line="359"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provided by operating activities of $262 million, an increase of $112 million sequentially and $90 million year-over-year; adjusted free cash flow* of $184 million, an increase of $88 million sequentially and $47 million year-over-year</w:t>
      </w:r>
    </w:p>
    <w:p>
      <w:pPr>
        <w:ind w:left="640" w:hanging="308"/>
        <w:spacing w:after="0"/>
        <w:tabs>
          <w:tab w:leader="none" w:pos="64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Received credit rating upgrade from S&amp;P Global Ratings to ‘BB-’ with positive outlook, and from Fitch to ‘BB-’ with stable outlook</w:t>
      </w:r>
    </w:p>
    <w:p>
      <w:pPr>
        <w:spacing w:after="0" w:line="132" w:lineRule="exact"/>
        <w:rPr>
          <w:rFonts w:ascii="Times New Roman" w:cs="Times New Roman" w:eastAsia="Times New Roman" w:hAnsi="Times New Roman"/>
          <w:sz w:val="19"/>
          <w:szCs w:val="19"/>
          <w:color w:val="auto"/>
        </w:rPr>
      </w:pPr>
    </w:p>
    <w:p>
      <w:pPr>
        <w:ind w:left="660" w:hanging="328"/>
        <w:spacing w:after="0" w:line="359"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Shareholder returns of $68 million for the quarter, which includes dividends payment of $18 million and share repurchases of $50 million</w:t>
      </w:r>
    </w:p>
    <w:p>
      <w:pPr>
        <w:ind w:left="660" w:hanging="328"/>
        <w:spacing w:after="0" w:line="359"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Board approved quarterly cash dividend of $0.25 per share payable on December 5, 2024 to shareholders of record as of November 6, 2024</w:t>
      </w:r>
    </w:p>
    <w:p>
      <w:pPr>
        <w:ind w:left="660" w:right="20" w:hanging="328"/>
        <w:spacing w:after="0" w:line="359"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Deployment of Victus™ Managed Pressure Drilling (MPD) systems in the first two deep geothermal exploration wells that have been drilled for a major operator in the Middle East</w:t>
      </w:r>
    </w:p>
    <w:p>
      <w:pPr>
        <w:ind w:left="660" w:right="20" w:hanging="328"/>
        <w:spacing w:after="0" w:line="378" w:lineRule="auto"/>
        <w:tabs>
          <w:tab w:leader="none" w:pos="648"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Aramco awarded Weatherford a three-year Corporate Procurement Agreement (CPA) including Cementation Products, Completions, Liner Hangers, and Whipstocks, as well as associated service agreements, to enhance its operational efficiency and strategic goals</w:t>
      </w:r>
    </w:p>
    <w:p>
      <w:pPr>
        <w:ind w:left="660" w:right="20" w:hanging="328"/>
        <w:spacing w:after="0" w:line="321"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Hosted 20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annual FWRD conference focused on digitalization and next-generation life-of-well solutions to boost efficiency, sustainability, and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*Non-GAAP - refer to the section titled Non-GAAP Financial Measures Defined and GAAP to Non-GAAP Financial Measures Reconciled</w:t>
      </w:r>
    </w:p>
    <w:p>
      <w:pPr>
        <w:sectPr>
          <w:pgSz w:w="11900" w:h="16838" w:orient="portrait"/>
          <w:cols w:equalWidth="0" w:num="1">
            <w:col w:w="11240"/>
          </w:cols>
          <w:pgMar w:left="320" w:top="1049" w:right="339" w:bottom="1440" w:gutter="0" w:footer="0" w:header="0"/>
        </w:sectPr>
      </w:pPr>
    </w:p>
    <w:bookmarkStart w:id="4" w:name="page5"/>
    <w:bookmarkEnd w:id="4"/>
    <w:p>
      <w:pPr>
        <w:ind w:right="300"/>
        <w:spacing w:after="0" w:line="400" w:lineRule="auto"/>
        <w:rPr>
          <w:sz w:val="20"/>
          <w:szCs w:val="20"/>
          <w:color w:val="auto"/>
        </w:rPr>
      </w:pPr>
      <w:r>
        <w:rPr>
          <w:rFonts w:ascii="Times New Roman" w:cs="Times New Roman" w:eastAsia="Times New Roman" w:hAnsi="Times New Roman"/>
          <w:sz w:val="20"/>
          <w:szCs w:val="20"/>
          <w:b w:val="1"/>
          <w:bCs w:val="1"/>
          <w:color w:val="auto"/>
        </w:rPr>
        <w:t xml:space="preserve">Houston, October 22, 2024 – </w:t>
      </w:r>
      <w:r>
        <w:rPr>
          <w:rFonts w:ascii="Times New Roman" w:cs="Times New Roman" w:eastAsia="Times New Roman" w:hAnsi="Times New Roman"/>
          <w:sz w:val="20"/>
          <w:szCs w:val="20"/>
          <w:color w:val="auto"/>
        </w:rPr>
        <w:t>Weatherford International plc (NASDAQ: WFRD) (“Weatherford” or the “Company”) announced today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results for the third quarter of 2024.</w:t>
      </w:r>
    </w:p>
    <w:p>
      <w:pPr>
        <w:spacing w:after="0" w:line="88" w:lineRule="exact"/>
        <w:rPr>
          <w:sz w:val="20"/>
          <w:szCs w:val="20"/>
          <w:color w:val="auto"/>
        </w:rPr>
      </w:pPr>
    </w:p>
    <w:p>
      <w:pPr>
        <w:jc w:val="both"/>
        <w:spacing w:after="0" w:line="385" w:lineRule="auto"/>
        <w:rPr>
          <w:sz w:val="20"/>
          <w:szCs w:val="20"/>
          <w:color w:val="auto"/>
        </w:rPr>
      </w:pPr>
      <w:r>
        <w:rPr>
          <w:rFonts w:ascii="Times New Roman" w:cs="Times New Roman" w:eastAsia="Times New Roman" w:hAnsi="Times New Roman"/>
          <w:sz w:val="19"/>
          <w:szCs w:val="19"/>
          <w:color w:val="auto"/>
        </w:rPr>
        <w:t>Revenues for the third quarter of 2024 were $1,409 million, an increase of 0.3% sequentially and an increase of 7% year-over-year. Operating income was $243 million in the third quarter of 2024, compared to $264 million in the second quarter of 2024 and $218 million in the third quarter of 2023. Net income in the third quarter of 2024 was $157 million, with an 11.1% margin, an increase of 26% or 225 basis points sequentially, and an increase of 28% or 177 basis points year-over-year. Adjusted EBITDA* was $355 million, a 25.2% margin, a decrease of 3% or 78 basis points sequentially, and an increase of 16% or 197 basis points year-over-year. Basic income per share in the third quarter of 2024 was $2.14 compared to $1.71 in the second quarter of 2024 and $1.70 in the third quarter of 2023. Diluted income per share in the third quarter of 2024 was $2.06 compared to $1.66 in the second quarter of 2024 and $1.66 in the third quarter of 2023.</w:t>
      </w:r>
    </w:p>
    <w:p>
      <w:pPr>
        <w:spacing w:after="0" w:line="125" w:lineRule="exact"/>
        <w:rPr>
          <w:sz w:val="20"/>
          <w:szCs w:val="20"/>
          <w:color w:val="auto"/>
        </w:rPr>
      </w:pPr>
    </w:p>
    <w:p>
      <w:pPr>
        <w:jc w:val="both"/>
        <w:spacing w:after="0" w:line="366" w:lineRule="auto"/>
        <w:rPr>
          <w:sz w:val="20"/>
          <w:szCs w:val="20"/>
          <w:color w:val="auto"/>
        </w:rPr>
      </w:pPr>
      <w:r>
        <w:rPr>
          <w:rFonts w:ascii="Times New Roman" w:cs="Times New Roman" w:eastAsia="Times New Roman" w:hAnsi="Times New Roman"/>
          <w:sz w:val="20"/>
          <w:szCs w:val="20"/>
          <w:color w:val="auto"/>
        </w:rPr>
        <w:t>Third quarter 2024 cash flows provided by operating activities were $262 million, compared to $150 million in the second quarter of 2024 and $172 million in the third quarter of 2023. Adjusted free cash flow* was $184 million, an increase of $88 million sequentially and $47 million year-over-year. Capital expenditures were $78 million in the third quarter of 2024, compared to $62 million in the second quarter of 2024 and $42 million in the third quarter of 2023.</w:t>
      </w:r>
    </w:p>
    <w:p>
      <w:pPr>
        <w:spacing w:after="0" w:line="136" w:lineRule="exact"/>
        <w:rPr>
          <w:sz w:val="20"/>
          <w:szCs w:val="20"/>
          <w:color w:val="auto"/>
        </w:rPr>
      </w:pPr>
    </w:p>
    <w:p>
      <w:pPr>
        <w:jc w:val="both"/>
        <w:spacing w:after="0" w:line="366" w:lineRule="auto"/>
        <w:rPr>
          <w:sz w:val="20"/>
          <w:szCs w:val="20"/>
          <w:color w:val="auto"/>
        </w:rPr>
      </w:pPr>
      <w:r>
        <w:rPr>
          <w:rFonts w:ascii="Times New Roman" w:cs="Times New Roman" w:eastAsia="Times New Roman" w:hAnsi="Times New Roman"/>
          <w:sz w:val="20"/>
          <w:szCs w:val="20"/>
          <w:color w:val="auto"/>
        </w:rPr>
        <w:t>Girish Saligram, President and Chief Executive Officer, commented, “I want to thank the Weatherford team for once again delivering strong margins and adjusted free cash flow despite a volatile macro environment and short cycle activity reductions. The margin performance underscores our ability to deliver strong returns in a softer market environment. Despite continued North America weakness, customer scheduling delays in Latin America and a reduced activity outlook in certain other geographies, we still expect strong revenue growth and adjusted EBITDA margins of greater than 25% for the full year.</w:t>
      </w:r>
    </w:p>
    <w:p>
      <w:pPr>
        <w:spacing w:after="0" w:line="123" w:lineRule="exact"/>
        <w:rPr>
          <w:sz w:val="20"/>
          <w:szCs w:val="20"/>
          <w:color w:val="auto"/>
        </w:rPr>
      </w:pPr>
    </w:p>
    <w:p>
      <w:pPr>
        <w:jc w:val="both"/>
        <w:spacing w:after="0" w:line="366" w:lineRule="auto"/>
        <w:rPr>
          <w:sz w:val="20"/>
          <w:szCs w:val="20"/>
          <w:color w:val="auto"/>
        </w:rPr>
      </w:pPr>
      <w:r>
        <w:rPr>
          <w:rFonts w:ascii="Times New Roman" w:cs="Times New Roman" w:eastAsia="Times New Roman" w:hAnsi="Times New Roman"/>
          <w:sz w:val="20"/>
          <w:szCs w:val="20"/>
          <w:color w:val="auto"/>
        </w:rPr>
        <w:t>In the third quarter, Weatherford acquired Datagration, enhancing our position with one of the industry’s most advanced digital offerings for production and asset optimization. The acquisition demonstrates our commitment to driving innovation across our technology portfolio and accelerating our growth in the digital transformation of the energy industry. Following our announcement in the third quarter regarding Weatherford’s first-ever shareholder return program, we paid our first quarterly dividend of $0.25 per share on September 12, 2024, to shareholders on record as of August 13, 2024, and as of September 30, 2024, we have bought back $50 million of ordinary shares.</w:t>
      </w:r>
    </w:p>
    <w:p>
      <w:pPr>
        <w:spacing w:after="0" w:line="136" w:lineRule="exact"/>
        <w:rPr>
          <w:sz w:val="20"/>
          <w:szCs w:val="20"/>
          <w:color w:val="auto"/>
        </w:rPr>
      </w:pPr>
    </w:p>
    <w:p>
      <w:pPr>
        <w:jc w:val="both"/>
        <w:spacing w:after="0" w:line="374" w:lineRule="auto"/>
        <w:rPr>
          <w:sz w:val="20"/>
          <w:szCs w:val="20"/>
          <w:color w:val="auto"/>
        </w:rPr>
      </w:pPr>
      <w:r>
        <w:rPr>
          <w:rFonts w:ascii="Times New Roman" w:cs="Times New Roman" w:eastAsia="Times New Roman" w:hAnsi="Times New Roman"/>
          <w:sz w:val="20"/>
          <w:szCs w:val="20"/>
          <w:color w:val="auto"/>
        </w:rPr>
        <w:t>While the macroeconomic environment is volatile and there is heightened risk of geopolitical events creating sector challenges, Weatherford remains focused on fulfillment initiatives, acquisition integrations, and technology commercialization, which should drive further financial performance.”</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*Non-GAAP - refer to the section titled Non-GAAP Financial Measures Defined and GAAP to Non-GAAP Financial Measures Reconciled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04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5"/>
          <w:szCs w:val="25"/>
          <w:b w:val="1"/>
          <w:bCs w:val="1"/>
          <w:u w:val="single" w:color="auto"/>
          <w:color w:val="auto"/>
        </w:rPr>
        <w:t>Operational Highlights</w:t>
      </w:r>
    </w:p>
    <w:p>
      <w:pPr>
        <w:spacing w:after="0" w:line="137" w:lineRule="exact"/>
        <w:rPr>
          <w:sz w:val="20"/>
          <w:szCs w:val="20"/>
          <w:color w:val="auto"/>
        </w:rPr>
      </w:pPr>
    </w:p>
    <w:p>
      <w:pPr>
        <w:ind w:left="340" w:right="20" w:hanging="332"/>
        <w:spacing w:after="0" w:line="366" w:lineRule="auto"/>
        <w:tabs>
          <w:tab w:leader="none" w:pos="3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Aramco awarded Weatherford a three-year CPA, including Cementation Products, Completions, Liner Hangers, and Whipstocks, as well as associated service agreements, to enhance its operational efficiency and strategic goals.</w:t>
      </w:r>
    </w:p>
    <w:p>
      <w:pPr>
        <w:ind w:left="340" w:hanging="332"/>
        <w:spacing w:after="0" w:line="364" w:lineRule="auto"/>
        <w:tabs>
          <w:tab w:leader="none" w:pos="3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major operator in the Gulf of Mexico awarded Weatherford a three-year services contract to deliver Plug &amp; Abandonment activities utilizing our Heavy Duty Pulling &amp; Jacking Unit and multiple service lines.</w:t>
      </w:r>
    </w:p>
    <w:p>
      <w:pPr>
        <w:spacing w:after="0" w:line="17" w:lineRule="exact"/>
        <w:rPr>
          <w:rFonts w:ascii="Times New Roman" w:cs="Times New Roman" w:eastAsia="Times New Roman" w:hAnsi="Times New Roman"/>
          <w:sz w:val="20"/>
          <w:szCs w:val="20"/>
          <w:color w:val="auto"/>
        </w:rPr>
      </w:pPr>
    </w:p>
    <w:p>
      <w:pPr>
        <w:ind w:left="340" w:hanging="332"/>
        <w:spacing w:after="0" w:line="353" w:lineRule="auto"/>
        <w:tabs>
          <w:tab w:leader="none" w:pos="335" w:val="left"/>
        </w:tabs>
        <w:numPr>
          <w:ilvl w:val="0"/>
          <w:numId w:val="4"/>
        </w:numPr>
        <w:rPr>
          <w:rFonts w:ascii="Arial" w:cs="Arial" w:eastAsia="Arial" w:hAnsi="Arial"/>
          <w:sz w:val="22"/>
          <w:szCs w:val="22"/>
          <w:color w:val="auto"/>
        </w:rPr>
      </w:pPr>
      <w:r>
        <w:rPr>
          <w:rFonts w:ascii="Times New Roman" w:cs="Times New Roman" w:eastAsia="Times New Roman" w:hAnsi="Times New Roman"/>
          <w:sz w:val="20"/>
          <w:szCs w:val="20"/>
          <w:color w:val="auto"/>
        </w:rPr>
        <w:t>A National Oil Company (NOC) in the Middle East awarded Weatherford a three-year contract for Drilling Services in unconventional resources fields.</w:t>
      </w:r>
    </w:p>
    <w:p>
      <w:pPr>
        <w:spacing w:after="0" w:line="18" w:lineRule="exact"/>
        <w:rPr>
          <w:rFonts w:ascii="Arial" w:cs="Arial" w:eastAsia="Arial" w:hAnsi="Arial"/>
          <w:sz w:val="22"/>
          <w:szCs w:val="22"/>
          <w:color w:val="auto"/>
        </w:rPr>
      </w:pPr>
    </w:p>
    <w:p>
      <w:pPr>
        <w:ind w:left="320" w:hanging="312"/>
        <w:spacing w:after="0"/>
        <w:tabs>
          <w:tab w:leader="none" w:pos="320" w:val="left"/>
        </w:tabs>
        <w:numPr>
          <w:ilvl w:val="0"/>
          <w:numId w:val="4"/>
        </w:numPr>
        <w:rPr>
          <w:rFonts w:ascii="Arial" w:cs="Arial" w:eastAsia="Arial" w:hAnsi="Arial"/>
          <w:sz w:val="22"/>
          <w:szCs w:val="22"/>
          <w:color w:val="auto"/>
        </w:rPr>
      </w:pPr>
      <w:r>
        <w:rPr>
          <w:rFonts w:ascii="Times New Roman" w:cs="Times New Roman" w:eastAsia="Times New Roman" w:hAnsi="Times New Roman"/>
          <w:sz w:val="20"/>
          <w:szCs w:val="20"/>
          <w:color w:val="auto"/>
        </w:rPr>
        <w:t>PTTEP awarded Weatherford a multi-year contract for Wireline services in Thailand.</w:t>
      </w:r>
    </w:p>
    <w:p>
      <w:pPr>
        <w:spacing w:after="0" w:line="125" w:lineRule="exact"/>
        <w:rPr>
          <w:rFonts w:ascii="Arial" w:cs="Arial" w:eastAsia="Arial" w:hAnsi="Arial"/>
          <w:sz w:val="22"/>
          <w:szCs w:val="22"/>
          <w:color w:val="auto"/>
        </w:rPr>
      </w:pPr>
    </w:p>
    <w:p>
      <w:pPr>
        <w:ind w:left="320" w:hanging="312"/>
        <w:spacing w:after="0"/>
        <w:tabs>
          <w:tab w:leader="none" w:pos="320" w:val="left"/>
        </w:tabs>
        <w:numPr>
          <w:ilvl w:val="0"/>
          <w:numId w:val="4"/>
        </w:numPr>
        <w:rPr>
          <w:rFonts w:ascii="Arial" w:cs="Arial" w:eastAsia="Arial" w:hAnsi="Arial"/>
          <w:sz w:val="22"/>
          <w:szCs w:val="22"/>
          <w:color w:val="auto"/>
        </w:rPr>
      </w:pPr>
      <w:r>
        <w:rPr>
          <w:rFonts w:ascii="Times New Roman" w:cs="Times New Roman" w:eastAsia="Times New Roman" w:hAnsi="Times New Roman"/>
          <w:sz w:val="20"/>
          <w:szCs w:val="20"/>
          <w:color w:val="auto"/>
        </w:rPr>
        <w:t>An NOC in the Middle East awarded Weatherford a two-year contract for Liner Hanger and associated services for deep drilling.</w:t>
      </w:r>
    </w:p>
    <w:p>
      <w:pPr>
        <w:spacing w:after="0" w:line="125" w:lineRule="exact"/>
        <w:rPr>
          <w:rFonts w:ascii="Arial" w:cs="Arial" w:eastAsia="Arial" w:hAnsi="Arial"/>
          <w:sz w:val="22"/>
          <w:szCs w:val="22"/>
          <w:color w:val="auto"/>
        </w:rPr>
      </w:pPr>
    </w:p>
    <w:p>
      <w:pPr>
        <w:ind w:left="340" w:hanging="332"/>
        <w:spacing w:after="0" w:line="347" w:lineRule="auto"/>
        <w:tabs>
          <w:tab w:leader="none" w:pos="335" w:val="left"/>
        </w:tabs>
        <w:numPr>
          <w:ilvl w:val="0"/>
          <w:numId w:val="4"/>
        </w:numPr>
        <w:rPr>
          <w:rFonts w:ascii="Arial" w:cs="Arial" w:eastAsia="Arial" w:hAnsi="Arial"/>
          <w:sz w:val="22"/>
          <w:szCs w:val="22"/>
          <w:color w:val="auto"/>
        </w:rPr>
      </w:pPr>
      <w:r>
        <w:rPr>
          <w:rFonts w:ascii="Times New Roman" w:cs="Times New Roman" w:eastAsia="Times New Roman" w:hAnsi="Times New Roman"/>
          <w:sz w:val="20"/>
          <w:szCs w:val="20"/>
          <w:color w:val="auto"/>
        </w:rPr>
        <w:t>A major operator awarded Weatherford a three-year contract to provide MPD services in the Middle East, marking the first time it will utilize this technology.</w:t>
      </w:r>
    </w:p>
    <w:p>
      <w:pPr>
        <w:spacing w:after="0" w:line="17" w:lineRule="exact"/>
        <w:rPr>
          <w:rFonts w:ascii="Arial" w:cs="Arial" w:eastAsia="Arial" w:hAnsi="Arial"/>
          <w:sz w:val="22"/>
          <w:szCs w:val="22"/>
          <w:color w:val="auto"/>
        </w:rPr>
      </w:pPr>
    </w:p>
    <w:p>
      <w:pPr>
        <w:ind w:left="320" w:hanging="312"/>
        <w:spacing w:after="0"/>
        <w:tabs>
          <w:tab w:leader="none" w:pos="320" w:val="left"/>
        </w:tabs>
        <w:numPr>
          <w:ilvl w:val="0"/>
          <w:numId w:val="4"/>
        </w:numPr>
        <w:rPr>
          <w:rFonts w:ascii="Arial" w:cs="Arial" w:eastAsia="Arial" w:hAnsi="Arial"/>
          <w:sz w:val="22"/>
          <w:szCs w:val="22"/>
          <w:color w:val="auto"/>
        </w:rPr>
      </w:pPr>
      <w:r>
        <w:rPr>
          <w:rFonts w:ascii="Times New Roman" w:cs="Times New Roman" w:eastAsia="Times New Roman" w:hAnsi="Times New Roman"/>
          <w:sz w:val="20"/>
          <w:szCs w:val="20"/>
          <w:color w:val="auto"/>
        </w:rPr>
        <w:t>An NOC in the Middle East awarded Weatherford a three-year contract for Fishing and Milling services.</w:t>
      </w:r>
    </w:p>
    <w:p>
      <w:pPr>
        <w:spacing w:after="0" w:line="125" w:lineRule="exact"/>
        <w:rPr>
          <w:rFonts w:ascii="Arial" w:cs="Arial" w:eastAsia="Arial" w:hAnsi="Arial"/>
          <w:sz w:val="22"/>
          <w:szCs w:val="22"/>
          <w:color w:val="auto"/>
        </w:rPr>
      </w:pPr>
    </w:p>
    <w:p>
      <w:pPr>
        <w:ind w:left="340" w:right="20" w:hanging="332"/>
        <w:spacing w:after="0" w:line="353" w:lineRule="auto"/>
        <w:tabs>
          <w:tab w:leader="none" w:pos="335" w:val="left"/>
        </w:tabs>
        <w:numPr>
          <w:ilvl w:val="0"/>
          <w:numId w:val="4"/>
        </w:numPr>
        <w:rPr>
          <w:rFonts w:ascii="Arial" w:cs="Arial" w:eastAsia="Arial" w:hAnsi="Arial"/>
          <w:sz w:val="22"/>
          <w:szCs w:val="22"/>
          <w:color w:val="auto"/>
        </w:rPr>
      </w:pPr>
      <w:r>
        <w:rPr>
          <w:rFonts w:ascii="Times New Roman" w:cs="Times New Roman" w:eastAsia="Times New Roman" w:hAnsi="Times New Roman"/>
          <w:sz w:val="20"/>
          <w:szCs w:val="20"/>
          <w:color w:val="auto"/>
        </w:rPr>
        <w:t>An NOC awarded Weatherford a five-year contract extension for the supply of Downhole Completion Equipment for deployment in the Middle East.</w:t>
      </w:r>
    </w:p>
    <w:p>
      <w:pPr>
        <w:spacing w:after="0" w:line="18" w:lineRule="exact"/>
        <w:rPr>
          <w:rFonts w:ascii="Arial" w:cs="Arial" w:eastAsia="Arial" w:hAnsi="Arial"/>
          <w:sz w:val="22"/>
          <w:szCs w:val="22"/>
          <w:color w:val="auto"/>
        </w:rPr>
      </w:pPr>
    </w:p>
    <w:p>
      <w:pPr>
        <w:ind w:left="320" w:hanging="312"/>
        <w:spacing w:after="0"/>
        <w:tabs>
          <w:tab w:leader="none" w:pos="320" w:val="left"/>
        </w:tabs>
        <w:numPr>
          <w:ilvl w:val="0"/>
          <w:numId w:val="4"/>
        </w:numPr>
        <w:rPr>
          <w:rFonts w:ascii="Arial" w:cs="Arial" w:eastAsia="Arial" w:hAnsi="Arial"/>
          <w:sz w:val="22"/>
          <w:szCs w:val="22"/>
          <w:color w:val="auto"/>
        </w:rPr>
      </w:pPr>
      <w:r>
        <w:rPr>
          <w:rFonts w:ascii="Times New Roman" w:cs="Times New Roman" w:eastAsia="Times New Roman" w:hAnsi="Times New Roman"/>
          <w:sz w:val="20"/>
          <w:szCs w:val="20"/>
          <w:color w:val="auto"/>
        </w:rPr>
        <w:t>Shell awarded Weatherford a three-year contract for Dual Stage Cementing technology to be deployed in onshore Australia.</w:t>
      </w:r>
    </w:p>
    <w:p>
      <w:pPr>
        <w:spacing w:after="0" w:line="125" w:lineRule="exact"/>
        <w:rPr>
          <w:rFonts w:ascii="Arial" w:cs="Arial" w:eastAsia="Arial" w:hAnsi="Arial"/>
          <w:sz w:val="22"/>
          <w:szCs w:val="22"/>
          <w:color w:val="auto"/>
        </w:rPr>
      </w:pPr>
    </w:p>
    <w:p>
      <w:pPr>
        <w:ind w:left="320" w:hanging="312"/>
        <w:spacing w:after="0"/>
        <w:tabs>
          <w:tab w:leader="none" w:pos="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Kuwait Energy awarded Weatherford a two-year contract for Cased Hole Wireline Services in onshore Iraq.</w:t>
      </w:r>
    </w:p>
    <w:p>
      <w:pPr>
        <w:spacing w:after="0" w:line="98"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bp awarded Weatherford a two-year contract for multilateral installations and associated services for offshore operations in Azerbaijan.</w:t>
      </w:r>
    </w:p>
    <w:p>
      <w:pPr>
        <w:spacing w:after="0" w:line="121" w:lineRule="exact"/>
        <w:rPr>
          <w:rFonts w:ascii="Times New Roman" w:cs="Times New Roman" w:eastAsia="Times New Roman" w:hAnsi="Times New Roman"/>
          <w:sz w:val="20"/>
          <w:szCs w:val="20"/>
          <w:color w:val="auto"/>
        </w:rPr>
      </w:pPr>
    </w:p>
    <w:p>
      <w:pPr>
        <w:ind w:left="340" w:hanging="332"/>
        <w:spacing w:after="0" w:line="381" w:lineRule="auto"/>
        <w:tabs>
          <w:tab w:leader="none" w:pos="3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JVGAS in Algeria awarded Weatherford a three-year contract for velocity string accessories and associated services and awarded a two-year contract for the supply of Fishing and Casing exiting.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25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5"/>
          <w:szCs w:val="25"/>
          <w:b w:val="1"/>
          <w:bCs w:val="1"/>
          <w:u w:val="single" w:color="auto"/>
          <w:color w:val="auto"/>
        </w:rPr>
        <w:t>Technology Highlights</w:t>
      </w:r>
    </w:p>
    <w:p>
      <w:pPr>
        <w:spacing w:after="0" w:line="218"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Drilling &amp; Evaluation (“DRE”)</w:t>
      </w:r>
    </w:p>
    <w:p>
      <w:pPr>
        <w:spacing w:after="0" w:line="175" w:lineRule="exact"/>
        <w:rPr>
          <w:rFonts w:ascii="Times New Roman" w:cs="Times New Roman" w:eastAsia="Times New Roman" w:hAnsi="Times New Roman"/>
          <w:sz w:val="20"/>
          <w:szCs w:val="20"/>
          <w:color w:val="auto"/>
        </w:rPr>
      </w:pPr>
    </w:p>
    <w:p>
      <w:pPr>
        <w:ind w:left="980" w:hanging="324"/>
        <w:spacing w:after="0" w:line="359" w:lineRule="auto"/>
        <w:tabs>
          <w:tab w:leader="none" w:pos="996"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NOC deployed Weatherford MPD solutions in its first two deep geothermal exploration wells in the Middle East. This innovative use of MPD technology mitigates risks from elevated geothermal gradients during exploration drilling.</w:t>
      </w:r>
    </w:p>
    <w:p>
      <w:pPr>
        <w:ind w:left="980" w:hanging="324"/>
        <w:spacing w:after="0" w:line="359" w:lineRule="auto"/>
        <w:tabs>
          <w:tab w:leader="none" w:pos="1023"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Weatherford celebrates 25 years of Compact Memory Logging technology, with over 10,000 deployments, consistently delivering value and reliability to our customers.</w:t>
      </w:r>
    </w:p>
    <w:p>
      <w:pPr>
        <w:ind w:left="320" w:hanging="312"/>
        <w:spacing w:after="0"/>
        <w:tabs>
          <w:tab w:leader="none" w:pos="3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Well Construction and Completions (“WCC”)</w:t>
      </w:r>
    </w:p>
    <w:p>
      <w:pPr>
        <w:spacing w:after="0" w:line="202" w:lineRule="exact"/>
        <w:rPr>
          <w:rFonts w:ascii="Times New Roman" w:cs="Times New Roman" w:eastAsia="Times New Roman" w:hAnsi="Times New Roman"/>
          <w:sz w:val="20"/>
          <w:szCs w:val="20"/>
          <w:color w:val="auto"/>
        </w:rPr>
      </w:pPr>
    </w:p>
    <w:p>
      <w:pPr>
        <w:ind w:left="980" w:right="20" w:hanging="324"/>
        <w:spacing w:after="0" w:line="366" w:lineRule="auto"/>
        <w:tabs>
          <w:tab w:leader="none" w:pos="1016" w:val="left"/>
        </w:tabs>
        <w:numPr>
          <w:ilvl w:val="1"/>
          <w:numId w:val="5"/>
        </w:numPr>
        <w:rPr>
          <w:rFonts w:ascii="Arial" w:cs="Arial" w:eastAsia="Arial" w:hAnsi="Arial"/>
          <w:sz w:val="21"/>
          <w:szCs w:val="21"/>
          <w:color w:val="auto"/>
        </w:rPr>
      </w:pPr>
      <w:r>
        <w:rPr>
          <w:rFonts w:ascii="Times New Roman" w:cs="Times New Roman" w:eastAsia="Times New Roman" w:hAnsi="Times New Roman"/>
          <w:sz w:val="19"/>
          <w:szCs w:val="19"/>
          <w:color w:val="auto"/>
        </w:rPr>
        <w:t>In Norway, Weatherford successfully integrated the Vero™ system into an offshore rig control system, enabling further efficiency while maintaining well integrity. This integration allows existing rig crews to operate the Vero system autonomously.</w:t>
      </w:r>
    </w:p>
    <w:p>
      <w:pPr>
        <w:ind w:left="980" w:right="20" w:hanging="324"/>
        <w:spacing w:after="0" w:line="301" w:lineRule="auto"/>
        <w:tabs>
          <w:tab w:leader="none" w:pos="969"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Perenco deployed Weatherford's digital ForeSite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20"/>
          <w:szCs w:val="20"/>
          <w:color w:val="auto"/>
        </w:rPr>
        <w:t xml:space="preserve"> Sense optical monitoring system to oversee injectivity testing performance for the Poseidon carbon capture and storage project, the UK's first well to inject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20"/>
          <w:szCs w:val="20"/>
          <w:color w:val="auto"/>
        </w:rPr>
        <w:t xml:space="preserve"> underground.</w:t>
      </w:r>
    </w:p>
    <w:p>
      <w:pPr>
        <w:spacing w:after="0" w:line="25" w:lineRule="exact"/>
        <w:rPr>
          <w:rFonts w:ascii="Times New Roman" w:cs="Times New Roman" w:eastAsia="Times New Roman" w:hAnsi="Times New Roman"/>
          <w:sz w:val="20"/>
          <w:szCs w:val="20"/>
          <w:color w:val="auto"/>
        </w:rPr>
      </w:pPr>
    </w:p>
    <w:p>
      <w:pPr>
        <w:ind w:left="980" w:hanging="324"/>
        <w:spacing w:after="0" w:line="359" w:lineRule="auto"/>
        <w:tabs>
          <w:tab w:leader="none" w:pos="983"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Weatherford launched its new Remote-Opening Barrier Valve that decreases risk and time associated with conventional well barriers.</w:t>
      </w:r>
    </w:p>
    <w:p>
      <w:pPr>
        <w:ind w:left="320" w:hanging="312"/>
        <w:spacing w:after="0"/>
        <w:tabs>
          <w:tab w:leader="none" w:pos="3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Production and Intervention (“PRI”)</w:t>
      </w:r>
    </w:p>
    <w:p>
      <w:pPr>
        <w:spacing w:after="0" w:line="202" w:lineRule="exact"/>
        <w:rPr>
          <w:rFonts w:ascii="Times New Roman" w:cs="Times New Roman" w:eastAsia="Times New Roman" w:hAnsi="Times New Roman"/>
          <w:sz w:val="20"/>
          <w:szCs w:val="20"/>
          <w:color w:val="auto"/>
        </w:rPr>
      </w:pPr>
    </w:p>
    <w:p>
      <w:pPr>
        <w:jc w:val="both"/>
        <w:ind w:left="980" w:hanging="324"/>
        <w:spacing w:after="0" w:line="353" w:lineRule="auto"/>
        <w:tabs>
          <w:tab w:leader="none" w:pos="989"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acquisition of Datagration Solutions Inc. added the PetroVisor and EcoVisor platforms to Weatherford’s Digital Solutions portfolio, enhancing the integration of customer data with ForeSite and Cygnet® for improved real-time analysis and decision-making.</w:t>
      </w:r>
    </w:p>
    <w:p>
      <w:pPr>
        <w:spacing w:after="0" w:line="17" w:lineRule="exact"/>
        <w:rPr>
          <w:rFonts w:ascii="Times New Roman" w:cs="Times New Roman" w:eastAsia="Times New Roman" w:hAnsi="Times New Roman"/>
          <w:sz w:val="22"/>
          <w:szCs w:val="22"/>
          <w:color w:val="auto"/>
        </w:rPr>
      </w:pPr>
    </w:p>
    <w:p>
      <w:pPr>
        <w:ind w:left="980" w:hanging="324"/>
        <w:spacing w:after="0" w:line="371" w:lineRule="auto"/>
        <w:tabs>
          <w:tab w:leader="none" w:pos="976" w:val="left"/>
        </w:tabs>
        <w:numPr>
          <w:ilvl w:val="1"/>
          <w:numId w:val="5"/>
        </w:numPr>
        <w:rPr>
          <w:rFonts w:ascii="Arial" w:cs="Arial" w:eastAsia="Arial" w:hAnsi="Arial"/>
          <w:sz w:val="22"/>
          <w:szCs w:val="22"/>
          <w:color w:val="auto"/>
        </w:rPr>
      </w:pPr>
      <w:r>
        <w:rPr>
          <w:rFonts w:ascii="Times New Roman" w:cs="Times New Roman" w:eastAsia="Times New Roman" w:hAnsi="Times New Roman"/>
          <w:sz w:val="20"/>
          <w:szCs w:val="20"/>
          <w:color w:val="auto"/>
        </w:rPr>
        <w:t>Weatherford deployed its AlphaV system for a major operator in Norway in a complex application that significantly reduced time by eliminating wellbore preparation.</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09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5"/>
          <w:szCs w:val="25"/>
          <w:b w:val="1"/>
          <w:bCs w:val="1"/>
          <w:u w:val="single" w:color="auto"/>
          <w:color w:val="auto"/>
        </w:rPr>
        <w:t>Shareholder Return</w:t>
      </w:r>
    </w:p>
    <w:p>
      <w:pPr>
        <w:spacing w:after="0" w:line="218" w:lineRule="exact"/>
        <w:rPr>
          <w:sz w:val="20"/>
          <w:szCs w:val="20"/>
          <w:color w:val="auto"/>
        </w:rPr>
      </w:pPr>
    </w:p>
    <w:p>
      <w:pPr>
        <w:spacing w:after="0" w:line="387" w:lineRule="auto"/>
        <w:rPr>
          <w:sz w:val="20"/>
          <w:szCs w:val="20"/>
          <w:color w:val="auto"/>
        </w:rPr>
      </w:pPr>
      <w:r>
        <w:rPr>
          <w:rFonts w:ascii="Times New Roman" w:cs="Times New Roman" w:eastAsia="Times New Roman" w:hAnsi="Times New Roman"/>
          <w:sz w:val="20"/>
          <w:szCs w:val="20"/>
          <w:color w:val="auto"/>
        </w:rPr>
        <w:t>During the third quarter of 2024, Weatherford repurchased shares for approximately $50 million and paid dividends of $18 million, resulting in total shareholder returns of $68 million.</w:t>
      </w:r>
    </w:p>
    <w:p>
      <w:pPr>
        <w:spacing w:after="0" w:line="1" w:lineRule="exact"/>
        <w:rPr>
          <w:sz w:val="20"/>
          <w:szCs w:val="20"/>
          <w:color w:val="auto"/>
        </w:rPr>
      </w:pPr>
    </w:p>
    <w:p>
      <w:pPr>
        <w:spacing w:after="0" w:line="395" w:lineRule="auto"/>
        <w:rPr>
          <w:sz w:val="20"/>
          <w:szCs w:val="20"/>
          <w:color w:val="auto"/>
        </w:rPr>
      </w:pPr>
      <w:r>
        <w:rPr>
          <w:rFonts w:ascii="Times New Roman" w:cs="Times New Roman" w:eastAsia="Times New Roman" w:hAnsi="Times New Roman"/>
          <w:sz w:val="20"/>
          <w:szCs w:val="20"/>
          <w:color w:val="auto"/>
        </w:rPr>
        <w:t>On October 17, 2024, our Board declared a cash dividend of $0.25 per share of the Company’s ordinary shares, payable on December 5, 2024, to shareholders of record as of November 6,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09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5"/>
          <w:szCs w:val="25"/>
          <w:b w:val="1"/>
          <w:bCs w:val="1"/>
          <w:u w:val="single" w:color="auto"/>
          <w:color w:val="auto"/>
        </w:rPr>
        <w:t>Results by Reportable Segment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Drilling and Evaluation (“DRE”)</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368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spacing w:after="0"/>
              <w:rPr>
                <w:sz w:val="21"/>
                <w:szCs w:val="21"/>
                <w:color w:val="auto"/>
              </w:rPr>
            </w:pPr>
          </w:p>
        </w:tc>
        <w:tc>
          <w:tcPr>
            <w:tcW w:w="1840" w:type="dxa"/>
            <w:vAlign w:val="bottom"/>
            <w:tcBorders>
              <w:top w:val="single" w:sz="8" w:color="auto"/>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66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68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3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jc w:val="right"/>
              <w:ind w:right="41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640" w:type="dxa"/>
            <w:vAlign w:val="bottom"/>
            <w:gridSpan w:val="3"/>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Seq.</w:t>
            </w:r>
          </w:p>
        </w:tc>
        <w:tc>
          <w:tcPr>
            <w:tcW w:w="6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YoY</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60" w:type="dxa"/>
            <w:vAlign w:val="bottom"/>
          </w:tcPr>
          <w:p>
            <w:pPr>
              <w:spacing w:after="0"/>
              <w:rPr>
                <w:sz w:val="12"/>
                <w:szCs w:val="12"/>
                <w:color w:val="auto"/>
              </w:rPr>
            </w:pPr>
          </w:p>
        </w:tc>
        <w:tc>
          <w:tcPr>
            <w:tcW w:w="12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Pr>
          <w:p>
            <w:pPr>
              <w:spacing w:after="0"/>
              <w:rPr>
                <w:sz w:val="12"/>
                <w:szCs w:val="12"/>
                <w:color w:val="auto"/>
              </w:rPr>
            </w:pP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40" w:type="dxa"/>
            <w:vAlign w:val="bottom"/>
          </w:tcPr>
          <w:p>
            <w:pPr>
              <w:spacing w:after="0"/>
              <w:rPr>
                <w:sz w:val="12"/>
                <w:szCs w:val="12"/>
                <w:color w:val="auto"/>
              </w:rPr>
            </w:pPr>
          </w:p>
        </w:tc>
        <w:tc>
          <w:tcPr>
            <w:tcW w:w="1660" w:type="dxa"/>
            <w:vAlign w:val="bottom"/>
            <w:vMerge w:val="restart"/>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40" w:type="dxa"/>
            <w:vAlign w:val="bottom"/>
            <w:gridSpan w:val="3"/>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66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3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388</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111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 EBITDA Margin</w:t>
            </w: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25.5 %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28.6 %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(493)bps</w:t>
            </w:r>
          </w:p>
        </w:tc>
        <w:tc>
          <w:tcPr>
            <w:tcW w:w="8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 bps</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spacing w:after="0" w:line="374" w:lineRule="auto"/>
        <w:rPr>
          <w:sz w:val="20"/>
          <w:szCs w:val="20"/>
          <w:color w:val="auto"/>
        </w:rPr>
      </w:pPr>
      <w:r>
        <w:rPr>
          <w:rFonts w:ascii="Times New Roman" w:cs="Times New Roman" w:eastAsia="Times New Roman" w:hAnsi="Times New Roman"/>
          <w:sz w:val="20"/>
          <w:szCs w:val="20"/>
          <w:color w:val="auto"/>
        </w:rPr>
        <w:t>Third quarter 2024 DRE revenue of $435 million increased by $8 million, or 2% sequentially, primarily from higher Drilling-related Services activity partly offset by lower MPD asset sales and lower international Wireline activity. Year-over-year DRE revenues increased by $47 million, or 12%, primarily from higher Wireline activity and Drilling-related Services activity in Middle East/North Africa/Asia.</w:t>
      </w:r>
    </w:p>
    <w:p>
      <w:pPr>
        <w:spacing w:after="0" w:line="86" w:lineRule="exact"/>
        <w:rPr>
          <w:sz w:val="20"/>
          <w:szCs w:val="20"/>
          <w:color w:val="auto"/>
        </w:rPr>
      </w:pPr>
    </w:p>
    <w:p>
      <w:pPr>
        <w:jc w:val="both"/>
        <w:spacing w:after="0" w:line="366" w:lineRule="auto"/>
        <w:rPr>
          <w:sz w:val="20"/>
          <w:szCs w:val="20"/>
          <w:color w:val="auto"/>
        </w:rPr>
      </w:pPr>
      <w:r>
        <w:rPr>
          <w:rFonts w:ascii="Times New Roman" w:cs="Times New Roman" w:eastAsia="Times New Roman" w:hAnsi="Times New Roman"/>
          <w:sz w:val="20"/>
          <w:szCs w:val="20"/>
          <w:color w:val="auto"/>
        </w:rPr>
        <w:t>Third quarter 2024 DRE segment adjusted EBITDA of $111 million decreased by $19 million, or 15% sequentially, primarily driven by lower MPD asset sales and lower international Wireline activity partly offset by higher fall-through in Drilling-related Services. Year-over-year DRE segment adjusted EBITDA remained flat as higher Drilling-related services were offset by lower margin fall through in MPD and Wireline.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Well Construction and Completions (“WCC”)</w:t>
      </w:r>
    </w:p>
    <w:p>
      <w:pPr>
        <w:spacing w:after="0" w:line="192"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368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spacing w:after="0"/>
              <w:rPr>
                <w:sz w:val="21"/>
                <w:szCs w:val="21"/>
                <w:color w:val="auto"/>
              </w:rPr>
            </w:pPr>
          </w:p>
        </w:tc>
        <w:tc>
          <w:tcPr>
            <w:tcW w:w="1860" w:type="dxa"/>
            <w:vAlign w:val="bottom"/>
            <w:tcBorders>
              <w:top w:val="single" w:sz="8" w:color="auto"/>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36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68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3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14"/>
                <w:szCs w:val="14"/>
                <w:color w:val="auto"/>
              </w:rPr>
            </w:pPr>
          </w:p>
        </w:tc>
        <w:tc>
          <w:tcPr>
            <w:tcW w:w="10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Seq.</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YoY</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80" w:type="dxa"/>
            <w:vAlign w:val="bottom"/>
          </w:tcPr>
          <w:p>
            <w:pPr>
              <w:spacing w:after="0"/>
              <w:rPr>
                <w:sz w:val="12"/>
                <w:szCs w:val="12"/>
                <w:color w:val="auto"/>
              </w:rPr>
            </w:pPr>
          </w:p>
        </w:tc>
        <w:tc>
          <w:tcPr>
            <w:tcW w:w="122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Pr>
          <w:p>
            <w:pPr>
              <w:spacing w:after="0"/>
              <w:rPr>
                <w:sz w:val="12"/>
                <w:szCs w:val="12"/>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160" w:type="dxa"/>
            <w:vAlign w:val="bottom"/>
          </w:tcPr>
          <w:p>
            <w:pPr>
              <w:spacing w:after="0"/>
              <w:rPr>
                <w:sz w:val="12"/>
                <w:szCs w:val="12"/>
                <w:color w:val="auto"/>
              </w:rPr>
            </w:pPr>
          </w:p>
        </w:tc>
        <w:tc>
          <w:tcPr>
            <w:tcW w:w="136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6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3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459</w:t>
            </w:r>
          </w:p>
        </w:tc>
        <w:tc>
          <w:tcPr>
            <w:tcW w:w="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 EBITDA Margin</w:t>
            </w:r>
          </w:p>
        </w:tc>
        <w:tc>
          <w:tcPr>
            <w:tcW w:w="1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29.7 %</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80" w:type="dxa"/>
            <w:vAlign w:val="bottom"/>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bps</w:t>
            </w:r>
          </w:p>
        </w:tc>
        <w:tc>
          <w:tcPr>
            <w:tcW w:w="10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 bps</w:t>
            </w:r>
          </w:p>
        </w:tc>
        <w:tc>
          <w:tcPr>
            <w:tcW w:w="0" w:type="dxa"/>
            <w:vAlign w:val="bottom"/>
          </w:tcPr>
          <w:p>
            <w:pPr>
              <w:spacing w:after="0"/>
              <w:rPr>
                <w:sz w:val="1"/>
                <w:szCs w:val="1"/>
                <w:color w:val="auto"/>
              </w:rPr>
            </w:pPr>
          </w:p>
        </w:tc>
      </w:tr>
    </w:tbl>
    <w:p>
      <w:pPr>
        <w:spacing w:after="0" w:line="274"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20"/>
          <w:szCs w:val="20"/>
          <w:color w:val="auto"/>
        </w:rPr>
        <w:t>Third quarter 2024 WCC revenue of $509 million increased by $5 million, or 1% sequentially, primarily due to higher international Well Services and Liner Hangers activity partly offset by lower Cementation Products in North America and Middle East/North Africa/Asia. Year-over-year WCC revenues increased by $50 million, or 11%, primarily due to higher international Completions and Liner Hangers activity, partly offset by a decrease in activity in North America.</w:t>
      </w:r>
    </w:p>
    <w:p>
      <w:pPr>
        <w:spacing w:after="0" w:line="117"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20"/>
          <w:szCs w:val="20"/>
          <w:color w:val="auto"/>
        </w:rPr>
        <w:t>Third quarter 2024 WCC segment adjusted EBITDA of $151 million increased by $6 million, or 4% sequentially, primarily due to higher international Well Services and Liner Hangers activity and product and service mix partly offset by lower Tubular Running Services activity. Year-over-year WCC segment adjusted EBITDA increased by $32 million, or 27%, primarily due to higher activity and fall-through in Tubular Running Services, Completions and Well Services.</w:t>
      </w:r>
    </w:p>
    <w:p>
      <w:pPr>
        <w:sectPr>
          <w:pgSz w:w="11900" w:h="16838" w:orient="portrait"/>
          <w:cols w:equalWidth="0" w:num="1">
            <w:col w:w="11240"/>
          </w:cols>
          <w:pgMar w:left="320" w:top="125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40"/>
          </w:cols>
          <w:pgMar w:left="320" w:top="1258"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Production and Intervention (“PRI”)</w:t>
      </w:r>
    </w:p>
    <w:p>
      <w:pPr>
        <w:spacing w:after="0" w:line="260" w:lineRule="exact"/>
        <w:rPr>
          <w:sz w:val="20"/>
          <w:szCs w:val="20"/>
          <w:color w:val="auto"/>
        </w:rPr>
      </w:pPr>
    </w:p>
    <w:tbl>
      <w:tblPr>
        <w:tblLayout w:type="fixed"/>
        <w:tblInd w:w="80" w:type="dxa"/>
        <w:tblCellMar>
          <w:top w:w="0" w:type="dxa"/>
          <w:left w:w="0" w:type="dxa"/>
          <w:bottom w:w="0" w:type="dxa"/>
          <w:right w:w="0" w:type="dxa"/>
        </w:tblCellMar>
      </w:tblPr>
      <w:tr>
        <w:trPr>
          <w:trHeight w:val="243"/>
        </w:trPr>
        <w:tc>
          <w:tcPr>
            <w:tcW w:w="368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spacing w:after="0"/>
              <w:rPr>
                <w:sz w:val="21"/>
                <w:szCs w:val="21"/>
                <w:color w:val="auto"/>
              </w:rPr>
            </w:pPr>
          </w:p>
        </w:tc>
        <w:tc>
          <w:tcPr>
            <w:tcW w:w="1840" w:type="dxa"/>
            <w:vAlign w:val="bottom"/>
            <w:tcBorders>
              <w:top w:val="single" w:sz="8" w:color="auto"/>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66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70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3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right"/>
              <w:ind w:right="41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82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Seq.</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YoY</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60" w:type="dxa"/>
            <w:vAlign w:val="bottom"/>
          </w:tcPr>
          <w:p>
            <w:pPr>
              <w:spacing w:after="0"/>
              <w:rPr>
                <w:sz w:val="12"/>
                <w:szCs w:val="12"/>
                <w:color w:val="auto"/>
              </w:rPr>
            </w:pPr>
          </w:p>
        </w:tc>
        <w:tc>
          <w:tcPr>
            <w:tcW w:w="122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Pr>
          <w:p>
            <w:pPr>
              <w:spacing w:after="0"/>
              <w:rPr>
                <w:sz w:val="12"/>
                <w:szCs w:val="12"/>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60" w:type="dxa"/>
            <w:vAlign w:val="bottom"/>
          </w:tcPr>
          <w:p>
            <w:pPr>
              <w:spacing w:after="0"/>
              <w:rPr>
                <w:sz w:val="12"/>
                <w:szCs w:val="12"/>
                <w:color w:val="auto"/>
              </w:rPr>
            </w:pPr>
          </w:p>
        </w:tc>
        <w:tc>
          <w:tcPr>
            <w:tcW w:w="1660" w:type="dxa"/>
            <w:vAlign w:val="bottom"/>
            <w:vMerge w:val="restart"/>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3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66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3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371</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86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 EBITDA Margin</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22.4 %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23.2 %</w:t>
            </w:r>
          </w:p>
        </w:tc>
        <w:tc>
          <w:tcPr>
            <w:tcW w:w="1620" w:type="dxa"/>
            <w:vAlign w:val="bottom"/>
            <w:gridSpan w:val="4"/>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(66) bps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(81)bps</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ind w:right="20"/>
        <w:spacing w:after="0" w:line="374" w:lineRule="auto"/>
        <w:rPr>
          <w:sz w:val="20"/>
          <w:szCs w:val="20"/>
          <w:color w:val="auto"/>
        </w:rPr>
      </w:pPr>
      <w:r>
        <w:rPr>
          <w:rFonts w:ascii="Times New Roman" w:cs="Times New Roman" w:eastAsia="Times New Roman" w:hAnsi="Times New Roman"/>
          <w:sz w:val="20"/>
          <w:szCs w:val="20"/>
          <w:color w:val="auto"/>
        </w:rPr>
        <w:t>Third quarter 2024 PRI revenue of $371 million increased by $2 million, or 1% sequentially, mainly due to increased Digital Solutions and Pressure Pumping activity partly offset by lower Subsea Intervention activity in Latin America. Year-over-year PRI revenue was flat, as higher international Intervention Services &amp; Drilling Tools activity was offset by a decline in Pressure Pumping activity.</w:t>
      </w:r>
    </w:p>
    <w:p>
      <w:pPr>
        <w:spacing w:after="0" w:line="126" w:lineRule="exact"/>
        <w:rPr>
          <w:sz w:val="20"/>
          <w:szCs w:val="20"/>
          <w:color w:val="auto"/>
        </w:rPr>
      </w:pPr>
    </w:p>
    <w:p>
      <w:pPr>
        <w:jc w:val="both"/>
        <w:spacing w:after="0" w:line="374" w:lineRule="auto"/>
        <w:rPr>
          <w:sz w:val="20"/>
          <w:szCs w:val="20"/>
          <w:color w:val="auto"/>
        </w:rPr>
      </w:pPr>
      <w:r>
        <w:rPr>
          <w:rFonts w:ascii="Times New Roman" w:cs="Times New Roman" w:eastAsia="Times New Roman" w:hAnsi="Times New Roman"/>
          <w:sz w:val="20"/>
          <w:szCs w:val="20"/>
          <w:color w:val="auto"/>
        </w:rPr>
        <w:t>Third quarter 2024 PRI segment adjusted EBITDA of $83 million, decreased by $2 million, or 2% sequentially, primarily from lower Artificial Lift product mix and lower Subsea Intervention fall-through. Year-over-year PRI segment adjusted EBITDA decreased by $3 million, or 3% year-over-year, primarily due to lower Pressure Pumping activity.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u w:val="single" w:color="auto"/>
          <w:color w:val="auto"/>
        </w:rPr>
        <w:t>Revenue by Geography</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Variance</w:t>
            </w:r>
          </w:p>
        </w:tc>
        <w:tc>
          <w:tcPr>
            <w:tcW w:w="0" w:type="dxa"/>
            <w:vAlign w:val="bottom"/>
          </w:tcPr>
          <w:p>
            <w:pPr>
              <w:spacing w:after="0"/>
              <w:rPr>
                <w:sz w:val="1"/>
                <w:szCs w:val="1"/>
                <w:color w:val="auto"/>
              </w:rPr>
            </w:pPr>
          </w:p>
        </w:tc>
      </w:tr>
      <w:tr>
        <w:trPr>
          <w:trHeight w:val="169"/>
        </w:trPr>
        <w:tc>
          <w:tcPr>
            <w:tcW w:w="4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3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Seq.</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YoY</w:t>
            </w:r>
          </w:p>
        </w:tc>
        <w:tc>
          <w:tcPr>
            <w:tcW w:w="0" w:type="dxa"/>
            <w:vAlign w:val="bottom"/>
          </w:tcPr>
          <w:p>
            <w:pPr>
              <w:spacing w:after="0"/>
              <w:rPr>
                <w:sz w:val="1"/>
                <w:szCs w:val="1"/>
                <w:color w:val="auto"/>
              </w:rPr>
            </w:pPr>
          </w:p>
        </w:tc>
      </w:tr>
      <w:tr>
        <w:trPr>
          <w:trHeight w:val="149"/>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 in Millions)</w:t>
            </w:r>
          </w:p>
        </w:tc>
        <w:tc>
          <w:tcPr>
            <w:tcW w:w="140" w:type="dxa"/>
            <w:vAlign w:val="bottom"/>
          </w:tcPr>
          <w:p>
            <w:pPr>
              <w:spacing w:after="0"/>
              <w:rPr>
                <w:sz w:val="12"/>
                <w:szCs w:val="12"/>
                <w:color w:val="auto"/>
              </w:rPr>
            </w:pPr>
          </w:p>
        </w:tc>
        <w:tc>
          <w:tcPr>
            <w:tcW w:w="128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2"/>
                <w:szCs w:val="12"/>
                <w:color w:val="auto"/>
              </w:rPr>
            </w:pPr>
          </w:p>
        </w:tc>
        <w:tc>
          <w:tcPr>
            <w:tcW w:w="12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200" w:type="dxa"/>
            <w:vAlign w:val="bottom"/>
          </w:tcPr>
          <w:p>
            <w:pPr>
              <w:spacing w:after="0"/>
              <w:rPr>
                <w:sz w:val="12"/>
                <w:szCs w:val="12"/>
                <w:color w:val="auto"/>
              </w:rPr>
            </w:pPr>
          </w:p>
        </w:tc>
        <w:tc>
          <w:tcPr>
            <w:tcW w:w="128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4000" w:type="dxa"/>
            <w:vAlign w:val="bottom"/>
            <w:tcBorders>
              <w:bottom w:val="single" w:sz="8" w:color="auto"/>
            </w:tcBorders>
            <w:vMerge w:val="continue"/>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vMerge w:val="continue"/>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vMerge w:val="continue"/>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vMerge w:val="continue"/>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North America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92" w:right="339" w:bottom="1440" w:gutter="0" w:footer="0" w:header="0"/>
        </w:sectPr>
      </w:pPr>
    </w:p>
    <w:p>
      <w:pPr>
        <w:spacing w:after="0" w:line="11"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3340" w:type="dxa"/>
            <w:vAlign w:val="bottom"/>
          </w:tcPr>
          <w:p>
            <w:pPr>
              <w:jc w:val="center"/>
              <w:ind w:right="2130"/>
              <w:spacing w:after="0"/>
              <w:rPr>
                <w:sz w:val="20"/>
                <w:szCs w:val="20"/>
                <w:color w:val="auto"/>
              </w:rPr>
            </w:pPr>
            <w:r>
              <w:rPr>
                <w:rFonts w:ascii="Times New Roman" w:cs="Times New Roman" w:eastAsia="Times New Roman" w:hAnsi="Times New Roman"/>
                <w:sz w:val="18"/>
                <w:szCs w:val="18"/>
                <w:color w:val="auto"/>
                <w:w w:val="99"/>
              </w:rPr>
              <w:t>International</w:t>
            </w:r>
          </w:p>
        </w:tc>
        <w:tc>
          <w:tcPr>
            <w:tcW w:w="11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1,153</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r>
      <w:tr>
        <w:trPr>
          <w:trHeight w:val="229"/>
        </w:trPr>
        <w:tc>
          <w:tcPr>
            <w:tcW w:w="3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Latin America</w:t>
            </w:r>
          </w:p>
        </w:tc>
        <w:tc>
          <w:tcPr>
            <w:tcW w:w="1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56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353</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30"/>
        </w:trPr>
        <w:tc>
          <w:tcPr>
            <w:tcW w:w="3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Middle East/North Africa/Asia</w:t>
            </w:r>
          </w:p>
        </w:tc>
        <w:tc>
          <w:tcPr>
            <w:tcW w:w="1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56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542</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r>
      <w:tr>
        <w:trPr>
          <w:trHeight w:val="234"/>
        </w:trPr>
        <w:tc>
          <w:tcPr>
            <w:tcW w:w="33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Europe/Sub-Sahara Africa/Russia</w:t>
            </w:r>
          </w:p>
        </w:tc>
        <w:tc>
          <w:tcPr>
            <w:tcW w:w="1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5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258</w:t>
            </w:r>
          </w:p>
        </w:tc>
        <w:tc>
          <w:tcPr>
            <w:tcW w:w="5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23"/>
        </w:trPr>
        <w:tc>
          <w:tcPr>
            <w:tcW w:w="3340" w:type="dxa"/>
            <w:vAlign w:val="bottom"/>
            <w:tcBorders>
              <w:bottom w:val="single" w:sz="8" w:color="auto"/>
            </w:tcBorders>
          </w:tcPr>
          <w:p>
            <w:pPr>
              <w:jc w:val="center"/>
              <w:ind w:right="2170"/>
              <w:spacing w:after="0"/>
              <w:rPr>
                <w:sz w:val="20"/>
                <w:szCs w:val="20"/>
                <w:color w:val="auto"/>
              </w:rPr>
            </w:pPr>
            <w:r>
              <w:rPr>
                <w:rFonts w:ascii="Times New Roman" w:cs="Times New Roman" w:eastAsia="Times New Roman" w:hAnsi="Times New Roman"/>
                <w:sz w:val="18"/>
                <w:szCs w:val="18"/>
                <w:color w:val="auto"/>
                <w:w w:val="98"/>
              </w:rPr>
              <w:t>Total Revenue</w:t>
            </w:r>
          </w:p>
        </w:tc>
        <w:tc>
          <w:tcPr>
            <w:tcW w:w="11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5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1,405</w:t>
            </w:r>
          </w:p>
        </w:tc>
        <w:tc>
          <w:tcPr>
            <w:tcW w:w="5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w:t>
            </w:r>
          </w:p>
        </w:tc>
      </w:tr>
      <w:tr>
        <w:trPr>
          <w:trHeight w:val="20"/>
        </w:trPr>
        <w:tc>
          <w:tcPr>
            <w:tcW w:w="3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-770890</wp:posOffset>
            </wp:positionV>
            <wp:extent cx="7046595"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46595" cy="14541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-479425</wp:posOffset>
            </wp:positionV>
            <wp:extent cx="7046595"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46595" cy="14605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-187960</wp:posOffset>
            </wp:positionV>
            <wp:extent cx="704659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4659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7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29"/>
        </w:trPr>
        <w:tc>
          <w:tcPr>
            <w:tcW w:w="17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17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34"/>
        </w:trPr>
        <w:tc>
          <w:tcPr>
            <w:tcW w:w="17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(6)%</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3"/>
        </w:trPr>
        <w:tc>
          <w:tcPr>
            <w:tcW w:w="17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0.3 %</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0"/>
        </w:trPr>
        <w:tc>
          <w:tcPr>
            <w:tcW w:w="17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400" w:space="80"/>
            <w:col w:w="2760"/>
          </w:cols>
          <w:pgMar w:left="320" w:top="1092" w:right="339" w:bottom="1440" w:gutter="0" w:footer="0" w:header="0"/>
          <w:type w:val="continuous"/>
        </w:sectPr>
      </w:pP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North America</w:t>
      </w:r>
    </w:p>
    <w:p>
      <w:pPr>
        <w:spacing w:after="0" w:line="217" w:lineRule="exact"/>
        <w:rPr>
          <w:sz w:val="20"/>
          <w:szCs w:val="20"/>
          <w:color w:val="auto"/>
        </w:rPr>
      </w:pPr>
    </w:p>
    <w:p>
      <w:pPr>
        <w:jc w:val="both"/>
        <w:spacing w:after="0" w:line="366" w:lineRule="auto"/>
        <w:rPr>
          <w:sz w:val="20"/>
          <w:szCs w:val="20"/>
          <w:color w:val="auto"/>
        </w:rPr>
      </w:pPr>
      <w:r>
        <w:rPr>
          <w:rFonts w:ascii="Times New Roman" w:cs="Times New Roman" w:eastAsia="Times New Roman" w:hAnsi="Times New Roman"/>
          <w:sz w:val="20"/>
          <w:szCs w:val="20"/>
          <w:color w:val="auto"/>
        </w:rPr>
        <w:t>Third quarter 2024 North America revenue of $266 million increased by $14 million, or 6% sequentially, primarily due to activity increase in Canada due to favorable seasonality and activity increase offshore in the Gulf of Mexico. Year-over-year, North America decreased by $3 million, or 1%, primarily from lower Tubular Running Services and Cementation Products activity offshore in the Gulf of Mexico, partly offset by an increase in Wireline activity.</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092"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International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Third quarter 2024 international revenue of $1,143 million decreased 1% sequentially and increased 9% year-over-year.</w:t>
      </w:r>
    </w:p>
    <w:p>
      <w:pPr>
        <w:spacing w:after="0" w:line="283" w:lineRule="exact"/>
        <w:rPr>
          <w:sz w:val="20"/>
          <w:szCs w:val="20"/>
          <w:color w:val="auto"/>
        </w:rPr>
      </w:pPr>
    </w:p>
    <w:p>
      <w:pPr>
        <w:jc w:val="both"/>
        <w:spacing w:after="0" w:line="395" w:lineRule="auto"/>
        <w:rPr>
          <w:sz w:val="20"/>
          <w:szCs w:val="20"/>
          <w:color w:val="auto"/>
        </w:rPr>
      </w:pPr>
      <w:r>
        <w:rPr>
          <w:rFonts w:ascii="Times New Roman" w:cs="Times New Roman" w:eastAsia="Times New Roman" w:hAnsi="Times New Roman"/>
          <w:sz w:val="20"/>
          <w:szCs w:val="20"/>
          <w:color w:val="auto"/>
        </w:rPr>
        <w:t>Third quarter 2024 Latin America revenue of $358 million increased by $5 million, or 1% sequentially, primarily due to higher Well Services in Brazil and Drilling-related Services in Mexico. Year-over-year, Latin America revenue increased by $1 million.</w:t>
      </w:r>
    </w:p>
    <w:p>
      <w:pPr>
        <w:spacing w:after="0" w:line="93"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20"/>
          <w:szCs w:val="20"/>
          <w:color w:val="auto"/>
        </w:rPr>
        <w:t>Third quarter 2024 Middle East/North Africa/Asia revenue of $542 million was flat sequentially, mainly due to increased activity in United Arab Emirates partly offset by a decrease in Integrated Services &amp; Projects activity in Oman and a decrease of activity in Kuwait. Year-over-year, the Middle East/North Africa/Asia revenue increased by $71 million, or 15%, due to an increase in activity across all product lines within the DRE and WCC segments, primarily in United Arab Emirates, Saudi Arabia, Asia and Kuwait.</w:t>
      </w:r>
    </w:p>
    <w:p>
      <w:pPr>
        <w:spacing w:after="0" w:line="117" w:lineRule="exact"/>
        <w:rPr>
          <w:sz w:val="20"/>
          <w:szCs w:val="20"/>
          <w:color w:val="auto"/>
        </w:rPr>
      </w:pPr>
    </w:p>
    <w:p>
      <w:pPr>
        <w:jc w:val="both"/>
        <w:spacing w:after="0" w:line="374" w:lineRule="auto"/>
        <w:rPr>
          <w:sz w:val="20"/>
          <w:szCs w:val="20"/>
          <w:color w:val="auto"/>
        </w:rPr>
      </w:pPr>
      <w:r>
        <w:rPr>
          <w:rFonts w:ascii="Times New Roman" w:cs="Times New Roman" w:eastAsia="Times New Roman" w:hAnsi="Times New Roman"/>
          <w:sz w:val="20"/>
          <w:szCs w:val="20"/>
          <w:color w:val="auto"/>
        </w:rPr>
        <w:t>Third quarter 2024 Europe/Sub-Sahara Africa/Russia revenue of $243 million decreased by $15 million or 6% sequentially, mainly driven by lower MPD asset sales. Year-over-year Europe/Sub-Sahara Africa/Russia revenue increased by $27 million, or 13%, due to increased activity across all segments.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09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5"/>
          <w:szCs w:val="25"/>
          <w:b w:val="1"/>
          <w:bCs w:val="1"/>
          <w:u w:val="single" w:color="auto"/>
          <w:color w:val="auto"/>
        </w:rPr>
        <w:t>About Weatherford</w:t>
      </w:r>
    </w:p>
    <w:p>
      <w:pPr>
        <w:spacing w:after="0" w:line="137" w:lineRule="exact"/>
        <w:rPr>
          <w:sz w:val="20"/>
          <w:szCs w:val="20"/>
          <w:color w:val="auto"/>
        </w:rPr>
      </w:pPr>
    </w:p>
    <w:p>
      <w:pPr>
        <w:jc w:val="both"/>
        <w:ind w:right="40"/>
        <w:spacing w:after="0" w:line="392" w:lineRule="auto"/>
        <w:rPr>
          <w:sz w:val="20"/>
          <w:szCs w:val="20"/>
          <w:color w:val="auto"/>
        </w:rPr>
      </w:pPr>
      <w:r>
        <w:rPr>
          <w:rFonts w:ascii="Times New Roman" w:cs="Times New Roman" w:eastAsia="Times New Roman" w:hAnsi="Times New Roman"/>
          <w:sz w:val="19"/>
          <w:szCs w:val="19"/>
          <w:color w:val="auto"/>
        </w:rPr>
        <w:t xml:space="preserve">Weatherford delivers innovative energy services that integrate proven technologies with advanced digitalization to create sustainable offerings for maximized value and return on investment. Our world-class experts partner with customers to optimize their resources and realize the full potential of their assets. Operators choose us for strategic solutions that add efficiency, flexibility, and responsibility to any energy operation. The Company conducts business in approximately 75 countries and has approximately 19,000 team members representing more than 110 nationalities and 330 operating locations. Visit </w:t>
      </w:r>
      <w:r>
        <w:rPr>
          <w:rFonts w:ascii="Times New Roman" w:cs="Times New Roman" w:eastAsia="Times New Roman" w:hAnsi="Times New Roman"/>
          <w:sz w:val="19"/>
          <w:szCs w:val="19"/>
          <w:u w:val="single" w:color="auto"/>
          <w:color w:val="3051F2"/>
        </w:rPr>
        <w:t>weatherford.com</w:t>
      </w:r>
      <w:r>
        <w:rPr>
          <w:rFonts w:ascii="Times New Roman" w:cs="Times New Roman" w:eastAsia="Times New Roman" w:hAnsi="Times New Roman"/>
          <w:sz w:val="19"/>
          <w:szCs w:val="19"/>
          <w:color w:val="auto"/>
        </w:rPr>
        <w:t xml:space="preserve"> for more information and connect with us on social media.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u w:val="single" w:color="auto"/>
          <w:color w:val="auto"/>
        </w:rPr>
        <w:t>Conference Call Details</w:t>
      </w:r>
    </w:p>
    <w:p>
      <w:pPr>
        <w:spacing w:after="0" w:line="313" w:lineRule="exact"/>
        <w:rPr>
          <w:sz w:val="20"/>
          <w:szCs w:val="20"/>
          <w:color w:val="auto"/>
        </w:rPr>
      </w:pPr>
    </w:p>
    <w:p>
      <w:pPr>
        <w:jc w:val="both"/>
        <w:ind w:right="20"/>
        <w:spacing w:after="0" w:line="381" w:lineRule="auto"/>
        <w:rPr>
          <w:sz w:val="20"/>
          <w:szCs w:val="20"/>
          <w:color w:val="auto"/>
        </w:rPr>
      </w:pPr>
      <w:r>
        <w:rPr>
          <w:rFonts w:ascii="Times New Roman" w:cs="Times New Roman" w:eastAsia="Times New Roman" w:hAnsi="Times New Roman"/>
          <w:sz w:val="20"/>
          <w:szCs w:val="20"/>
          <w:color w:val="auto"/>
        </w:rPr>
        <w:t>Weatherford will host a conference call on Wednesday, October 23, 2024, to discuss the Company’s results for the third quarter ended September 30, 2024. The conference call will begin at 8:30 a.m. Eastern Time (7:30 a.m. Central Time).</w:t>
      </w:r>
    </w:p>
    <w:p>
      <w:pPr>
        <w:spacing w:after="0" w:line="39" w:lineRule="exact"/>
        <w:rPr>
          <w:sz w:val="20"/>
          <w:szCs w:val="20"/>
          <w:color w:val="auto"/>
        </w:rPr>
      </w:pPr>
    </w:p>
    <w:p>
      <w:pPr>
        <w:jc w:val="both"/>
        <w:spacing w:after="0" w:line="395" w:lineRule="auto"/>
        <w:rPr>
          <w:sz w:val="20"/>
          <w:szCs w:val="20"/>
          <w:color w:val="auto"/>
        </w:rPr>
      </w:pPr>
      <w:r>
        <w:rPr>
          <w:rFonts w:ascii="Times New Roman" w:cs="Times New Roman" w:eastAsia="Times New Roman" w:hAnsi="Times New Roman"/>
          <w:sz w:val="20"/>
          <w:szCs w:val="20"/>
          <w:color w:val="auto"/>
        </w:rPr>
        <w:t>Listeners are encouraged to download the accompanying presentation slides which will be available in the investor relations section of the Company’s website.</w:t>
      </w:r>
    </w:p>
    <w:p>
      <w:pPr>
        <w:spacing w:after="0" w:line="26" w:lineRule="exact"/>
        <w:rPr>
          <w:sz w:val="20"/>
          <w:szCs w:val="20"/>
          <w:color w:val="auto"/>
        </w:rPr>
      </w:pPr>
    </w:p>
    <w:p>
      <w:pPr>
        <w:jc w:val="both"/>
        <w:spacing w:after="0" w:line="374" w:lineRule="auto"/>
        <w:rPr>
          <w:sz w:val="20"/>
          <w:szCs w:val="20"/>
          <w:color w:val="auto"/>
        </w:rPr>
      </w:pPr>
      <w:r>
        <w:rPr>
          <w:rFonts w:ascii="Times New Roman" w:cs="Times New Roman" w:eastAsia="Times New Roman" w:hAnsi="Times New Roman"/>
          <w:sz w:val="20"/>
          <w:szCs w:val="20"/>
          <w:color w:val="auto"/>
        </w:rPr>
        <w:t>Listeners can participate in the conference call via a live webcast at https://www.weatherford.com/investor-relations/investor-news-and-events/events/ or by dialing +1 877-328-5344 (within the U.S.) or +1 412-902-6762 (outside of the U.S.) and asking for the Weatherford conference call. Participants should log in or dial in approximately 10 minutes prior to the start of the call.</w:t>
      </w:r>
    </w:p>
    <w:p>
      <w:pPr>
        <w:spacing w:after="0" w:line="45" w:lineRule="exact"/>
        <w:rPr>
          <w:sz w:val="20"/>
          <w:szCs w:val="20"/>
          <w:color w:val="auto"/>
        </w:rPr>
      </w:pPr>
    </w:p>
    <w:p>
      <w:pPr>
        <w:jc w:val="both"/>
        <w:spacing w:after="0" w:line="374" w:lineRule="auto"/>
        <w:rPr>
          <w:sz w:val="20"/>
          <w:szCs w:val="20"/>
          <w:color w:val="auto"/>
        </w:rPr>
      </w:pPr>
      <w:r>
        <w:rPr>
          <w:rFonts w:ascii="Times New Roman" w:cs="Times New Roman" w:eastAsia="Times New Roman" w:hAnsi="Times New Roman"/>
          <w:sz w:val="20"/>
          <w:szCs w:val="20"/>
          <w:color w:val="auto"/>
        </w:rPr>
        <w:t>A telephonic replay of the conference call will be available until November 6, 2024, at 5:00 p.m. Eastern Time. To access the replay, please dial +1 877-344-7529 (within the U.S.) or +1 412-317-0088 (outside of the U.S.) and reference conference number 6410466. A replay and transcript of the earnings call will also be available in the investor relations section of the Company’s website.</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u w:val="single" w:color="auto"/>
          <w:color w:val="auto"/>
        </w:rPr>
        <w:t>Contacts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Investors: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Luke Lemoine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Senior Vice President, Corporate Development and Investor Relations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+1 713-836-7777</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E32E1"/>
        </w:rPr>
        <w:t>investor.relations@weatherford.com</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Media:</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Kelley Hughes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Senior Director, Communications &amp; Employee Engagement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+1 713-836-4193</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E32E1"/>
        </w:rPr>
        <w:t>media@weatherford.com</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05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5"/>
          <w:szCs w:val="25"/>
          <w:b w:val="1"/>
          <w:bCs w:val="1"/>
          <w:u w:val="single" w:color="auto"/>
          <w:color w:val="auto"/>
        </w:rPr>
        <w:t>Forward-Looking Statements</w:t>
      </w:r>
    </w:p>
    <w:p>
      <w:pPr>
        <w:spacing w:after="0" w:line="340"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20"/>
          <w:szCs w:val="20"/>
          <w:color w:val="auto"/>
        </w:rPr>
        <w:t>This news release contains projections and forward-looking statements concerning, among other things, the Company’s quarterly and full-year revenues, adjusted EBITDA*, adjusted EBITDA margin*, adjusted free cash flow*, net leverage*, shareholder return program, forecasts or expectations regarding business outlook, prospects for its operations, capital expenditures, expectations regarding future financial results,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cautioned that forward-looking statements are only predictions and may differ materially from actual future events or results, based on factors including but not limited to: global political disturbances, war, terrorist attacks, changes in global trade policies, weak local economic conditions and international currency fluctuations; general global economic repercussions related to U.S. and global inflationary pressures and potential recessionary concerns; various effects from conflicts in the Middle East and the Russia Ukraine conflict, including, but not limited to, nationalization of assets, extended business interruptions, sanctions, treaties and regulations imposed by various countries, associated operational and logistical challenges, and impacts to the overall global energy supply; cybersecurity issues; our ability to comply with, and respond to, climate change, environmental, social and governance and other sustainability initiatives and future legislative and regulatory measures both globally and in specific geographic regions; the potential for a resurgence of a pandemic in a given geographic area and related disruptions to our business, employees, customers, suppliers and other partners; the price and price volatility of, and demand for, oil and natural gas; the macroeconomic outlook for the oil and gas industry; our ability to generate cash flow from operations to fund our operations; our ability to effectively and timely adapt our technology portfolio, products and services to address and participate in changes to the market demands for the transition to alternate sources of energy such as geothermal, carbon capture and responsible abandonment, including our digitalization efforts; our ability to return capital to shareholders, including those related to the timing and amounts (including any plans or commitments in respect thereof) of any dividends and share repurchases; and the realization of additional cost savings and operational efficiencies.</w:t>
      </w:r>
    </w:p>
    <w:p>
      <w:pPr>
        <w:spacing w:after="0" w:line="76" w:lineRule="exact"/>
        <w:rPr>
          <w:sz w:val="20"/>
          <w:szCs w:val="20"/>
          <w:color w:val="auto"/>
        </w:rPr>
      </w:pPr>
    </w:p>
    <w:p>
      <w:pPr>
        <w:jc w:val="both"/>
        <w:spacing w:after="0" w:line="335" w:lineRule="auto"/>
        <w:rPr>
          <w:sz w:val="20"/>
          <w:szCs w:val="20"/>
          <w:color w:val="auto"/>
        </w:rPr>
      </w:pPr>
      <w:r>
        <w:rPr>
          <w:rFonts w:ascii="Times New Roman" w:cs="Times New Roman" w:eastAsia="Times New Roman" w:hAnsi="Times New Roman"/>
          <w:sz w:val="20"/>
          <w:szCs w:val="20"/>
          <w:color w:val="auto"/>
        </w:rPr>
        <w:t>These risks and uncertainties are more fully described in Weatherford’s reports and registration statements filed with the Securities and Exchange Commission (the “SEC”), including the risk factors described in the Company’s Annual Report on Form 10-K and Quarterly Reports on Form 10-Q. Accordingly, you should not place undue reliance on any of the Company’s forward-looking statements. Any forward-looking statement speaks only as of the date on which such statement is made, and the Company undertakes no obligation to correct or update any forward-looking statement, whether as a result of new information, future events or otherwise, except as required by applicable law, and we caution you not to rely on them unduly.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*Non-GAAP - refer to the section titled Non-GAAP Financial Measures Defined and GAAP to Non-GAAP Financial Measures Reconciled</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299"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Statements of Operations (Unaudited)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6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0" w:type="dxa"/>
            <w:vAlign w:val="bottom"/>
          </w:tcPr>
          <w:p>
            <w:pPr>
              <w:spacing w:after="0"/>
              <w:rPr>
                <w:sz w:val="20"/>
                <w:szCs w:val="20"/>
                <w:color w:val="auto"/>
              </w:rPr>
            </w:pPr>
          </w:p>
        </w:tc>
        <w:tc>
          <w:tcPr>
            <w:tcW w:w="210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 in Millions, Except Per Share Amounts)</w:t>
            </w:r>
          </w:p>
        </w:tc>
        <w:tc>
          <w:tcPr>
            <w:tcW w:w="1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2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center"/>
              <w:ind w:right="130"/>
              <w:spacing w:after="0" w:line="169" w:lineRule="exact"/>
              <w:rPr>
                <w:sz w:val="20"/>
                <w:szCs w:val="20"/>
                <w:color w:val="auto"/>
              </w:rPr>
            </w:pPr>
            <w:r>
              <w:rPr>
                <w:rFonts w:ascii="Times New Roman" w:cs="Times New Roman" w:eastAsia="Times New Roman" w:hAnsi="Times New Roman"/>
                <w:sz w:val="18"/>
                <w:szCs w:val="18"/>
                <w:b w:val="1"/>
                <w:bCs w:val="1"/>
                <w:color w:val="auto"/>
                <w:w w:val="97"/>
              </w:rPr>
              <w:t>June</w:t>
            </w: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30"/>
              <w:spacing w:after="0" w:line="169" w:lineRule="exact"/>
              <w:rPr>
                <w:sz w:val="20"/>
                <w:szCs w:val="20"/>
                <w:color w:val="auto"/>
              </w:rPr>
            </w:pPr>
            <w:r>
              <w:rPr>
                <w:rFonts w:ascii="Times New Roman" w:cs="Times New Roman" w:eastAsia="Times New Roman" w:hAnsi="Times New Roman"/>
                <w:sz w:val="18"/>
                <w:szCs w:val="18"/>
                <w:b w:val="1"/>
                <w:bCs w:val="1"/>
                <w:color w:val="auto"/>
                <w:w w:val="96"/>
              </w:rPr>
              <w:t>September</w:t>
            </w:r>
          </w:p>
        </w:tc>
        <w:tc>
          <w:tcPr>
            <w:tcW w:w="120" w:type="dxa"/>
            <w:vAlign w:val="bottom"/>
          </w:tcPr>
          <w:p>
            <w:pPr>
              <w:spacing w:after="0"/>
              <w:rPr>
                <w:sz w:val="14"/>
                <w:szCs w:val="14"/>
                <w:color w:val="auto"/>
              </w:rPr>
            </w:pPr>
          </w:p>
        </w:tc>
        <w:tc>
          <w:tcPr>
            <w:tcW w:w="1240" w:type="dxa"/>
            <w:vAlign w:val="bottom"/>
            <w:tcBorders>
              <w:top w:val="single" w:sz="8" w:color="auto"/>
            </w:tcBorders>
            <w:gridSpan w:val="2"/>
          </w:tcPr>
          <w:p>
            <w:pPr>
              <w:jc w:val="right"/>
              <w:ind w:right="230"/>
              <w:spacing w:after="0" w:line="169"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1000" w:type="dxa"/>
            <w:vAlign w:val="bottom"/>
            <w:tcBorders>
              <w:top w:val="single" w:sz="8" w:color="auto"/>
            </w:tcBorders>
            <w:gridSpan w:val="2"/>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0" w:type="dxa"/>
            <w:vAlign w:val="bottom"/>
          </w:tcPr>
          <w:p>
            <w:pPr>
              <w:spacing w:after="0"/>
              <w:rPr>
                <w:sz w:val="1"/>
                <w:szCs w:val="1"/>
                <w:color w:val="auto"/>
              </w:rPr>
            </w:pPr>
          </w:p>
        </w:tc>
      </w:tr>
      <w:tr>
        <w:trPr>
          <w:trHeight w:val="243"/>
        </w:trPr>
        <w:tc>
          <w:tcPr>
            <w:tcW w:w="54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30, 2023</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30, 2023</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DRE 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1,284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0" w:type="dxa"/>
            <w:vAlign w:val="bottom"/>
          </w:tcPr>
          <w:p>
            <w:pPr>
              <w:spacing w:after="0"/>
              <w:rPr>
                <w:sz w:val="1"/>
                <w:szCs w:val="1"/>
                <w:color w:val="auto"/>
              </w:rPr>
            </w:pPr>
          </w:p>
        </w:tc>
      </w:tr>
      <w:tr>
        <w:trPr>
          <w:trHeight w:val="229"/>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WCC Revenues</w:t>
            </w:r>
          </w:p>
        </w:tc>
        <w:tc>
          <w:tcPr>
            <w:tcW w:w="10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509</w:t>
            </w:r>
          </w:p>
        </w:tc>
        <w:tc>
          <w:tcPr>
            <w:tcW w:w="2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504</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1,471</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 Revenues</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371</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369</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1,088</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0" w:type="dxa"/>
            <w:vAlign w:val="bottom"/>
          </w:tcPr>
          <w:p>
            <w:pPr>
              <w:spacing w:after="0"/>
              <w:rPr>
                <w:sz w:val="1"/>
                <w:szCs w:val="1"/>
                <w:color w:val="auto"/>
              </w:rPr>
            </w:pPr>
          </w:p>
        </w:tc>
      </w:tr>
      <w:tr>
        <w:trPr>
          <w:trHeight w:val="229"/>
        </w:trPr>
        <w:tc>
          <w:tcPr>
            <w:tcW w:w="5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All Other</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329</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1,409</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1,405</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4,172</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w:t>
            </w:r>
          </w:p>
        </w:tc>
        <w:tc>
          <w:tcPr>
            <w:tcW w:w="0" w:type="dxa"/>
            <w:vAlign w:val="bottom"/>
          </w:tcPr>
          <w:p>
            <w:pPr>
              <w:spacing w:after="0"/>
              <w:rPr>
                <w:sz w:val="1"/>
                <w:szCs w:val="1"/>
                <w:color w:val="auto"/>
              </w:rPr>
            </w:pPr>
          </w:p>
        </w:tc>
      </w:tr>
      <w:tr>
        <w:trPr>
          <w:trHeight w:val="270"/>
        </w:trPr>
        <w:tc>
          <w:tcPr>
            <w:tcW w:w="5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DRE Segment Adjusted EBITDA</w:t>
            </w:r>
            <w:r>
              <w:rPr>
                <w:rFonts w:ascii="Times New Roman" w:cs="Times New Roman" w:eastAsia="Times New Roman" w:hAnsi="Times New Roman"/>
                <w:sz w:val="23"/>
                <w:szCs w:val="23"/>
                <w:color w:val="auto"/>
                <w:vertAlign w:val="superscript"/>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371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WCC Segment Adjusted EBITDA</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151</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416</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29"/>
        </w:trPr>
        <w:tc>
          <w:tcPr>
            <w:tcW w:w="54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PRI Segment Adjusted EBITDA</w:t>
            </w:r>
            <w:r>
              <w:rPr>
                <w:rFonts w:ascii="Times New Roman" w:cs="Times New Roman" w:eastAsia="Times New Roman" w:hAnsi="Times New Roman"/>
                <w:sz w:val="23"/>
                <w:szCs w:val="23"/>
                <w:color w:val="auto"/>
                <w:vertAlign w:val="superscript"/>
              </w:rPr>
              <w:t>[1]</w:t>
            </w:r>
          </w:p>
        </w:tc>
        <w:tc>
          <w:tcPr>
            <w:tcW w:w="10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241</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3"/>
                <w:szCs w:val="23"/>
                <w:color w:val="auto"/>
                <w:vertAlign w:val="superscript"/>
              </w:rPr>
              <w:t>[2]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54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3"/>
                <w:szCs w:val="23"/>
                <w:color w:val="auto"/>
                <w:vertAlign w:val="superscript"/>
              </w:rPr>
              <w:t>[2]</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(260)</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54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(Charges) Credits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5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243</w:t>
            </w:r>
          </w:p>
        </w:tc>
        <w:tc>
          <w:tcPr>
            <w:tcW w:w="2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264</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740</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56"/>
        </w:trPr>
        <w:tc>
          <w:tcPr>
            <w:tcW w:w="5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 of Interest Income of $13, $17, $15, $44 and $47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Blue Chip Swap Securities</w:t>
            </w:r>
          </w:p>
        </w:tc>
        <w:tc>
          <w:tcPr>
            <w:tcW w:w="10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3"/>
        </w:trPr>
        <w:tc>
          <w:tcPr>
            <w:tcW w:w="5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w:t>
            </w:r>
          </w:p>
        </w:tc>
        <w:tc>
          <w:tcPr>
            <w:tcW w:w="2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570</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Provision</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(144)</w:t>
            </w: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3"/>
        </w:trPr>
        <w:tc>
          <w:tcPr>
            <w:tcW w:w="5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w:t>
            </w:r>
          </w:p>
        </w:tc>
        <w:tc>
          <w:tcPr>
            <w:tcW w:w="2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426</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Net Income Attributable to Weatherford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394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0"/>
        </w:trPr>
        <w:tc>
          <w:tcPr>
            <w:tcW w:w="5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Income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5.39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73.2</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73.2</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73.1</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70"/>
        </w:trPr>
        <w:tc>
          <w:tcPr>
            <w:tcW w:w="5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Diluted Income Per Share </w:t>
            </w:r>
            <w:r>
              <w:rPr>
                <w:rFonts w:ascii="Times New Roman" w:cs="Times New Roman" w:eastAsia="Times New Roman" w:hAnsi="Times New Roman"/>
                <w:sz w:val="23"/>
                <w:szCs w:val="23"/>
                <w:color w:val="auto"/>
                <w:vertAlign w:val="superscript"/>
              </w:rPr>
              <w:t>[3]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34"/>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0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75.2</w:t>
            </w:r>
          </w:p>
        </w:tc>
        <w:tc>
          <w:tcPr>
            <w:tcW w:w="2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75.3</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60" w:right="560" w:hanging="252"/>
        <w:spacing w:after="0" w:line="261" w:lineRule="auto"/>
        <w:tabs>
          <w:tab w:leader="none" w:pos="257" w:val="left"/>
        </w:tabs>
        <w:numPr>
          <w:ilvl w:val="0"/>
          <w:numId w:val="6"/>
        </w:numPr>
        <w:rPr>
          <w:rFonts w:ascii="Calibri" w:cs="Calibri" w:eastAsia="Calibri" w:hAnsi="Calibri"/>
          <w:sz w:val="9"/>
          <w:szCs w:val="9"/>
          <w:color w:val="auto"/>
        </w:rPr>
      </w:pPr>
      <w:r>
        <w:rPr>
          <w:rFonts w:ascii="Times New Roman" w:cs="Times New Roman" w:eastAsia="Times New Roman" w:hAnsi="Times New Roman"/>
          <w:sz w:val="14"/>
          <w:szCs w:val="14"/>
          <w:color w:val="auto"/>
        </w:rPr>
        <w:t>Segment adjusted EBITDA is our primary measure of segment profitability under U.S. GAAP ASC 280 “Segment Reporting” and represents segment earnings before interest, taxes, depreciation, amortization, share-based compensation expense and other adjustments. Research and development expenses are included in segment adjusted EBITDA.</w:t>
      </w:r>
    </w:p>
    <w:p>
      <w:pPr>
        <w:ind w:left="260" w:right="60" w:hanging="252"/>
        <w:spacing w:after="0" w:line="261" w:lineRule="auto"/>
        <w:tabs>
          <w:tab w:leader="none" w:pos="257" w:val="left"/>
        </w:tabs>
        <w:numPr>
          <w:ilvl w:val="0"/>
          <w:numId w:val="6"/>
        </w:numPr>
        <w:rPr>
          <w:rFonts w:ascii="Calibri" w:cs="Calibri" w:eastAsia="Calibri" w:hAnsi="Calibri"/>
          <w:sz w:val="9"/>
          <w:szCs w:val="9"/>
          <w:color w:val="auto"/>
        </w:rPr>
      </w:pPr>
      <w:r>
        <w:rPr>
          <w:rFonts w:ascii="Times New Roman" w:cs="Times New Roman" w:eastAsia="Times New Roman" w:hAnsi="Times New Roman"/>
          <w:sz w:val="14"/>
          <w:szCs w:val="14"/>
          <w:color w:val="auto"/>
        </w:rPr>
        <w:t>All Other results were from non-core business activities related to all other segments (profit and loss) and Corporate includes overhead support and centrally managed or shared facility costs. All Other and Corporate do not individually meet the criteria for segment reporting.</w:t>
      </w:r>
    </w:p>
    <w:p>
      <w:pPr>
        <w:ind w:left="260" w:right="140" w:hanging="252"/>
        <w:spacing w:after="0" w:line="283" w:lineRule="auto"/>
        <w:tabs>
          <w:tab w:leader="none" w:pos="257" w:val="left"/>
        </w:tabs>
        <w:numPr>
          <w:ilvl w:val="0"/>
          <w:numId w:val="6"/>
        </w:numPr>
        <w:rPr>
          <w:rFonts w:ascii="Calibri" w:cs="Calibri" w:eastAsia="Calibri" w:hAnsi="Calibri"/>
          <w:sz w:val="9"/>
          <w:szCs w:val="9"/>
          <w:color w:val="auto"/>
        </w:rPr>
      </w:pPr>
      <w:r>
        <w:rPr>
          <w:rFonts w:ascii="Times New Roman" w:cs="Times New Roman" w:eastAsia="Times New Roman" w:hAnsi="Times New Roman"/>
          <w:sz w:val="14"/>
          <w:szCs w:val="14"/>
          <w:color w:val="auto"/>
        </w:rPr>
        <w:t>Included the maximum potentially dilutive shares contingently issuable for an acquisition consideration during the three months ended September 30, 2024, the value of which was adjusted out of Net Income Attributable to Weatherford in calculating diluted income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319"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Balance Sheet Data (Unaudited)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 in Millions)</w:t>
            </w:r>
          </w:p>
        </w:tc>
        <w:tc>
          <w:tcPr>
            <w:tcW w:w="22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3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920</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280" w:type="dxa"/>
            <w:vAlign w:val="bottom"/>
          </w:tcPr>
          <w:p>
            <w:pPr>
              <w:spacing w:after="0"/>
              <w:rPr>
                <w:sz w:val="19"/>
                <w:szCs w:val="19"/>
                <w:color w:val="auto"/>
              </w:rPr>
            </w:pP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1,231</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2280" w:type="dxa"/>
            <w:vAlign w:val="bottom"/>
          </w:tcPr>
          <w:p>
            <w:pPr>
              <w:spacing w:after="0"/>
              <w:rPr>
                <w:sz w:val="19"/>
                <w:szCs w:val="19"/>
                <w:color w:val="auto"/>
              </w:rPr>
            </w:pP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919</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1,050</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r>
      <w:tr>
        <w:trPr>
          <w:trHeight w:val="229"/>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Intangibles, Net</w:t>
            </w:r>
          </w:p>
        </w:tc>
        <w:tc>
          <w:tcPr>
            <w:tcW w:w="2280" w:type="dxa"/>
            <w:vAlign w:val="bottom"/>
          </w:tcPr>
          <w:p>
            <w:pPr>
              <w:spacing w:after="0"/>
              <w:rPr>
                <w:sz w:val="19"/>
                <w:szCs w:val="19"/>
                <w:color w:val="auto"/>
              </w:rPr>
            </w:pP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356</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70"/>
        </w:trPr>
        <w:tc>
          <w:tcPr>
            <w:tcW w:w="4820" w:type="dxa"/>
            <w:vAlign w:val="bottom"/>
            <w:shd w:val="clear" w:color="auto" w:fill="CCEEFF"/>
          </w:tcPr>
          <w:p>
            <w:pPr>
              <w:spacing w:after="0"/>
              <w:rPr>
                <w:sz w:val="23"/>
                <w:szCs w:val="23"/>
                <w:color w:val="auto"/>
              </w:rPr>
            </w:pPr>
          </w:p>
        </w:tc>
        <w:tc>
          <w:tcPr>
            <w:tcW w:w="228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723</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r>
      <w:tr>
        <w:trPr>
          <w:trHeight w:val="229"/>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2280" w:type="dxa"/>
            <w:vAlign w:val="bottom"/>
          </w:tcPr>
          <w:p>
            <w:pPr>
              <w:spacing w:after="0"/>
              <w:rPr>
                <w:sz w:val="19"/>
                <w:szCs w:val="19"/>
                <w:color w:val="auto"/>
              </w:rPr>
            </w:pP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328</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30"/>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29"/>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2280" w:type="dxa"/>
            <w:vAlign w:val="bottom"/>
          </w:tcPr>
          <w:p>
            <w:pPr>
              <w:spacing w:after="0"/>
              <w:rPr>
                <w:sz w:val="19"/>
                <w:szCs w:val="19"/>
                <w:color w:val="auto"/>
              </w:rPr>
            </w:pP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1,627</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r>
      <w:tr>
        <w:trPr>
          <w:trHeight w:val="270"/>
        </w:trPr>
        <w:tc>
          <w:tcPr>
            <w:tcW w:w="4820" w:type="dxa"/>
            <w:vAlign w:val="bottom"/>
            <w:shd w:val="clear" w:color="auto" w:fill="CCEEFF"/>
          </w:tcPr>
          <w:p>
            <w:pPr>
              <w:spacing w:after="0"/>
              <w:rPr>
                <w:sz w:val="23"/>
                <w:szCs w:val="23"/>
                <w:color w:val="auto"/>
              </w:rPr>
            </w:pPr>
          </w:p>
        </w:tc>
        <w:tc>
          <w:tcPr>
            <w:tcW w:w="228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1,356</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r>
    </w:tbl>
    <w:p>
      <w:pPr>
        <w:spacing w:after="0" w:line="48" w:lineRule="exact"/>
        <w:rPr>
          <w:sz w:val="20"/>
          <w:szCs w:val="20"/>
          <w:color w:val="auto"/>
        </w:rPr>
      </w:pPr>
    </w:p>
    <w:p>
      <w:pPr>
        <w:ind w:left="340" w:hanging="170"/>
        <w:spacing w:after="0"/>
        <w:tabs>
          <w:tab w:leader="none" w:pos="340" w:val="left"/>
        </w:tabs>
        <w:numPr>
          <w:ilvl w:val="0"/>
          <w:numId w:val="7"/>
        </w:numPr>
        <w:rPr>
          <w:rFonts w:ascii="Times New Roman" w:cs="Times New Roman" w:eastAsia="Times New Roman" w:hAnsi="Times New Roman"/>
          <w:sz w:val="21"/>
          <w:szCs w:val="21"/>
          <w:color w:val="FFFFFF"/>
          <w:vertAlign w:val="superscript"/>
        </w:rPr>
      </w:pPr>
      <w:r>
        <w:rPr>
          <w:rFonts w:ascii="Times New Roman" w:cs="Times New Roman" w:eastAsia="Times New Roman" w:hAnsi="Times New Roman"/>
          <w:sz w:val="15"/>
          <w:szCs w:val="15"/>
          <w:color w:val="FFFFFF"/>
        </w:rPr>
        <w:t>Net debt is a non-GAAP measure calculated as total short and long-term debt less cash and cash equivalents and restricted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076"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Cash Flows Information (Unaudited)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9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 in Millions)</w:t>
            </w:r>
          </w:p>
        </w:tc>
        <w:tc>
          <w:tcPr>
            <w:tcW w:w="120" w:type="dxa"/>
            <w:vAlign w:val="bottom"/>
          </w:tcPr>
          <w:p>
            <w:pPr>
              <w:spacing w:after="0"/>
              <w:rPr>
                <w:sz w:val="14"/>
                <w:szCs w:val="14"/>
                <w:color w:val="auto"/>
              </w:rPr>
            </w:pPr>
          </w:p>
        </w:tc>
        <w:tc>
          <w:tcPr>
            <w:tcW w:w="1020" w:type="dxa"/>
            <w:vAlign w:val="bottom"/>
          </w:tcPr>
          <w:p>
            <w:pPr>
              <w:jc w:val="right"/>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280" w:type="dxa"/>
            <w:vAlign w:val="bottom"/>
          </w:tcPr>
          <w:p>
            <w:pPr>
              <w:spacing w:after="0"/>
              <w:rPr>
                <w:sz w:val="14"/>
                <w:szCs w:val="14"/>
                <w:color w:val="auto"/>
              </w:rPr>
            </w:pPr>
          </w:p>
        </w:tc>
        <w:tc>
          <w:tcPr>
            <w:tcW w:w="1120" w:type="dxa"/>
            <w:vAlign w:val="bottom"/>
          </w:tcPr>
          <w:p>
            <w:pPr>
              <w:jc w:val="right"/>
              <w:ind w:right="430"/>
              <w:spacing w:after="0" w:line="169" w:lineRule="exact"/>
              <w:rPr>
                <w:sz w:val="20"/>
                <w:szCs w:val="20"/>
                <w:color w:val="auto"/>
              </w:rPr>
            </w:pPr>
            <w:r>
              <w:rPr>
                <w:rFonts w:ascii="Times New Roman" w:cs="Times New Roman" w:eastAsia="Times New Roman" w:hAnsi="Times New Roman"/>
                <w:sz w:val="18"/>
                <w:szCs w:val="18"/>
                <w:b w:val="1"/>
                <w:bCs w:val="1"/>
                <w:color w:val="auto"/>
              </w:rPr>
              <w:t>June</w:t>
            </w:r>
          </w:p>
        </w:tc>
        <w:tc>
          <w:tcPr>
            <w:tcW w:w="180" w:type="dxa"/>
            <w:vAlign w:val="bottom"/>
          </w:tcPr>
          <w:p>
            <w:pPr>
              <w:spacing w:after="0"/>
              <w:rPr>
                <w:sz w:val="14"/>
                <w:szCs w:val="14"/>
                <w:color w:val="auto"/>
              </w:rPr>
            </w:pPr>
          </w:p>
        </w:tc>
        <w:tc>
          <w:tcPr>
            <w:tcW w:w="980" w:type="dxa"/>
            <w:vAlign w:val="bottom"/>
          </w:tcPr>
          <w:p>
            <w:pPr>
              <w:jc w:val="right"/>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180" w:type="dxa"/>
            <w:vAlign w:val="bottom"/>
          </w:tcPr>
          <w:p>
            <w:pPr>
              <w:spacing w:after="0"/>
              <w:rPr>
                <w:sz w:val="14"/>
                <w:szCs w:val="14"/>
                <w:color w:val="auto"/>
              </w:rPr>
            </w:pPr>
          </w:p>
        </w:tc>
        <w:tc>
          <w:tcPr>
            <w:tcW w:w="980" w:type="dxa"/>
            <w:vAlign w:val="bottom"/>
          </w:tcPr>
          <w:p>
            <w:pPr>
              <w:jc w:val="right"/>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0" w:type="dxa"/>
            <w:vAlign w:val="bottom"/>
          </w:tcPr>
          <w:p>
            <w:pPr>
              <w:spacing w:after="0"/>
              <w:rPr>
                <w:sz w:val="1"/>
                <w:szCs w:val="1"/>
                <w:color w:val="auto"/>
              </w:rPr>
            </w:pPr>
          </w:p>
        </w:tc>
      </w:tr>
      <w:tr>
        <w:trPr>
          <w:trHeight w:val="243"/>
        </w:trPr>
        <w:tc>
          <w:tcPr>
            <w:tcW w:w="51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30, 2023</w:t>
            </w: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30, 2023</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176"/>
        </w:trPr>
        <w:tc>
          <w:tcPr>
            <w:tcW w:w="5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Adjustments to Reconcile Net Income to Net Cash Provided By</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w:t>
            </w: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260</w:t>
            </w: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29"/>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 Losses</w:t>
            </w:r>
          </w:p>
        </w:tc>
        <w:tc>
          <w:tcPr>
            <w:tcW w:w="1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Blue Chip Swap Securities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9"/>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Income Tax Provision (Benefit)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9"/>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76"/>
        </w:trPr>
        <w:tc>
          <w:tcPr>
            <w:tcW w:w="51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Changes in Accounts Receivable, Inventory, Accounts Payable and</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Changes, Net</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543</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Expenditures for Property, Plant and Equipment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Disposition of Assets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Blue Chip Swap Securities</w:t>
            </w:r>
          </w:p>
        </w:tc>
        <w:tc>
          <w:tcPr>
            <w:tcW w:w="1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Sales of Blue Chip Swap Securities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9"/>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Business Acquisitions, Net of Cash Acquired</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 of Investments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Remittance on Equity Awards Vested</w:t>
            </w:r>
          </w:p>
        </w:tc>
        <w:tc>
          <w:tcPr>
            <w:tcW w:w="1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 Repurchases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Paid</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1"/>
        </w:trPr>
        <w:tc>
          <w:tcPr>
            <w:tcW w:w="5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954"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Non-GAAP Financial Measures Defined (Unaudited)</w:t>
      </w:r>
    </w:p>
    <w:p>
      <w:pPr>
        <w:spacing w:after="0" w:line="3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report our financial results in accordance with U.S. generally accepted accounting principles (GAAP). However, Weatherford’s management believes that certain non-GAAP financial measures (as defined under the SEC’s Regulation G and Item 10(e) of Regulation S-K) may provide users of this financial information additional meaningful comparisons between current results and results of prior periods and comparisons with peer companies. The non-GAAP amounts shown in the following tables should not be considered as substitutes for results reported in accordance with GAAP but should be viewed in addition to the Company’s reported results prepared in accordance with GAAP.</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EBITDA* - Adjusted EBITDA* is a non-GAAP measure and represents consolidated income before interest expense, net, income taxes, depreciation and amortization expense, and excludes, among other items, restructuring charges, share-based compensation expense, as well as other charges and credits. Management believes adjusted EBITDA* is useful to assess and understand normalized operating performance and trends. Adjusted EBITDA* should be considered in addition to, but not as a substitute for consolidated net income and should be viewed in addition to the Company's reported results prepared in accordance with GAAP.</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margin* - Adjusted EBITDA margin* is a non-GAAP measure which is calculated by dividing consolidated adjusted EBITDA* by consolidated revenues. Management believes adjusted EBITDA margin* is useful to assess and understand normalized operating performance and trends. Adjusted EBITDA margin* should be considered in addition to, but not as a substitute for consolidated net income margin and should be viewed in addition to the Company's reported results prepared in accordance with GAAP.</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Free Cash Flow* - Adjusted Free Cash Flow* is a non-GAAP measure and represents cash flows provided by (used in) operating activities, less capital expenditures plus proceeds from the disposition of assets. Management believes adjusted free cash flow* is useful to understand our performance at generating cash and demonstrates our discipline around the use of cash. Adjusted free cash flow* should be considered in addition to, but not as a substitute for cash flows provided by operating activities and should be viewed in addition to the Company's reported results prepared in accordance with GAAP.</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Debt* - Net Debt* is a non-GAAP measure that is calculated taking short and long-term debt less cash and cash equivalents and restricted cash. Management believes the net debt* is useful to assess the level of debt in excess of cash and cash and equivalents as we monitor our ability to repay and service our debt. Net debt* should be considered in addition to, but not as a substitute for overall debt and total cash and should be viewed in addition to the Company’s results prepared in accordance with GAAP.</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Leverage* - Net Leverage* is a non-GAAP measure which is calculated by dividing by taking net debt* divided by adjusted EBITDA* for the trailing 12 months. Management believes the net leverage* is useful to understand our ability to repay and service our debt. Net leverage* should be considered in addition to, but not as a substitute for the individual components of above defined net debt* divided by consolidated net income attributable to Weatherford and should be viewed in addition to the Company’s reported results prepared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*Non-GAAP - as defined above and reconciled to the GAAP measures in the section titled GAAP to Non-GAAP Financial Measures Reconciled</w:t>
      </w:r>
    </w:p>
    <w:p>
      <w:pPr>
        <w:sectPr>
          <w:pgSz w:w="11900" w:h="16838" w:orient="portrait"/>
          <w:cols w:equalWidth="0" w:num="1">
            <w:col w:w="11240"/>
          </w:cols>
          <w:pgMar w:left="320" w:top="1157" w:right="3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157" w:right="339" w:bottom="1440" w:gutter="0" w:footer="0" w:header="0"/>
          <w:type w:val="continuous"/>
        </w:sectPr>
      </w:pPr>
    </w:p>
    <w:bookmarkStart w:id="17" w:name="page18"/>
    <w:bookmarkEnd w:id="17"/>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GAAP to Non-GAAP Financial Measures Reconciled (Unaudited)</w:t>
      </w:r>
    </w:p>
    <w:p>
      <w:pPr>
        <w:spacing w:after="0" w:line="200" w:lineRule="exact"/>
        <w:rPr>
          <w:sz w:val="20"/>
          <w:szCs w:val="20"/>
          <w:color w:val="auto"/>
        </w:rPr>
      </w:pPr>
    </w:p>
    <w:p>
      <w:pPr>
        <w:spacing w:after="0" w:line="327" w:lineRule="exact"/>
        <w:rPr>
          <w:sz w:val="20"/>
          <w:szCs w:val="20"/>
          <w:color w:val="auto"/>
        </w:rPr>
      </w:pPr>
    </w:p>
    <w:tbl>
      <w:tblPr>
        <w:tblLayout w:type="fixed"/>
        <w:tblInd w:w="32" w:type="dxa"/>
        <w:tblCellMar>
          <w:top w:w="0" w:type="dxa"/>
          <w:left w:w="0" w:type="dxa"/>
          <w:bottom w:w="0" w:type="dxa"/>
          <w:right w:w="0" w:type="dxa"/>
        </w:tblCellMar>
      </w:tblPr>
      <w:tr>
        <w:trPr>
          <w:trHeight w:val="238"/>
        </w:trPr>
        <w:tc>
          <w:tcPr>
            <w:tcW w:w="4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4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 in Millions, Except Margin in Percentages)</w:t>
            </w:r>
          </w:p>
        </w:tc>
        <w:tc>
          <w:tcPr>
            <w:tcW w:w="100" w:type="dxa"/>
            <w:vAlign w:val="bottom"/>
          </w:tcPr>
          <w:p>
            <w:pPr>
              <w:spacing w:after="0"/>
              <w:rPr>
                <w:sz w:val="14"/>
                <w:szCs w:val="14"/>
                <w:color w:val="auto"/>
              </w:rPr>
            </w:pPr>
          </w:p>
        </w:tc>
        <w:tc>
          <w:tcPr>
            <w:tcW w:w="1280" w:type="dxa"/>
            <w:vAlign w:val="bottom"/>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80" w:type="dxa"/>
            <w:vAlign w:val="bottom"/>
          </w:tcPr>
          <w:p>
            <w:pPr>
              <w:spacing w:after="0"/>
              <w:rPr>
                <w:sz w:val="14"/>
                <w:szCs w:val="14"/>
                <w:color w:val="auto"/>
              </w:rPr>
            </w:pPr>
          </w:p>
        </w:tc>
        <w:tc>
          <w:tcPr>
            <w:tcW w:w="1140" w:type="dxa"/>
            <w:vAlign w:val="bottom"/>
          </w:tcPr>
          <w:p>
            <w:pPr>
              <w:jc w:val="center"/>
              <w:ind w:right="230"/>
              <w:spacing w:after="0" w:line="169" w:lineRule="exact"/>
              <w:rPr>
                <w:sz w:val="20"/>
                <w:szCs w:val="20"/>
                <w:color w:val="auto"/>
              </w:rPr>
            </w:pPr>
            <w:r>
              <w:rPr>
                <w:rFonts w:ascii="Times New Roman" w:cs="Times New Roman" w:eastAsia="Times New Roman" w:hAnsi="Times New Roman"/>
                <w:sz w:val="18"/>
                <w:szCs w:val="18"/>
                <w:b w:val="1"/>
                <w:bCs w:val="1"/>
                <w:color w:val="auto"/>
              </w:rPr>
              <w:t>June</w:t>
            </w:r>
          </w:p>
        </w:tc>
        <w:tc>
          <w:tcPr>
            <w:tcW w:w="160" w:type="dxa"/>
            <w:vAlign w:val="bottom"/>
          </w:tcPr>
          <w:p>
            <w:pPr>
              <w:spacing w:after="0"/>
              <w:rPr>
                <w:sz w:val="14"/>
                <w:szCs w:val="14"/>
                <w:color w:val="auto"/>
              </w:rPr>
            </w:pPr>
          </w:p>
        </w:tc>
        <w:tc>
          <w:tcPr>
            <w:tcW w:w="1220" w:type="dxa"/>
            <w:vAlign w:val="bottom"/>
          </w:tcPr>
          <w:p>
            <w:pPr>
              <w:jc w:val="right"/>
              <w:ind w:right="30"/>
              <w:spacing w:after="0" w:line="169"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60" w:type="dxa"/>
            <w:vAlign w:val="bottom"/>
          </w:tcPr>
          <w:p>
            <w:pPr>
              <w:spacing w:after="0"/>
              <w:rPr>
                <w:sz w:val="14"/>
                <w:szCs w:val="14"/>
                <w:color w:val="auto"/>
              </w:rPr>
            </w:pPr>
          </w:p>
        </w:tc>
        <w:tc>
          <w:tcPr>
            <w:tcW w:w="1240" w:type="dxa"/>
            <w:vAlign w:val="bottom"/>
            <w:gridSpan w:val="2"/>
          </w:tcPr>
          <w:p>
            <w:pPr>
              <w:jc w:val="right"/>
              <w:ind w:right="1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26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43"/>
        </w:trPr>
        <w:tc>
          <w:tcPr>
            <w:tcW w:w="43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30, 2024</w:t>
            </w: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1,409</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1,405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1,313</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4,172</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3,773</w:t>
            </w:r>
          </w:p>
        </w:tc>
        <w:tc>
          <w:tcPr>
            <w:tcW w:w="0" w:type="dxa"/>
            <w:vAlign w:val="bottom"/>
          </w:tcPr>
          <w:p>
            <w:pPr>
              <w:spacing w:after="0"/>
              <w:rPr>
                <w:sz w:val="1"/>
                <w:szCs w:val="1"/>
                <w:color w:val="auto"/>
              </w:rPr>
            </w:pPr>
          </w:p>
        </w:tc>
      </w:tr>
      <w:tr>
        <w:trPr>
          <w:trHeight w:val="229"/>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Weatherford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157</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394</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Margin</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355</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365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305</w:t>
            </w:r>
          </w:p>
        </w:tc>
        <w:tc>
          <w:tcPr>
            <w:tcW w:w="1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1,056</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865</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26.0 %</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0" w:type="dxa"/>
            <w:vAlign w:val="bottom"/>
          </w:tcPr>
          <w:p>
            <w:pPr>
              <w:spacing w:after="0"/>
              <w:rPr>
                <w:sz w:val="1"/>
                <w:szCs w:val="1"/>
                <w:color w:val="auto"/>
              </w:rPr>
            </w:pPr>
          </w:p>
        </w:tc>
      </w:tr>
      <w:tr>
        <w:trPr>
          <w:trHeight w:val="270"/>
        </w:trPr>
        <w:tc>
          <w:tcPr>
            <w:tcW w:w="4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Weatherford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157</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394</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30"/>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00" w:type="dxa"/>
            <w:vAlign w:val="bottom"/>
          </w:tcPr>
          <w:p>
            <w:pPr>
              <w:spacing w:after="0"/>
              <w:rPr>
                <w:sz w:val="19"/>
                <w:szCs w:val="19"/>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spacing w:after="0"/>
              <w:rPr>
                <w:sz w:val="19"/>
                <w:szCs w:val="19"/>
                <w:color w:val="auto"/>
              </w:rPr>
            </w:pP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 Provision</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144</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76"/>
        </w:trPr>
        <w:tc>
          <w:tcPr>
            <w:tcW w:w="43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Interest Expense, Net of Interest Income of $13, $17,</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$15, $44 and $47</w:t>
            </w:r>
          </w:p>
        </w:tc>
        <w:tc>
          <w:tcPr>
            <w:tcW w:w="100" w:type="dxa"/>
            <w:vAlign w:val="bottom"/>
          </w:tcPr>
          <w:p>
            <w:pPr>
              <w:spacing w:after="0"/>
              <w:rPr>
                <w:sz w:val="21"/>
                <w:szCs w:val="21"/>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Pr>
          <w:p>
            <w:pPr>
              <w:spacing w:after="0"/>
              <w:rPr>
                <w:sz w:val="21"/>
                <w:szCs w:val="21"/>
                <w:color w:val="auto"/>
              </w:rPr>
            </w:pP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77</w:t>
            </w:r>
          </w:p>
        </w:tc>
        <w:tc>
          <w:tcPr>
            <w:tcW w:w="32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 on Blue Chip Swap Securities</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9"/>
        </w:trPr>
        <w:tc>
          <w:tcPr>
            <w:tcW w:w="43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Other Expense, Net</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83</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243</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264</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218</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740</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29"/>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9"/>
                <w:szCs w:val="19"/>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89</w:t>
            </w:r>
          </w:p>
        </w:tc>
        <w:tc>
          <w:tcPr>
            <w:tcW w:w="280" w:type="dxa"/>
            <w:vAlign w:val="bottom"/>
          </w:tcPr>
          <w:p>
            <w:pPr>
              <w:spacing w:after="0"/>
              <w:rPr>
                <w:sz w:val="19"/>
                <w:szCs w:val="19"/>
                <w:color w:val="auto"/>
              </w:rPr>
            </w:pP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260</w:t>
            </w:r>
          </w:p>
        </w:tc>
        <w:tc>
          <w:tcPr>
            <w:tcW w:w="32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0"/>
              <w:spacing w:after="0" w:line="230" w:lineRule="exact"/>
              <w:rPr>
                <w:sz w:val="20"/>
                <w:szCs w:val="20"/>
                <w:color w:val="auto"/>
              </w:rPr>
            </w:pPr>
            <w:r>
              <w:rPr>
                <w:rFonts w:ascii="Times New Roman" w:cs="Times New Roman" w:eastAsia="Times New Roman" w:hAnsi="Times New Roman"/>
                <w:sz w:val="18"/>
                <w:szCs w:val="18"/>
                <w:color w:val="auto"/>
              </w:rPr>
              <w:t>Other Charges (Credits)</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43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355</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365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305</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1,056</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865</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262</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172</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543</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30"/>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 Expenditures for Property, Plant and Equipment</w:t>
            </w:r>
          </w:p>
        </w:tc>
        <w:tc>
          <w:tcPr>
            <w:tcW w:w="100" w:type="dxa"/>
            <w:vAlign w:val="bottom"/>
          </w:tcPr>
          <w:p>
            <w:pPr>
              <w:spacing w:after="0"/>
              <w:rPr>
                <w:sz w:val="19"/>
                <w:szCs w:val="19"/>
                <w:color w:val="auto"/>
              </w:rPr>
            </w:pP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(78)</w:t>
            </w:r>
          </w:p>
        </w:tc>
        <w:tc>
          <w:tcPr>
            <w:tcW w:w="28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(199)</w:t>
            </w:r>
          </w:p>
        </w:tc>
        <w:tc>
          <w:tcPr>
            <w:tcW w:w="320" w:type="dxa"/>
            <w:vAlign w:val="bottom"/>
          </w:tcPr>
          <w:p>
            <w:pPr>
              <w:spacing w:after="0"/>
              <w:rPr>
                <w:sz w:val="19"/>
                <w:szCs w:val="19"/>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29"/>
        </w:trPr>
        <w:tc>
          <w:tcPr>
            <w:tcW w:w="434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Disposition of Assets</w:t>
            </w: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Adjusted Free Cash Flow*</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184</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137</w:t>
            </w: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362</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0"/>
        </w:trPr>
        <w:tc>
          <w:tcPr>
            <w:tcW w:w="4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52" w:hanging="252"/>
        <w:spacing w:after="0" w:line="180" w:lineRule="auto"/>
        <w:tabs>
          <w:tab w:leader="none" w:pos="247" w:val="left"/>
        </w:tabs>
        <w:numPr>
          <w:ilvl w:val="0"/>
          <w:numId w:val="8"/>
        </w:numPr>
        <w:rPr>
          <w:rFonts w:ascii="Calibri" w:cs="Calibri" w:eastAsia="Calibri" w:hAnsi="Calibri"/>
          <w:sz w:val="25"/>
          <w:szCs w:val="25"/>
          <w:color w:val="auto"/>
          <w:vertAlign w:val="superscript"/>
        </w:rPr>
      </w:pPr>
      <w:r>
        <w:rPr>
          <w:rFonts w:ascii="Times New Roman" w:cs="Times New Roman" w:eastAsia="Times New Roman" w:hAnsi="Times New Roman"/>
          <w:sz w:val="14"/>
          <w:szCs w:val="14"/>
          <w:color w:val="auto"/>
        </w:rPr>
        <w:t>Other charges (credits) in the three and nine months ended September 30, 2024, primarily includes fees to third-party financial institutions to facilitate loans between those financial institutions and our largest customer in Mexico, who in turn paid certain of our outstanding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6"/>
          <w:szCs w:val="16"/>
          <w:color w:val="auto"/>
        </w:rPr>
        <w:t>*Non-GAAP - as reconciled to the GAAP measures above and defined in the section titled Non-GAAP Financial Measures Defined</w:t>
      </w:r>
    </w:p>
    <w:p>
      <w:pPr>
        <w:spacing w:after="0" w:line="200" w:lineRule="exact"/>
        <w:rPr>
          <w:sz w:val="20"/>
          <w:szCs w:val="20"/>
          <w:color w:val="auto"/>
        </w:rPr>
      </w:pPr>
    </w:p>
    <w:p>
      <w:pPr>
        <w:spacing w:after="0" w:line="28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32"/>
          </w:cols>
          <w:pgMar w:left="328" w:top="1035" w:right="339" w:bottom="1440" w:gutter="0" w:footer="0" w:header="0"/>
        </w:sectPr>
      </w:pPr>
    </w:p>
    <w:bookmarkStart w:id="18" w:name="page19"/>
    <w:bookmarkEnd w:id="1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GAAP to Non-GAAP Financial Measures Reconciled Continued (Unaudited)</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 in Millions)</w:t>
            </w:r>
          </w:p>
        </w:tc>
        <w:tc>
          <w:tcPr>
            <w:tcW w:w="1240" w:type="dxa"/>
            <w:vAlign w:val="bottom"/>
            <w:tcBorders>
              <w:top w:val="single" w:sz="8" w:color="auto"/>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4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10"/>
              <w:spacing w:after="0" w:line="189" w:lineRule="exact"/>
              <w:rPr>
                <w:sz w:val="20"/>
                <w:szCs w:val="20"/>
                <w:color w:val="auto"/>
              </w:rPr>
            </w:pPr>
            <w:r>
              <w:rPr>
                <w:rFonts w:ascii="Times New Roman" w:cs="Times New Roman" w:eastAsia="Times New Roman" w:hAnsi="Times New Roman"/>
                <w:sz w:val="18"/>
                <w:szCs w:val="18"/>
                <w:b w:val="1"/>
                <w:bCs w:val="1"/>
                <w:color w:val="auto"/>
              </w:rPr>
              <w:t>June</w:t>
            </w: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right"/>
              <w:ind w:right="10"/>
              <w:spacing w:after="0" w:line="18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68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2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1,627</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1,864</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1,648</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2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1,955</w:t>
            </w:r>
          </w:p>
        </w:tc>
        <w:tc>
          <w:tcPr>
            <w:tcW w:w="2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920</w:t>
            </w:r>
          </w:p>
        </w:tc>
        <w:tc>
          <w:tcPr>
            <w:tcW w:w="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839</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978</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2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946</w:t>
            </w:r>
          </w:p>
        </w:tc>
        <w:tc>
          <w:tcPr>
            <w:tcW w:w="2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Net Debt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1,627</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1,864</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2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920</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Restricted Cash</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Debt*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670</w:t>
            </w:r>
          </w:p>
        </w:tc>
        <w:tc>
          <w:tcPr>
            <w:tcW w:w="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1,009</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6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for trailing 12 months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534</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for trailing 12 months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1,377</w:t>
            </w:r>
          </w:p>
        </w:tc>
        <w:tc>
          <w:tcPr>
            <w:tcW w:w="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1,131</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Leverage* (Net Debt*/Adjusted EBITDA*)</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x</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x</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*Non-GAAP - as reconciled to the GAAP measures above and defined in the section titled Non-GAAP Financial Measures Defined</w:t>
      </w:r>
    </w:p>
    <w:p>
      <w:pPr>
        <w:sectPr>
          <w:pgSz w:w="11900" w:h="16838" w:orient="portrait"/>
          <w:cols w:equalWidth="0" w:num="1">
            <w:col w:w="10100"/>
          </w:cols>
          <w:pgMar w:left="900" w:top="1035" w:right="89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sectPr>
      <w:pgSz w:w="11900" w:h="16838" w:orient="portrait"/>
      <w:cols w:equalWidth="0" w:num="1">
        <w:col w:w="10100"/>
      </w:cols>
      <w:pgMar w:left="900" w:top="1035" w:right="8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
      <w:numFmt w:val="bullet"/>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2024-10-22T15:40:40Z</dcterms:created>
  <dcterms:modified xsi:type="dcterms:W3CDTF">2024-10-22T15:40:40Z</dcterms:modified>
</cp:coreProperties>
</file>