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3, 2023</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Departure of Directors or Certain Officers; Election of Directors; Appointment of Certain Officers; Compensatory</w:t>
            </w:r>
          </w:p>
        </w:tc>
        <w:tc>
          <w:tcPr>
            <w:tcW w:w="0" w:type="dxa"/>
            <w:vAlign w:val="bottom"/>
          </w:tcPr>
          <w:p>
            <w:pPr>
              <w:spacing w:after="0"/>
              <w:rPr>
                <w:sz w:val="1"/>
                <w:szCs w:val="1"/>
                <w:color w:val="auto"/>
              </w:rPr>
            </w:pPr>
          </w:p>
        </w:tc>
      </w:tr>
      <w:tr>
        <w:trPr>
          <w:trHeight w:val="143"/>
        </w:trPr>
        <w:tc>
          <w:tcPr>
            <w:tcW w:w="1180" w:type="dxa"/>
            <w:vAlign w:val="bottom"/>
            <w:vMerge w:val="continue"/>
          </w:tcPr>
          <w:p>
            <w:pPr>
              <w:spacing w:after="0"/>
              <w:rPr>
                <w:sz w:val="12"/>
                <w:szCs w:val="12"/>
                <w:color w:val="auto"/>
              </w:rPr>
            </w:pPr>
          </w:p>
        </w:tc>
        <w:tc>
          <w:tcPr>
            <w:tcW w:w="92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w:t>
      </w:r>
    </w:p>
    <w:p>
      <w:pPr>
        <w:spacing w:after="0" w:line="146"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7"/>
          <w:szCs w:val="17"/>
          <w:color w:val="auto"/>
        </w:rPr>
        <w:t>On January 3, 2023, Weatherford International plc (the “Company”) announced the appointment of Arunava Mitra, 50, to serve as the Company’s Executive Vice President and Chief Financial Officer, effective January 3, 2023. Prior to joining the Company, Mr. Mitra served as Executive Vice President and Chief Financial Officer of Mitsubishi Power Americas Inc. Serving in this role since 2014, Mr. Mitra led the organization’s profitable growth in the Americas region as a leading Power Generation OEM and its expansion into energy storage solutions, renewable development and Hydrogen infrastructure businesses. Before that, he held various finance leadership roles within Siemens in the US and Germany during a 14-year career with progressively increasing responsibilities, including as global business unit Chief Financial Officer, as well as seven years with PwC and KPMG in India and the US.</w:t>
      </w:r>
    </w:p>
    <w:p>
      <w:pPr>
        <w:spacing w:after="0" w:line="145" w:lineRule="exact"/>
        <w:rPr>
          <w:sz w:val="20"/>
          <w:szCs w:val="20"/>
          <w:color w:val="auto"/>
        </w:rPr>
      </w:pPr>
    </w:p>
    <w:p>
      <w:pPr>
        <w:ind w:right="40" w:firstLine="644"/>
        <w:spacing w:after="0" w:line="279" w:lineRule="auto"/>
        <w:rPr>
          <w:sz w:val="20"/>
          <w:szCs w:val="20"/>
          <w:color w:val="auto"/>
        </w:rPr>
      </w:pPr>
      <w:r>
        <w:rPr>
          <w:rFonts w:ascii="Times New Roman" w:cs="Times New Roman" w:eastAsia="Times New Roman" w:hAnsi="Times New Roman"/>
          <w:sz w:val="18"/>
          <w:szCs w:val="18"/>
          <w:color w:val="auto"/>
        </w:rPr>
        <w:t>In connection with Mr. Mitra’s appointment as Executive Vice President and Chief Financial Officer of the Company, he will receive the following compensation:</w:t>
      </w:r>
    </w:p>
    <w:p>
      <w:pPr>
        <w:spacing w:after="0" w:line="136" w:lineRule="exact"/>
        <w:rPr>
          <w:sz w:val="20"/>
          <w:szCs w:val="20"/>
          <w:color w:val="auto"/>
        </w:rPr>
      </w:pPr>
    </w:p>
    <w:p>
      <w:pPr>
        <w:ind w:left="900" w:hanging="248"/>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$525,000;</w:t>
      </w:r>
    </w:p>
    <w:p>
      <w:pPr>
        <w:spacing w:after="0" w:line="182" w:lineRule="exact"/>
        <w:rPr>
          <w:rFonts w:ascii="Times New Roman" w:cs="Times New Roman" w:eastAsia="Times New Roman" w:hAnsi="Times New Roman"/>
          <w:sz w:val="18"/>
          <w:szCs w:val="18"/>
          <w:color w:val="auto"/>
        </w:rPr>
      </w:pPr>
    </w:p>
    <w:p>
      <w:pPr>
        <w:ind w:left="660" w:right="220" w:hanging="8"/>
        <w:spacing w:after="0" w:line="279"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Short Term Incentive Plan, as amended and restated (“STI”), with a target award opportunity set at 90% of his annual base salary beginning in 2023 pursuant to the terms of the STI;</w:t>
      </w:r>
    </w:p>
    <w:p>
      <w:pPr>
        <w:spacing w:after="0" w:line="122" w:lineRule="exact"/>
        <w:rPr>
          <w:rFonts w:ascii="Times New Roman" w:cs="Times New Roman" w:eastAsia="Times New Roman" w:hAnsi="Times New Roman"/>
          <w:sz w:val="18"/>
          <w:szCs w:val="18"/>
          <w:color w:val="auto"/>
        </w:rPr>
      </w:pPr>
    </w:p>
    <w:p>
      <w:pPr>
        <w:ind w:left="660" w:right="80" w:hanging="8"/>
        <w:spacing w:after="0" w:line="259"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incentive award for 2023 granted under the Company’s Second Amended and Restated 2019 Equity Incentive Plan (the “EIP”) equal to $1,730,000 of the Company’s ordinary shares on the date of grant, and will be delivered in a combination of 40% Restricted Share Units (“RSUs”) vesting ratably over three years from the date of grant and 60% Performance Share Units (“PSUs”) which, subject to the achievement of the performance metrics, will cliff vest at the end of the applicable performance period;</w:t>
      </w:r>
    </w:p>
    <w:p>
      <w:pPr>
        <w:spacing w:after="0" w:line="139" w:lineRule="exact"/>
        <w:rPr>
          <w:rFonts w:ascii="Times New Roman" w:cs="Times New Roman" w:eastAsia="Times New Roman" w:hAnsi="Times New Roman"/>
          <w:sz w:val="18"/>
          <w:szCs w:val="18"/>
          <w:color w:val="auto"/>
        </w:rPr>
      </w:pPr>
    </w:p>
    <w:p>
      <w:pPr>
        <w:ind w:left="660" w:right="240" w:hanging="8"/>
        <w:spacing w:after="0" w:line="279"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EIP or other long-term incentive plans in subsequent years at a target award of 330% of his annual base salary, subject to board approval;</w:t>
      </w:r>
    </w:p>
    <w:p>
      <w:pPr>
        <w:spacing w:after="0" w:line="136" w:lineRule="exact"/>
        <w:rPr>
          <w:rFonts w:ascii="Times New Roman" w:cs="Times New Roman" w:eastAsia="Times New Roman" w:hAnsi="Times New Roman"/>
          <w:sz w:val="18"/>
          <w:szCs w:val="18"/>
          <w:color w:val="auto"/>
        </w:rPr>
      </w:pPr>
    </w:p>
    <w:p>
      <w:pPr>
        <w:ind w:left="660" w:right="220" w:hanging="8"/>
        <w:spacing w:after="0" w:line="264"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long-term incentive award of 40,000 PSUs under the EIP which will be earned based upon the sustained achievement of certain share price targets that must be reached within the period ending on December 31, 2024 and will vest, subject to the achievement of the performance metric, on January 2, 2025;</w:t>
      </w:r>
    </w:p>
    <w:p>
      <w:pPr>
        <w:spacing w:after="0" w:line="135" w:lineRule="exact"/>
        <w:rPr>
          <w:rFonts w:ascii="Times New Roman" w:cs="Times New Roman" w:eastAsia="Times New Roman" w:hAnsi="Times New Roman"/>
          <w:sz w:val="18"/>
          <w:szCs w:val="18"/>
          <w:color w:val="auto"/>
        </w:rPr>
      </w:pPr>
    </w:p>
    <w:p>
      <w:pPr>
        <w:ind w:left="660" w:right="180" w:hanging="8"/>
        <w:spacing w:after="0" w:line="279" w:lineRule="auto"/>
        <w:tabs>
          <w:tab w:leader="none" w:pos="91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sign-on bonus of $410,000, payable on the first pay period of March 2023, subject to repayment in full upon resignation or termination for cause within twelve (12) months of the payment; and</w:t>
      </w:r>
    </w:p>
    <w:p>
      <w:pPr>
        <w:spacing w:after="0" w:line="122"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expenses pursuant to the Company’s Domestic Relocation policy.</w:t>
      </w:r>
    </w:p>
    <w:p>
      <w:pPr>
        <w:spacing w:after="0" w:line="19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Mr. Mitra will be covered under the Company’s Second Amended and Restated Change in Control Severance Plan, which is expected to provide that upon a qualifying termination of employment following a change in control transaction, he would receive, subject to a release of claims, severance benefits equal to two times base salary and bonus, continued health care benefits, outplacement services and certain other benefits. In addition, Mr. Mitra will also be covered under the Company’s Amended and Restated Executive Severance Plan (“Severance Plan”) which provides severance payments and benefits if he experiences a termination of employment by the Company without “Cause” or by the participant for “Good Reason” (each as defined in the Severance Plan). Upon such a termination, Mr. Mitra will be able to receive an amount equal to one times his base salary and bonus, a prorated target annual bonus for the year of termination, continued health and welfare benefits and outplacement services.</w:t>
      </w:r>
    </w:p>
    <w:p>
      <w:pPr>
        <w:spacing w:after="0" w:line="144" w:lineRule="exact"/>
        <w:rPr>
          <w:sz w:val="20"/>
          <w:szCs w:val="20"/>
          <w:color w:val="auto"/>
        </w:rPr>
      </w:pPr>
    </w:p>
    <w:p>
      <w:pPr>
        <w:ind w:right="360" w:firstLine="644"/>
        <w:spacing w:after="0" w:line="264" w:lineRule="auto"/>
        <w:rPr>
          <w:sz w:val="20"/>
          <w:szCs w:val="20"/>
          <w:color w:val="auto"/>
        </w:rPr>
      </w:pPr>
      <w:r>
        <w:rPr>
          <w:rFonts w:ascii="Times New Roman" w:cs="Times New Roman" w:eastAsia="Times New Roman" w:hAnsi="Times New Roman"/>
          <w:sz w:val="18"/>
          <w:szCs w:val="18"/>
          <w:color w:val="auto"/>
        </w:rPr>
        <w:t>Mr. Mitra will be eligible for other benefits for similarly situated executives in accordance with the Company’s standard plans and polices. In addition, the Company and one of its primary subsidiaries will enter into customary officer indemnification agreements with Mr. Mitra upon joining the Company.</w:t>
      </w:r>
    </w:p>
    <w:p>
      <w:pPr>
        <w:spacing w:after="0" w:line="136" w:lineRule="exact"/>
        <w:rPr>
          <w:sz w:val="20"/>
          <w:szCs w:val="20"/>
          <w:color w:val="auto"/>
        </w:rPr>
      </w:pPr>
    </w:p>
    <w:p>
      <w:pPr>
        <w:ind w:right="240" w:firstLine="644"/>
        <w:spacing w:after="0" w:line="286" w:lineRule="auto"/>
        <w:rPr>
          <w:sz w:val="20"/>
          <w:szCs w:val="20"/>
          <w:color w:val="auto"/>
        </w:rPr>
      </w:pPr>
      <w:r>
        <w:rPr>
          <w:rFonts w:ascii="Times New Roman" w:cs="Times New Roman" w:eastAsia="Times New Roman" w:hAnsi="Times New Roman"/>
          <w:sz w:val="17"/>
          <w:szCs w:val="17"/>
          <w:color w:val="auto"/>
        </w:rPr>
        <w:t>There are no arrangements or understandings between Mr. Mitra and any other persons pursuant to which Mr. Mitra was selected to act as the Executive Vice President and Chief Financial Officer of the Company. Mr. Mitra does not have any family relationships subject to disclosure under Item 401(d) of Regulation S-K or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901700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30" w:right="359" w:bottom="1440" w:gutter="0" w:footer="0" w:header="0"/>
        </w:sectPr>
      </w:pPr>
    </w:p>
    <w:bookmarkStart w:id="2" w:name="page3"/>
    <w:bookmarkEnd w:id="2"/>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9" w:lineRule="exact"/>
        <w:rPr>
          <w:sz w:val="20"/>
          <w:szCs w:val="20"/>
          <w:color w:val="auto"/>
        </w:rPr>
      </w:pPr>
    </w:p>
    <w:p>
      <w:pPr>
        <w:ind w:right="80" w:firstLine="644"/>
        <w:spacing w:after="0" w:line="235" w:lineRule="auto"/>
        <w:rPr>
          <w:sz w:val="20"/>
          <w:szCs w:val="20"/>
          <w:color w:val="auto"/>
        </w:rPr>
      </w:pPr>
      <w:r>
        <w:rPr>
          <w:rFonts w:ascii="Times New Roman" w:cs="Times New Roman" w:eastAsia="Times New Roman" w:hAnsi="Times New Roman"/>
          <w:sz w:val="18"/>
          <w:szCs w:val="18"/>
          <w:color w:val="auto"/>
        </w:rPr>
        <w:t>On January 3, 2023, the Company issued a press release related to the appointment in Item 5.02 of this Current Report on Form 8-K. A copy of the press release is furnished as Exhibit 99.1 to this report and incorporated by reference herein. The information provided pursuant to this Item 7.01 is “furnished” and shall not be deemed to be “filed” with the SEC or incorporated by reference in any filing under the Securities Exchange Act of 1934, as amended, or the Securities Act of 1933, as amended, except as shall be expressly set forth by specific reference in any such filings. The filing of this Item</w:t>
      </w:r>
    </w:p>
    <w:p>
      <w:pPr>
        <w:spacing w:after="0" w:line="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33"/>
        </w:trPr>
        <w:tc>
          <w:tcPr>
            <w:tcW w:w="600" w:type="dxa"/>
            <w:vAlign w:val="bottom"/>
          </w:tcPr>
          <w:p>
            <w:pPr>
              <w:spacing w:after="0"/>
              <w:rPr>
                <w:sz w:val="20"/>
                <w:szCs w:val="20"/>
                <w:color w:val="auto"/>
              </w:rPr>
            </w:pPr>
          </w:p>
        </w:tc>
        <w:tc>
          <w:tcPr>
            <w:tcW w:w="10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(d)</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349"/>
        </w:trPr>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1"/>
        </w:trPr>
        <w:tc>
          <w:tcPr>
            <w:tcW w:w="6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580"/>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Weatherford International on January 3, 2023</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76"/>
        </w:trPr>
        <w:tc>
          <w:tcPr>
            <w:tcW w:w="6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550"/>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223"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January 3, 2023</w:t>
      </w:r>
    </w:p>
    <w:p>
      <w:pPr>
        <w:spacing w:after="0" w:line="2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jc w:val="center"/>
        <w:ind w:left="5500"/>
        <w:spacing w:after="0"/>
        <w:rPr>
          <w:sz w:val="20"/>
          <w:szCs w:val="20"/>
          <w:color w:val="auto"/>
        </w:rPr>
      </w:pPr>
      <w:r>
        <w:rPr>
          <w:rFonts w:ascii="Times New Roman" w:cs="Times New Roman" w:eastAsia="Times New Roman" w:hAnsi="Times New Roman"/>
          <w:sz w:val="18"/>
          <w:szCs w:val="18"/>
          <w:color w:val="auto"/>
        </w:rPr>
        <w:t>and Chief Compliance Officer</w:t>
      </w:r>
    </w:p>
    <w:p>
      <w:pPr>
        <w:sectPr>
          <w:pgSz w:w="11900" w:h="16838" w:orient="portrait"/>
          <w:cols w:equalWidth="0" w:num="1">
            <w:col w:w="11240"/>
          </w:cols>
          <w:pgMar w:left="320" w:top="92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352425</wp:posOffset>
            </wp:positionV>
            <wp:extent cx="1891665" cy="784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3"/>
          <w:szCs w:val="23"/>
          <w:b w:val="1"/>
          <w:bCs w:val="1"/>
          <w:color w:val="auto"/>
        </w:rPr>
        <w:t>NEWS RELEASE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Appoints Arun Mitra as Executive Vice President and Chief Financial Officer</w:t>
      </w:r>
    </w:p>
    <w:p>
      <w:pPr>
        <w:spacing w:after="0" w:line="307"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20"/>
          <w:szCs w:val="20"/>
          <w:b w:val="1"/>
          <w:bCs w:val="1"/>
          <w:color w:val="auto"/>
        </w:rPr>
        <w:t xml:space="preserve">HOUSTON, January 3, 2023 - </w:t>
      </w:r>
      <w:r>
        <w:rPr>
          <w:rFonts w:ascii="Times New Roman" w:cs="Times New Roman" w:eastAsia="Times New Roman" w:hAnsi="Times New Roman"/>
          <w:sz w:val="20"/>
          <w:szCs w:val="20"/>
          <w:color w:val="auto"/>
        </w:rPr>
        <w:t>Weatherford International plc (NASDAQ: WFRD) (“Weatherford” or the “Company”) has appointed Arun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Mitra as the Company’s Executive Vice President and Chief Financial Officer. Mr. Mitra’s appointment is effective immediately.</w:t>
      </w:r>
    </w:p>
    <w:p>
      <w:pPr>
        <w:spacing w:after="0" w:line="18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Before joining Weatherford, Mr. Mitra served as the Executive Vice President and Chief Financial Officer of Mitsubishi Power Americas Inc., a leader in power generation and energy storage solutions. Serving in this role since 2014, Mr. Mitra led the organization’s profitable growth in the Americas region as a leading Power Generation OEM and its expansion into energy storage solutions, renewable development and Hydrogen infrastructure businesses. Before that, he held various finance leadership roles within Siemens in the US and Germany during a 14-year career with progressively increasing responsibilities, including as global business unit Chief Financial Officer in energy services, as well as seven years with PwC and KPMG in India and US.</w:t>
      </w:r>
    </w:p>
    <w:p>
      <w:pPr>
        <w:spacing w:after="0" w:line="214"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9"/>
          <w:szCs w:val="19"/>
          <w:color w:val="auto"/>
        </w:rPr>
        <w:t>Mr. Mitra commented, “It’s exciting to join an organization that has come so far in such a short amount of time. I look forward to advancing the Company’s strategic direction as part of the executive leadership team and continuing the work to improve financial performance.”</w:t>
      </w:r>
    </w:p>
    <w:p>
      <w:pPr>
        <w:spacing w:after="0" w:line="16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20"/>
          <w:szCs w:val="20"/>
          <w:color w:val="auto"/>
        </w:rPr>
        <w:t>Girish Saligram, President and Chief Executive Officer, also commented, “I am pleased to welcome Arun to the One Weatherford executive team. With his expertise in driving profitable growth, streamlining operations, and leading in the energy transition, I have every confidence he will create tremendous value for Weatherford.”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w:t>
      </w:r>
    </w:p>
    <w:p>
      <w:pPr>
        <w:spacing w:after="0" w:line="231" w:lineRule="auto"/>
        <w:rPr>
          <w:sz w:val="20"/>
          <w:szCs w:val="20"/>
          <w:color w:val="auto"/>
        </w:rPr>
      </w:pPr>
      <w:r>
        <w:rPr>
          <w:rFonts w:ascii="Times New Roman" w:cs="Times New Roman" w:eastAsia="Times New Roman" w:hAnsi="Times New Roman"/>
          <w:sz w:val="20"/>
          <w:szCs w:val="20"/>
          <w:b w:val="1"/>
          <w:bCs w:val="1"/>
          <w:color w:val="auto"/>
        </w:rPr>
        <w:t>About Weatherford</w:t>
      </w:r>
    </w:p>
    <w:p>
      <w:pPr>
        <w:spacing w:after="0" w:line="236" w:lineRule="auto"/>
        <w:rPr>
          <w:sz w:val="20"/>
          <w:szCs w:val="20"/>
          <w:color w:val="auto"/>
        </w:rPr>
      </w:pPr>
      <w:r>
        <w:rPr>
          <w:rFonts w:ascii="Times New Roman" w:cs="Times New Roman" w:eastAsia="Times New Roman" w:hAnsi="Times New Roman"/>
          <w:sz w:val="19"/>
          <w:szCs w:val="19"/>
          <w:color w:val="auto"/>
        </w:rPr>
        <w:t>Weatherford delivers innovative energy services that integrate proven technologies with advanced digitalization to create sustainable offerings</w:t>
      </w:r>
    </w:p>
    <w:p>
      <w:pPr>
        <w:jc w:val="both"/>
        <w:spacing w:after="0" w:line="228" w:lineRule="auto"/>
        <w:rPr>
          <w:sz w:val="20"/>
          <w:szCs w:val="20"/>
          <w:color w:val="auto"/>
        </w:rPr>
      </w:pPr>
      <w:r>
        <w:rPr>
          <w:rFonts w:ascii="Times New Roman" w:cs="Times New Roman" w:eastAsia="Times New Roman" w:hAnsi="Times New Roman"/>
          <w:sz w:val="19"/>
          <w:szCs w:val="19"/>
          <w:color w:val="auto"/>
        </w:rPr>
        <w:t>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The Company operates in approximately 75 countries with a global talent network of approximately 17,500 team members representing more than 110 nationalities and 350 operating locations.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Contacts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Mohammed Topiwala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 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563C1"/>
        </w:rPr>
        <w:t>invesor.relations@weatherford.com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Media: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Kelley Hughes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 Global Communications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563C1"/>
        </w:rPr>
        <w:t>media@weatherford.com</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2023-01-03T07:25:45Z</dcterms:created>
  <dcterms:modified xsi:type="dcterms:W3CDTF">2023-01-03T07:25:45Z</dcterms:modified>
</cp:coreProperties>
</file>