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02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024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Glance Todd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EVP of Customer Delivery</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6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jc w:val="center"/>
              <w:ind w:left="5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08/15/2024</w:t>
            </w:r>
          </w:p>
        </w:tc>
        <w:tc>
          <w:tcPr>
            <w:tcW w:w="128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2,795</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2,795</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August 15, 2024 under Issuer's 2019 Equity Incentive Plan, as amended. The number of PSUs reported is the target award and may be subject to a payout ranging from 0% to 200% of the target award depending on the actual achievement of certain performance goals at the end of the performance period. The performance period is the Issuer's three fiscal years beginning on January 1, 2024 and ending December 31,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08/19/2024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387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2024-08-19T15:53:06Z</dcterms:created>
  <dcterms:modified xsi:type="dcterms:W3CDTF">2024-08-19T15:53:06Z</dcterms:modified>
</cp:coreProperties>
</file>