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3"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-234315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7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300" w:type="dxa"/>
            <w:vAlign w:val="bottom"/>
            <w:vMerge w:val="restart"/>
          </w:tcPr>
          <w:p>
            <w:pPr>
              <w:jc w:val="center"/>
              <w:ind w:right="176"/>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-624840</wp:posOffset>
            </wp:positionV>
            <wp:extent cx="57785" cy="6381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8175"/>
                    </a:xfrm>
                    <a:prstGeom prst="rect">
                      <a:avLst/>
                    </a:prstGeom>
                    <a:noFill/>
                  </pic:spPr>
                </pic:pic>
              </a:graphicData>
            </a:graphic>
          </wp:anchor>
        </w:drawing>
        <w:drawing>
          <wp:anchor simplePos="0" relativeHeight="251657728" behindDoc="1" locked="0" layoutInCell="0" allowOverlap="1">
            <wp:simplePos x="0" y="0"/>
            <wp:positionH relativeFrom="column">
              <wp:posOffset>3983990</wp:posOffset>
            </wp:positionH>
            <wp:positionV relativeFrom="paragraph">
              <wp:posOffset>-624840</wp:posOffset>
            </wp:positionV>
            <wp:extent cx="57785" cy="6381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817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22860</wp:posOffset>
            </wp:positionV>
            <wp:extent cx="6993890" cy="54336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890" cy="5433695"/>
                    </a:xfrm>
                    <a:prstGeom prst="rect">
                      <a:avLst/>
                    </a:prstGeom>
                    <a:noFill/>
                  </pic:spPr>
                </pic:pic>
              </a:graphicData>
            </a:graphic>
          </wp:anchor>
        </w:drawing>
      </w:r>
    </w:p>
    <w:p>
      <w:pPr>
        <w:spacing w:after="0" w:line="100"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SLEDGE CHARLES M</w:t>
        </w:r>
      </w:hyperlink>
    </w:p>
    <w:p>
      <w:pPr>
        <w:spacing w:after="0" w:line="290" w:lineRule="exact"/>
        <w:rPr>
          <w:sz w:val="24"/>
          <w:szCs w:val="24"/>
          <w:color w:val="auto"/>
        </w:rPr>
      </w:pPr>
    </w:p>
    <w:tbl>
      <w:tblPr>
        <w:tblLayout w:type="fixed"/>
        <w:tblInd w:w="8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(Last)</w:t>
            </w:r>
          </w:p>
        </w:tc>
        <w:tc>
          <w:tcPr>
            <w:tcW w:w="1100" w:type="dxa"/>
            <w:vAlign w:val="bottom"/>
          </w:tcPr>
          <w:p>
            <w:pPr>
              <w:ind w:left="220"/>
              <w:spacing w:after="0"/>
              <w:rPr>
                <w:sz w:val="20"/>
                <w:szCs w:val="20"/>
                <w:color w:val="auto"/>
              </w:rPr>
            </w:pPr>
            <w:r>
              <w:rPr>
                <w:rFonts w:ascii="Arial" w:cs="Arial" w:eastAsia="Arial" w:hAnsi="Arial"/>
                <w:sz w:val="13"/>
                <w:szCs w:val="13"/>
                <w:color w:val="auto"/>
              </w:rPr>
              <w:t>(First)</w:t>
            </w:r>
          </w:p>
        </w:tc>
        <w:tc>
          <w:tcPr>
            <w:tcW w:w="1520" w:type="dxa"/>
            <w:vAlign w:val="bottom"/>
          </w:tcPr>
          <w:p>
            <w:pPr>
              <w:ind w:left="340"/>
              <w:spacing w:after="0"/>
              <w:rPr>
                <w:sz w:val="20"/>
                <w:szCs w:val="20"/>
                <w:color w:val="auto"/>
              </w:rPr>
            </w:pPr>
            <w:r>
              <w:rPr>
                <w:rFonts w:ascii="Arial" w:cs="Arial" w:eastAsia="Arial" w:hAnsi="Arial"/>
                <w:sz w:val="13"/>
                <w:szCs w:val="13"/>
                <w:color w:val="auto"/>
              </w:rPr>
              <w:t>(Middle)</w:t>
            </w:r>
          </w:p>
        </w:tc>
      </w:tr>
      <w:tr>
        <w:trPr>
          <w:trHeight w:val="267"/>
        </w:trPr>
        <w:tc>
          <w:tcPr>
            <w:tcW w:w="20" w:type="dxa"/>
            <w:vAlign w:val="bottom"/>
          </w:tcPr>
          <w:p>
            <w:pPr>
              <w:spacing w:after="0"/>
              <w:rPr>
                <w:sz w:val="23"/>
                <w:szCs w:val="23"/>
                <w:color w:val="auto"/>
              </w:rPr>
            </w:pPr>
          </w:p>
        </w:tc>
        <w:tc>
          <w:tcPr>
            <w:tcW w:w="21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2000 ST. JAMES PLACE</w:t>
            </w:r>
          </w:p>
        </w:tc>
        <w:tc>
          <w:tcPr>
            <w:tcW w:w="1520" w:type="dxa"/>
            <w:vAlign w:val="bottom"/>
          </w:tcPr>
          <w:p>
            <w:pPr>
              <w:spacing w:after="0"/>
              <w:rPr>
                <w:sz w:val="23"/>
                <w:szCs w:val="23"/>
                <w:color w:val="auto"/>
              </w:rPr>
            </w:pPr>
          </w:p>
        </w:tc>
      </w:tr>
      <w:tr>
        <w:trPr>
          <w:trHeight w:val="200"/>
        </w:trPr>
        <w:tc>
          <w:tcPr>
            <w:tcW w:w="20" w:type="dxa"/>
            <w:vAlign w:val="bottom"/>
          </w:tcPr>
          <w:p>
            <w:pPr>
              <w:spacing w:after="0"/>
              <w:rPr>
                <w:sz w:val="17"/>
                <w:szCs w:val="17"/>
                <w:color w:val="auto"/>
              </w:rPr>
            </w:pPr>
          </w:p>
        </w:tc>
        <w:tc>
          <w:tcPr>
            <w:tcW w:w="1020" w:type="dxa"/>
            <w:vAlign w:val="bottom"/>
            <w:tcBorders>
              <w:bottom w:val="single" w:sz="8" w:color="9A9A9A"/>
            </w:tcBorders>
          </w:tcPr>
          <w:p>
            <w:pPr>
              <w:spacing w:after="0"/>
              <w:rPr>
                <w:sz w:val="17"/>
                <w:szCs w:val="17"/>
                <w:color w:val="auto"/>
              </w:rPr>
            </w:pPr>
          </w:p>
        </w:tc>
        <w:tc>
          <w:tcPr>
            <w:tcW w:w="1100" w:type="dxa"/>
            <w:vAlign w:val="bottom"/>
            <w:tcBorders>
              <w:bottom w:val="single" w:sz="8" w:color="9A9A9A"/>
            </w:tcBorders>
          </w:tcPr>
          <w:p>
            <w:pPr>
              <w:spacing w:after="0"/>
              <w:rPr>
                <w:sz w:val="17"/>
                <w:szCs w:val="17"/>
                <w:color w:val="auto"/>
              </w:rPr>
            </w:pPr>
          </w:p>
        </w:tc>
        <w:tc>
          <w:tcPr>
            <w:tcW w:w="1520" w:type="dxa"/>
            <w:vAlign w:val="bottom"/>
            <w:tcBorders>
              <w:bottom w:val="single" w:sz="8" w:color="9A9A9A"/>
            </w:tcBorders>
          </w:tcPr>
          <w:p>
            <w:pPr>
              <w:spacing w:after="0"/>
              <w:rPr>
                <w:sz w:val="17"/>
                <w:szCs w:val="17"/>
                <w:color w:val="auto"/>
              </w:rPr>
            </w:pPr>
          </w:p>
        </w:tc>
      </w:tr>
      <w:tr>
        <w:trPr>
          <w:trHeight w:val="259"/>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22"/>
                <w:szCs w:val="22"/>
                <w:color w:val="auto"/>
              </w:rPr>
            </w:pPr>
          </w:p>
        </w:tc>
        <w:tc>
          <w:tcPr>
            <w:tcW w:w="152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10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HOUSTON</w:t>
            </w:r>
          </w:p>
        </w:tc>
        <w:tc>
          <w:tcPr>
            <w:tcW w:w="110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TX</w:t>
            </w:r>
          </w:p>
        </w:tc>
        <w:tc>
          <w:tcPr>
            <w:tcW w:w="152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77056</w:t>
            </w:r>
          </w:p>
        </w:tc>
      </w:tr>
      <w:tr>
        <w:trPr>
          <w:trHeight w:val="149"/>
        </w:trPr>
        <w:tc>
          <w:tcPr>
            <w:tcW w:w="20" w:type="dxa"/>
            <w:vAlign w:val="bottom"/>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520" w:type="dxa"/>
            <w:vAlign w:val="bottom"/>
            <w:tcBorders>
              <w:bottom w:val="single" w:sz="8" w:color="9A9A9A"/>
            </w:tcBorders>
          </w:tcPr>
          <w:p>
            <w:pPr>
              <w:spacing w:after="0"/>
              <w:rPr>
                <w:sz w:val="12"/>
                <w:szCs w:val="12"/>
                <w:color w:val="auto"/>
              </w:rPr>
            </w:pPr>
          </w:p>
        </w:tc>
      </w:tr>
      <w:tr>
        <w:trPr>
          <w:trHeight w:val="297"/>
        </w:trPr>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(City)</w:t>
            </w:r>
          </w:p>
        </w:tc>
        <w:tc>
          <w:tcPr>
            <w:tcW w:w="1100" w:type="dxa"/>
            <w:vAlign w:val="bottom"/>
          </w:tcPr>
          <w:p>
            <w:pPr>
              <w:ind w:left="220"/>
              <w:spacing w:after="0"/>
              <w:rPr>
                <w:sz w:val="20"/>
                <w:szCs w:val="20"/>
                <w:color w:val="auto"/>
              </w:rPr>
            </w:pPr>
            <w:r>
              <w:rPr>
                <w:rFonts w:ascii="Arial" w:cs="Arial" w:eastAsia="Arial" w:hAnsi="Arial"/>
                <w:sz w:val="13"/>
                <w:szCs w:val="13"/>
                <w:color w:val="auto"/>
              </w:rPr>
              <w:t>(State)</w:t>
            </w:r>
          </w:p>
        </w:tc>
        <w:tc>
          <w:tcPr>
            <w:tcW w:w="1520" w:type="dxa"/>
            <w:vAlign w:val="bottom"/>
          </w:tcPr>
          <w:p>
            <w:pPr>
              <w:ind w:left="3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2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60" w:type="dxa"/>
            <w:vAlign w:val="bottom"/>
          </w:tcPr>
          <w:p>
            <w:pPr>
              <w:spacing w:after="0"/>
              <w:rPr>
                <w:sz w:val="12"/>
                <w:szCs w:val="12"/>
                <w:color w:val="auto"/>
              </w:rPr>
            </w:pPr>
          </w:p>
        </w:tc>
        <w:tc>
          <w:tcPr>
            <w:tcW w:w="3760" w:type="dxa"/>
            <w:vAlign w:val="bottom"/>
            <w:gridSpan w:val="3"/>
          </w:tcPr>
          <w:p>
            <w:pPr>
              <w:spacing w:after="0" w:line="142"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Weatherford International plc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WFRD</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32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320" w:type="dxa"/>
            <w:vAlign w:val="bottom"/>
            <w:tcBorders>
              <w:bottom w:val="single" w:sz="8" w:color="0000EE"/>
            </w:tcBorders>
          </w:tcPr>
          <w:p>
            <w:pPr>
              <w:spacing w:after="0"/>
              <w:rPr>
                <w:sz w:val="3"/>
                <w:szCs w:val="3"/>
                <w:color w:val="auto"/>
              </w:rPr>
            </w:pPr>
          </w:p>
        </w:tc>
        <w:tc>
          <w:tcPr>
            <w:tcW w:w="13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60" w:type="dxa"/>
            <w:vAlign w:val="bottom"/>
            <w:vMerge w:val="restart"/>
          </w:tcPr>
          <w:p>
            <w:pPr>
              <w:ind w:left="80"/>
              <w:spacing w:after="0" w:line="159"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7"/>
        </w:trPr>
        <w:tc>
          <w:tcPr>
            <w:tcW w:w="6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2320" w:type="dxa"/>
            <w:vAlign w:val="bottom"/>
            <w:tcBorders>
              <w:bottom w:val="single" w:sz="8" w:color="2C2C2C"/>
            </w:tcBorders>
          </w:tcPr>
          <w:p>
            <w:pPr>
              <w:spacing w:after="0"/>
              <w:rPr>
                <w:sz w:val="11"/>
                <w:szCs w:val="11"/>
                <w:color w:val="auto"/>
              </w:rPr>
            </w:pPr>
          </w:p>
        </w:tc>
        <w:tc>
          <w:tcPr>
            <w:tcW w:w="1320" w:type="dxa"/>
            <w:vAlign w:val="bottom"/>
            <w:tcBorders>
              <w:bottom w:val="single" w:sz="8" w:color="2C2C2C"/>
            </w:tcBorders>
          </w:tcPr>
          <w:p>
            <w:pPr>
              <w:spacing w:after="0"/>
              <w:rPr>
                <w:sz w:val="11"/>
                <w:szCs w:val="11"/>
                <w:color w:val="auto"/>
              </w:rPr>
            </w:pPr>
          </w:p>
        </w:tc>
        <w:tc>
          <w:tcPr>
            <w:tcW w:w="18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6"/>
                <w:szCs w:val="16"/>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6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17"/>
        </w:trPr>
        <w:tc>
          <w:tcPr>
            <w:tcW w:w="25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01/18/2024</w:t>
            </w: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60" w:type="dxa"/>
            <w:vAlign w:val="bottom"/>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7"/>
        </w:trPr>
        <w:tc>
          <w:tcPr>
            <w:tcW w:w="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320" w:type="dxa"/>
            <w:vAlign w:val="bottom"/>
            <w:tcBorders>
              <w:bottom w:val="single" w:sz="8" w:color="2C2C2C"/>
            </w:tcBorders>
          </w:tcPr>
          <w:p>
            <w:pPr>
              <w:spacing w:after="0"/>
              <w:rPr>
                <w:sz w:val="8"/>
                <w:szCs w:val="8"/>
                <w:color w:val="auto"/>
              </w:rPr>
            </w:pPr>
          </w:p>
        </w:tc>
        <w:tc>
          <w:tcPr>
            <w:tcW w:w="132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2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2"/>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2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29"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4" w:lineRule="exact"/>
        <w:rPr>
          <w:sz w:val="24"/>
          <w:szCs w:val="24"/>
          <w:color w:val="auto"/>
        </w:rPr>
      </w:pPr>
    </w:p>
    <w:p>
      <w:pPr>
        <w:ind w:left="60"/>
        <w:spacing w:after="0"/>
        <w:rPr>
          <w:sz w:val="20"/>
          <w:szCs w:val="20"/>
          <w:color w:val="auto"/>
        </w:rPr>
      </w:pPr>
      <w:r>
        <w:rPr>
          <w:rFonts w:ascii="Arial" w:cs="Arial" w:eastAsia="Arial" w:hAnsi="Arial"/>
          <w:sz w:val="21"/>
          <w:szCs w:val="21"/>
          <w:color w:val="auto"/>
        </w:rPr>
        <w:t>Rule 10b5-1(c) Transaction Indication</w:t>
      </w:r>
    </w:p>
    <w:p>
      <w:pPr>
        <w:spacing w:after="0" w:line="210" w:lineRule="exact"/>
        <w:rPr>
          <w:sz w:val="24"/>
          <w:szCs w:val="24"/>
          <w:color w:val="auto"/>
        </w:rPr>
      </w:pPr>
    </w:p>
    <w:p>
      <w:pPr>
        <w:ind w:left="320" w:right="320"/>
        <w:spacing w:after="0" w:line="246"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2" w:lineRule="exact"/>
        <w:rPr>
          <w:sz w:val="24"/>
          <w:szCs w:val="24"/>
          <w:color w:val="auto"/>
        </w:rPr>
      </w:pPr>
    </w:p>
    <w:p>
      <w:pPr>
        <w:sectPr>
          <w:pgSz w:w="11900" w:h="16838" w:orient="portrait"/>
          <w:cols w:equalWidth="0" w:num="2">
            <w:col w:w="3740" w:space="10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5"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0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1"/>
                <w:szCs w:val="11"/>
                <w:color w:val="auto"/>
              </w:rPr>
            </w:pPr>
          </w:p>
        </w:tc>
        <w:tc>
          <w:tcPr>
            <w:tcW w:w="98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Transaction</w:t>
            </w:r>
          </w:p>
        </w:tc>
        <w:tc>
          <w:tcPr>
            <w:tcW w:w="1880" w:type="dxa"/>
            <w:vAlign w:val="bottom"/>
            <w:gridSpan w:val="4"/>
          </w:tcPr>
          <w:p>
            <w:pPr>
              <w:ind w:left="120"/>
              <w:spacing w:after="0" w:line="128" w:lineRule="exact"/>
              <w:rPr>
                <w:sz w:val="20"/>
                <w:szCs w:val="20"/>
                <w:color w:val="auto"/>
              </w:rPr>
            </w:pPr>
            <w:r>
              <w:rPr>
                <w:rFonts w:ascii="Arial" w:cs="Arial" w:eastAsia="Arial" w:hAnsi="Arial"/>
                <w:sz w:val="12"/>
                <w:szCs w:val="12"/>
                <w:b w:val="1"/>
                <w:bCs w:val="1"/>
                <w:color w:val="auto"/>
                <w:w w:val="99"/>
              </w:rPr>
              <w:t>Disposed Of (D) (Instr. 3, 4 and</w:t>
            </w:r>
          </w:p>
        </w:tc>
        <w:tc>
          <w:tcPr>
            <w:tcW w:w="10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68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7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50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40"/>
              <w:spacing w:after="0" w:line="129"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4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50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ind w:left="900"/>
              <w:spacing w:after="0"/>
              <w:rPr>
                <w:sz w:val="20"/>
                <w:szCs w:val="20"/>
                <w:color w:val="auto"/>
              </w:rPr>
            </w:pPr>
            <w:r>
              <w:rPr>
                <w:rFonts w:ascii="Times New Roman" w:cs="Times New Roman" w:eastAsia="Times New Roman" w:hAnsi="Times New Roman"/>
                <w:sz w:val="17"/>
                <w:szCs w:val="17"/>
                <w:color w:val="0000FF"/>
              </w:rPr>
              <w:t>01/18/2024</w:t>
            </w:r>
          </w:p>
        </w:tc>
        <w:tc>
          <w:tcPr>
            <w:tcW w:w="5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right"/>
              <w:ind w:right="324"/>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68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5,987</w:t>
            </w:r>
          </w:p>
        </w:tc>
        <w:tc>
          <w:tcPr>
            <w:tcW w:w="6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ind w:left="440"/>
              <w:spacing w:after="0"/>
              <w:rPr>
                <w:sz w:val="20"/>
                <w:szCs w:val="20"/>
                <w:color w:val="auto"/>
              </w:rPr>
            </w:pPr>
            <w:r>
              <w:rPr>
                <w:rFonts w:ascii="Times New Roman" w:cs="Times New Roman" w:eastAsia="Times New Roman" w:hAnsi="Times New Roman"/>
                <w:sz w:val="17"/>
                <w:szCs w:val="17"/>
                <w:color w:val="0000FF"/>
              </w:rPr>
              <w:t>49,944</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ind w:left="900"/>
              <w:spacing w:after="0"/>
              <w:rPr>
                <w:sz w:val="20"/>
                <w:szCs w:val="20"/>
                <w:color w:val="auto"/>
              </w:rPr>
            </w:pPr>
            <w:r>
              <w:rPr>
                <w:rFonts w:ascii="Times New Roman" w:cs="Times New Roman" w:eastAsia="Times New Roman" w:hAnsi="Times New Roman"/>
                <w:sz w:val="17"/>
                <w:szCs w:val="17"/>
                <w:color w:val="0000FF"/>
              </w:rPr>
              <w:t>01/18/2024</w:t>
            </w:r>
          </w:p>
        </w:tc>
        <w:tc>
          <w:tcPr>
            <w:tcW w:w="5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right"/>
              <w:ind w:right="344"/>
              <w:spacing w:after="0"/>
              <w:rPr>
                <w:sz w:val="20"/>
                <w:szCs w:val="20"/>
                <w:color w:val="auto"/>
              </w:rPr>
            </w:pPr>
            <w:r>
              <w:rPr>
                <w:rFonts w:ascii="Times New Roman" w:cs="Times New Roman" w:eastAsia="Times New Roman" w:hAnsi="Times New Roman"/>
                <w:sz w:val="25"/>
                <w:szCs w:val="25"/>
                <w:color w:val="0000FF"/>
                <w:vertAlign w:val="subscript"/>
              </w:rPr>
              <w:t>D</w:t>
            </w:r>
            <w:r>
              <w:rPr>
                <w:rFonts w:ascii="Times New Roman" w:cs="Times New Roman" w:eastAsia="Times New Roman" w:hAnsi="Times New Roman"/>
                <w:sz w:val="11"/>
                <w:szCs w:val="11"/>
                <w:color w:val="008000"/>
              </w:rPr>
              <w:t>(2)</w:t>
            </w:r>
          </w:p>
        </w:tc>
        <w:tc>
          <w:tcPr>
            <w:tcW w:w="68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2,215</w:t>
            </w:r>
          </w:p>
        </w:tc>
        <w:tc>
          <w:tcPr>
            <w:tcW w:w="6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5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94.5</w:t>
            </w:r>
          </w:p>
        </w:tc>
        <w:tc>
          <w:tcPr>
            <w:tcW w:w="1300" w:type="dxa"/>
            <w:vAlign w:val="bottom"/>
            <w:tcBorders>
              <w:bottom w:val="single" w:sz="8" w:color="2C2C2C"/>
            </w:tcBorders>
            <w:gridSpan w:val="3"/>
          </w:tcPr>
          <w:p>
            <w:pPr>
              <w:ind w:left="440"/>
              <w:spacing w:after="0"/>
              <w:rPr>
                <w:sz w:val="20"/>
                <w:szCs w:val="20"/>
                <w:color w:val="auto"/>
              </w:rPr>
            </w:pPr>
            <w:r>
              <w:rPr>
                <w:rFonts w:ascii="Times New Roman" w:cs="Times New Roman" w:eastAsia="Times New Roman" w:hAnsi="Times New Roman"/>
                <w:sz w:val="17"/>
                <w:szCs w:val="17"/>
                <w:color w:val="0000FF"/>
              </w:rPr>
              <w:t>47,729</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2"/>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00" w:type="dxa"/>
            <w:vAlign w:val="bottom"/>
            <w:gridSpan w:val="10"/>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8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 of</w:t>
            </w:r>
          </w:p>
        </w:tc>
        <w:tc>
          <w:tcPr>
            <w:tcW w:w="146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4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6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4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 (A)</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or 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Derivative Security</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gridSpan w:val="2"/>
            <w:vMerge w:val="restart"/>
          </w:tcPr>
          <w:p>
            <w:pPr>
              <w:jc w:val="right"/>
              <w:ind w:right="324"/>
              <w:spacing w:after="0"/>
              <w:rPr>
                <w:sz w:val="20"/>
                <w:szCs w:val="20"/>
                <w:color w:val="auto"/>
              </w:rPr>
            </w:pPr>
            <w:r>
              <w:rPr>
                <w:rFonts w:ascii="Times New Roman" w:cs="Times New Roman" w:eastAsia="Times New Roman" w:hAnsi="Times New Roman"/>
                <w:sz w:val="11"/>
                <w:szCs w:val="11"/>
                <w:color w:val="008000"/>
              </w:rPr>
              <w:t>(1)</w:t>
            </w:r>
          </w:p>
        </w:tc>
        <w:tc>
          <w:tcPr>
            <w:tcW w:w="68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008000"/>
              </w:rPr>
              <w:t>(1)</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5,987</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Share</w:t>
            </w:r>
          </w:p>
        </w:tc>
        <w:tc>
          <w:tcPr>
            <w:tcW w:w="780" w:type="dxa"/>
            <w:vAlign w:val="bottom"/>
            <w:vMerge w:val="continue"/>
          </w:tcPr>
          <w:p>
            <w:pPr>
              <w:spacing w:after="0"/>
              <w:rPr>
                <w:sz w:val="5"/>
                <w:szCs w:val="5"/>
                <w:color w:val="auto"/>
              </w:rPr>
            </w:pPr>
          </w:p>
        </w:tc>
        <w:tc>
          <w:tcPr>
            <w:tcW w:w="1040" w:type="dxa"/>
            <w:vAlign w:val="bottom"/>
            <w:vMerge w:val="restart"/>
          </w:tcPr>
          <w:p>
            <w:pPr>
              <w:jc w:val="right"/>
              <w:ind w:right="140"/>
              <w:spacing w:after="0" w:line="142" w:lineRule="exact"/>
              <w:rPr>
                <w:sz w:val="20"/>
                <w:szCs w:val="20"/>
                <w:color w:val="auto"/>
              </w:rPr>
            </w:pPr>
            <w:r>
              <w:rPr>
                <w:rFonts w:ascii="Times New Roman" w:cs="Times New Roman" w:eastAsia="Times New Roman" w:hAnsi="Times New Roman"/>
                <w:sz w:val="13"/>
                <w:szCs w:val="13"/>
                <w:color w:val="0000FF"/>
              </w:rPr>
              <w:t>01/18/2024</w:t>
            </w:r>
          </w:p>
        </w:tc>
        <w:tc>
          <w:tcPr>
            <w:tcW w:w="1120" w:type="dxa"/>
            <w:vAlign w:val="bottom"/>
          </w:tcPr>
          <w:p>
            <w:pPr>
              <w:spacing w:after="0"/>
              <w:rPr>
                <w:sz w:val="5"/>
                <w:szCs w:val="5"/>
                <w:color w:val="auto"/>
              </w:rPr>
            </w:pPr>
          </w:p>
        </w:tc>
        <w:tc>
          <w:tcPr>
            <w:tcW w:w="74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M</w:t>
            </w:r>
          </w:p>
        </w:tc>
        <w:tc>
          <w:tcPr>
            <w:tcW w:w="500" w:type="dxa"/>
            <w:vAlign w:val="bottom"/>
          </w:tcPr>
          <w:p>
            <w:pPr>
              <w:spacing w:after="0"/>
              <w:rPr>
                <w:sz w:val="5"/>
                <w:szCs w:val="5"/>
                <w:color w:val="auto"/>
              </w:rPr>
            </w:pPr>
          </w:p>
        </w:tc>
        <w:tc>
          <w:tcPr>
            <w:tcW w:w="48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5,987</w:t>
            </w:r>
          </w:p>
        </w:tc>
        <w:tc>
          <w:tcPr>
            <w:tcW w:w="78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gridSpan w:val="2"/>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vMerge w:val="restart"/>
          </w:tcPr>
          <w:p>
            <w:pPr>
              <w:jc w:val="right"/>
              <w:ind w:right="101"/>
              <w:spacing w:after="0" w:line="142"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5"/>
                <w:szCs w:val="5"/>
                <w:color w:val="auto"/>
              </w:rPr>
            </w:pPr>
          </w:p>
        </w:tc>
        <w:tc>
          <w:tcPr>
            <w:tcW w:w="66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500" w:type="dxa"/>
            <w:vAlign w:val="bottom"/>
          </w:tcPr>
          <w:p>
            <w:pPr>
              <w:spacing w:after="0"/>
              <w:rPr>
                <w:sz w:val="6"/>
                <w:szCs w:val="6"/>
                <w:color w:val="auto"/>
              </w:rPr>
            </w:pPr>
          </w:p>
        </w:tc>
        <w:tc>
          <w:tcPr>
            <w:tcW w:w="480" w:type="dxa"/>
            <w:vAlign w:val="bottom"/>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Shares</w:t>
            </w:r>
          </w:p>
        </w:tc>
        <w:tc>
          <w:tcPr>
            <w:tcW w:w="5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50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50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(3)</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gridSpan w:val="2"/>
            <w:vMerge w:val="restart"/>
          </w:tcPr>
          <w:p>
            <w:pPr>
              <w:jc w:val="right"/>
              <w:ind w:right="324"/>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008000"/>
              </w:rPr>
              <w:t>(3)</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3,499</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Share</w:t>
            </w:r>
          </w:p>
        </w:tc>
        <w:tc>
          <w:tcPr>
            <w:tcW w:w="780" w:type="dxa"/>
            <w:vAlign w:val="bottom"/>
            <w:vMerge w:val="continue"/>
          </w:tcPr>
          <w:p>
            <w:pPr>
              <w:spacing w:after="0"/>
              <w:rPr>
                <w:sz w:val="5"/>
                <w:szCs w:val="5"/>
                <w:color w:val="auto"/>
              </w:rPr>
            </w:pPr>
          </w:p>
        </w:tc>
        <w:tc>
          <w:tcPr>
            <w:tcW w:w="1040" w:type="dxa"/>
            <w:vAlign w:val="bottom"/>
            <w:vMerge w:val="restart"/>
          </w:tcPr>
          <w:p>
            <w:pPr>
              <w:jc w:val="right"/>
              <w:ind w:right="140"/>
              <w:spacing w:after="0" w:line="142" w:lineRule="exact"/>
              <w:rPr>
                <w:sz w:val="20"/>
                <w:szCs w:val="20"/>
                <w:color w:val="auto"/>
              </w:rPr>
            </w:pPr>
            <w:r>
              <w:rPr>
                <w:rFonts w:ascii="Times New Roman" w:cs="Times New Roman" w:eastAsia="Times New Roman" w:hAnsi="Times New Roman"/>
                <w:sz w:val="13"/>
                <w:szCs w:val="13"/>
                <w:color w:val="0000FF"/>
              </w:rPr>
              <w:t>01/18/2024</w:t>
            </w:r>
          </w:p>
        </w:tc>
        <w:tc>
          <w:tcPr>
            <w:tcW w:w="1120" w:type="dxa"/>
            <w:vAlign w:val="bottom"/>
          </w:tcPr>
          <w:p>
            <w:pPr>
              <w:spacing w:after="0"/>
              <w:rPr>
                <w:sz w:val="5"/>
                <w:szCs w:val="5"/>
                <w:color w:val="auto"/>
              </w:rPr>
            </w:pPr>
          </w:p>
        </w:tc>
        <w:tc>
          <w:tcPr>
            <w:tcW w:w="74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A</w:t>
            </w:r>
          </w:p>
        </w:tc>
        <w:tc>
          <w:tcPr>
            <w:tcW w:w="500" w:type="dxa"/>
            <w:vAlign w:val="bottom"/>
            <w:vMerge w:val="restart"/>
          </w:tcPr>
          <w:p>
            <w:pPr>
              <w:ind w:left="140"/>
              <w:spacing w:after="0" w:line="142" w:lineRule="exact"/>
              <w:rPr>
                <w:sz w:val="20"/>
                <w:szCs w:val="20"/>
                <w:color w:val="auto"/>
              </w:rPr>
            </w:pPr>
            <w:r>
              <w:rPr>
                <w:rFonts w:ascii="Times New Roman" w:cs="Times New Roman" w:eastAsia="Times New Roman" w:hAnsi="Times New Roman"/>
                <w:sz w:val="13"/>
                <w:szCs w:val="13"/>
                <w:color w:val="0000FF"/>
              </w:rPr>
              <w:t>3,499</w:t>
            </w:r>
          </w:p>
        </w:tc>
        <w:tc>
          <w:tcPr>
            <w:tcW w:w="48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gridSpan w:val="2"/>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vMerge w:val="restart"/>
          </w:tcPr>
          <w:p>
            <w:pPr>
              <w:jc w:val="right"/>
              <w:spacing w:after="0" w:line="142" w:lineRule="exact"/>
              <w:rPr>
                <w:sz w:val="20"/>
                <w:szCs w:val="20"/>
                <w:color w:val="auto"/>
              </w:rPr>
            </w:pPr>
            <w:r>
              <w:rPr>
                <w:rFonts w:ascii="Times New Roman" w:cs="Times New Roman" w:eastAsia="Times New Roman" w:hAnsi="Times New Roman"/>
                <w:sz w:val="13"/>
                <w:szCs w:val="13"/>
                <w:color w:val="0000FF"/>
              </w:rPr>
              <w:t>3,499</w:t>
            </w:r>
          </w:p>
        </w:tc>
        <w:tc>
          <w:tcPr>
            <w:tcW w:w="280" w:type="dxa"/>
            <w:vAlign w:val="bottom"/>
          </w:tcPr>
          <w:p>
            <w:pPr>
              <w:spacing w:after="0"/>
              <w:rPr>
                <w:sz w:val="5"/>
                <w:szCs w:val="5"/>
                <w:color w:val="auto"/>
              </w:rPr>
            </w:pPr>
          </w:p>
        </w:tc>
        <w:tc>
          <w:tcPr>
            <w:tcW w:w="66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48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Shares</w:t>
            </w:r>
          </w:p>
        </w:tc>
        <w:tc>
          <w:tcPr>
            <w:tcW w:w="5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50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50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-2193290</wp:posOffset>
            </wp:positionV>
            <wp:extent cx="29210" cy="2198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9837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4"/>
          <w:szCs w:val="24"/>
          <w:color w:val="auto"/>
        </w:rPr>
      </w:pPr>
    </w:p>
    <w:p>
      <w:pPr>
        <w:ind w:left="40" w:right="220" w:firstLine="2"/>
        <w:spacing w:after="0" w:line="254"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vesting of restricted share units ("RSUs") granted on January 18, 2023 pursuant to the Issuer's 2019 Equity Incentive Plan, as amended and restated (the "2019 EIP"). The RSUs vest on the first anniversary of the date of grant.</w:t>
      </w:r>
    </w:p>
    <w:p>
      <w:pPr>
        <w:spacing w:after="0" w:line="18" w:lineRule="exact"/>
        <w:rPr>
          <w:rFonts w:ascii="Times New Roman" w:cs="Times New Roman" w:eastAsia="Times New Roman" w:hAnsi="Times New Roman"/>
          <w:sz w:val="13"/>
          <w:szCs w:val="13"/>
          <w:color w:val="008000"/>
        </w:rPr>
      </w:pPr>
    </w:p>
    <w:p>
      <w:pPr>
        <w:ind w:left="40" w:right="160" w:firstLine="2"/>
        <w:spacing w:after="0" w:line="254"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At the election of the Committee administering the 2019 EIP, the vesting of the RSUs was settled partially in stock and partially in cash. Represents the deemed disposition of the ordinary shares underlying the portion of vested RSUs settled in cash.</w:t>
      </w:r>
    </w:p>
    <w:p>
      <w:pPr>
        <w:spacing w:after="0" w:line="18"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RSUs granted on January 18, 2024 pursuant to the 2019 EIP. The RSUs vest on the first anniversary of the grant date.</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1"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2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Christine M. Morrison by</w:t>
            </w:r>
          </w:p>
        </w:tc>
        <w:tc>
          <w:tcPr>
            <w:tcW w:w="78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w w:val="95"/>
              </w:rPr>
              <w:t>01/22/2024</w:t>
            </w:r>
          </w:p>
        </w:tc>
        <w:tc>
          <w:tcPr>
            <w:tcW w:w="0" w:type="dxa"/>
            <w:vAlign w:val="bottom"/>
          </w:tcPr>
          <w:p>
            <w:pPr>
              <w:spacing w:after="0"/>
              <w:rPr>
                <w:sz w:val="1"/>
                <w:szCs w:val="1"/>
                <w:color w:val="auto"/>
              </w:rPr>
            </w:pPr>
          </w:p>
        </w:tc>
      </w:tr>
      <w:tr>
        <w:trPr>
          <w:trHeight w:val="88"/>
        </w:trPr>
        <w:tc>
          <w:tcPr>
            <w:tcW w:w="1260" w:type="dxa"/>
            <w:vAlign w:val="bottom"/>
            <w:tcBorders>
              <w:top w:val="single" w:sz="8" w:color="auto"/>
              <w:bottom w:val="single" w:sz="8" w:color="auto"/>
            </w:tcBorders>
            <w:vMerge w:val="restart"/>
          </w:tcPr>
          <w:p>
            <w:pPr>
              <w:ind w:left="20"/>
              <w:spacing w:after="0" w:line="186" w:lineRule="exact"/>
              <w:rPr>
                <w:sz w:val="20"/>
                <w:szCs w:val="20"/>
                <w:color w:val="auto"/>
              </w:rPr>
            </w:pPr>
            <w:r>
              <w:rPr>
                <w:rFonts w:ascii="Times New Roman" w:cs="Times New Roman" w:eastAsia="Times New Roman" w:hAnsi="Times New Roman"/>
                <w:sz w:val="17"/>
                <w:szCs w:val="17"/>
                <w:color w:val="0000FF"/>
                <w:w w:val="96"/>
              </w:rPr>
              <w:t>Power of Attorney</w:t>
            </w:r>
          </w:p>
        </w:tc>
        <w:tc>
          <w:tcPr>
            <w:tcW w:w="460" w:type="dxa"/>
            <w:vAlign w:val="bottom"/>
            <w:tcBorders>
              <w:top w:val="single" w:sz="8" w:color="auto"/>
              <w:bottom w:val="single" w:sz="8" w:color="auto"/>
            </w:tcBorders>
            <w:vMerge w:val="restart"/>
          </w:tcPr>
          <w:p>
            <w:pPr>
              <w:spacing w:after="0"/>
              <w:rPr>
                <w:sz w:val="7"/>
                <w:szCs w:val="7"/>
                <w:color w:val="auto"/>
              </w:rPr>
            </w:pPr>
          </w:p>
        </w:tc>
        <w:tc>
          <w:tcPr>
            <w:tcW w:w="480" w:type="dxa"/>
            <w:vAlign w:val="bottom"/>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260" w:type="dxa"/>
            <w:vAlign w:val="bottom"/>
            <w:tcBorders>
              <w:bottom w:val="single" w:sz="8" w:color="auto"/>
            </w:tcBorders>
            <w:vMerge w:val="continue"/>
          </w:tcPr>
          <w:p>
            <w:pPr>
              <w:spacing w:after="0"/>
              <w:rPr>
                <w:sz w:val="7"/>
                <w:szCs w:val="7"/>
                <w:color w:val="auto"/>
              </w:rPr>
            </w:pPr>
          </w:p>
        </w:tc>
        <w:tc>
          <w:tcPr>
            <w:tcW w:w="460" w:type="dxa"/>
            <w:vAlign w:val="bottom"/>
            <w:vMerge w:val="continue"/>
          </w:tcPr>
          <w:p>
            <w:pPr>
              <w:spacing w:after="0"/>
              <w:rPr>
                <w:sz w:val="7"/>
                <w:szCs w:val="7"/>
                <w:color w:val="auto"/>
              </w:rPr>
            </w:pPr>
          </w:p>
        </w:tc>
        <w:tc>
          <w:tcPr>
            <w:tcW w:w="48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200" w:type="dxa"/>
            <w:vAlign w:val="bottom"/>
            <w:gridSpan w:val="3"/>
          </w:tcPr>
          <w:p>
            <w:pPr>
              <w:ind w:left="20"/>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ind w:left="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4"/>
          <w:szCs w:val="24"/>
          <w:color w:val="auto"/>
        </w:rPr>
      </w:pPr>
    </w:p>
    <w:p>
      <w:pPr>
        <w:jc w:val="both"/>
        <w:ind w:left="40" w:right="3620" w:firstLine="2"/>
        <w:spacing w:after="0" w:line="335"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270321" TargetMode="External"/><Relationship Id="rId13" Type="http://schemas.openxmlformats.org/officeDocument/2006/relationships/hyperlink" Target="http://www.sec.gov/cgi-bin/browse-edgar?action=getcompany&amp;CIK=00016039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2024-01-22T15:43:10Z</dcterms:created>
  <dcterms:modified xsi:type="dcterms:W3CDTF">2024-01-22T15:43:10Z</dcterms:modified>
</cp:coreProperties>
</file>