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2"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SECURITIES AND EXCHANGE COMMISSION</w:t>
      </w:r>
    </w:p>
    <w:p>
      <w:pPr>
        <w:spacing w:after="0" w:line="18"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WASHINGTON, D.C. 20549</w:t>
      </w:r>
    </w:p>
    <w:p>
      <w:pPr>
        <w:spacing w:after="0" w:line="133" w:lineRule="exact"/>
        <w:rPr>
          <w:sz w:val="24"/>
          <w:szCs w:val="24"/>
          <w:color w:val="auto"/>
        </w:rPr>
      </w:pPr>
    </w:p>
    <w:p>
      <w:pPr>
        <w:ind w:left="340"/>
        <w:spacing w:after="0"/>
        <w:tabs>
          <w:tab w:leader="none" w:pos="540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15"/>
          <w:szCs w:val="15"/>
          <w:b w:val="1"/>
          <w:bCs w:val="1"/>
          <w:color w:val="auto"/>
        </w:rPr>
        <w:t>Form 10-Q</w:t>
      </w:r>
    </w:p>
    <w:p>
      <w:pPr>
        <w:spacing w:after="0" w:line="124" w:lineRule="exact"/>
        <w:rPr>
          <w:sz w:val="24"/>
          <w:szCs w:val="24"/>
          <w:color w:val="auto"/>
        </w:rPr>
      </w:pPr>
    </w:p>
    <w:p>
      <w:pPr>
        <w:ind w:left="700" w:hanging="358"/>
        <w:spacing w:after="0"/>
        <w:tabs>
          <w:tab w:leader="none" w:pos="70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4" w:lineRule="exact"/>
        <w:rPr>
          <w:sz w:val="24"/>
          <w:szCs w:val="24"/>
          <w:color w:val="auto"/>
        </w:rPr>
      </w:pPr>
    </w:p>
    <w:p>
      <w:pPr>
        <w:jc w:val="right"/>
        <w:ind w:right="6000"/>
        <w:spacing w:after="0"/>
        <w:tabs>
          <w:tab w:leader="none" w:pos="75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September 30, 2022</w:t>
      </w:r>
    </w:p>
    <w:p>
      <w:pPr>
        <w:spacing w:after="0" w:line="33" w:lineRule="exact"/>
        <w:rPr>
          <w:sz w:val="24"/>
          <w:szCs w:val="24"/>
          <w:color w:val="auto"/>
        </w:rPr>
      </w:pPr>
    </w:p>
    <w:p>
      <w:pPr>
        <w:jc w:val="right"/>
        <w:ind w:right="5980"/>
        <w:spacing w:after="0"/>
        <w:rPr>
          <w:sz w:val="20"/>
          <w:szCs w:val="20"/>
          <w:color w:val="auto"/>
        </w:rPr>
      </w:pPr>
      <w:r>
        <w:rPr>
          <w:rFonts w:ascii="Arial" w:cs="Arial" w:eastAsia="Arial" w:hAnsi="Arial"/>
          <w:sz w:val="18"/>
          <w:szCs w:val="18"/>
          <w:color w:val="auto"/>
        </w:rPr>
        <w:t>or</w:t>
      </w:r>
    </w:p>
    <w:p>
      <w:pPr>
        <w:spacing w:after="0" w:line="16" w:lineRule="exact"/>
        <w:rPr>
          <w:sz w:val="24"/>
          <w:szCs w:val="24"/>
          <w:color w:val="auto"/>
        </w:rPr>
      </w:pPr>
    </w:p>
    <w:p>
      <w:pPr>
        <w:ind w:left="700" w:hanging="358"/>
        <w:spacing w:after="0"/>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2" w:lineRule="exact"/>
        <w:rPr>
          <w:sz w:val="24"/>
          <w:szCs w:val="24"/>
          <w:color w:val="auto"/>
        </w:rPr>
      </w:pPr>
    </w:p>
    <w:p>
      <w:pPr>
        <w:ind w:left="70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4"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240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420" w:type="dxa"/>
            <w:vAlign w:val="bottom"/>
          </w:tcPr>
          <w:p>
            <w:pPr>
              <w:jc w:val="right"/>
              <w:spacing w:after="0"/>
              <w:rPr>
                <w:sz w:val="20"/>
                <w:szCs w:val="20"/>
                <w:color w:val="auto"/>
              </w:rPr>
            </w:pPr>
            <w:r>
              <w:rPr>
                <w:rFonts w:ascii="Arial" w:cs="Arial" w:eastAsia="Arial" w:hAnsi="Arial"/>
                <w:sz w:val="18"/>
                <w:szCs w:val="18"/>
                <w:color w:val="auto"/>
              </w:rPr>
              <w:t>001-36504</w:t>
            </w:r>
          </w:p>
        </w:tc>
      </w:tr>
    </w:tbl>
    <w:p>
      <w:pPr>
        <w:spacing w:after="0" w:line="80"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Weatherford International plc</w:t>
      </w:r>
    </w:p>
    <w:p>
      <w:pPr>
        <w:spacing w:after="0" w:line="6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(Exact Name of Registrant as Specified in Its Charter)</w:t>
      </w:r>
    </w:p>
    <w:p>
      <w:pPr>
        <w:spacing w:after="0" w:line="132" w:lineRule="exact"/>
        <w:rPr>
          <w:sz w:val="24"/>
          <w:szCs w:val="24"/>
          <w:color w:val="auto"/>
        </w:rPr>
      </w:pPr>
    </w:p>
    <w:tbl>
      <w:tblPr>
        <w:tblLayout w:type="fixed"/>
        <w:tblInd w:w="360" w:type="dxa"/>
        <w:tblCellMar>
          <w:top w:w="0" w:type="dxa"/>
          <w:left w:w="0" w:type="dxa"/>
          <w:bottom w:w="0" w:type="dxa"/>
          <w:right w:w="0" w:type="dxa"/>
        </w:tblCellMar>
      </w:tblPr>
      <w:tr>
        <w:trPr>
          <w:trHeight w:val="230"/>
        </w:trPr>
        <w:tc>
          <w:tcPr>
            <w:tcW w:w="6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420" w:type="dxa"/>
            <w:vAlign w:val="bottom"/>
          </w:tcPr>
          <w:p>
            <w:pPr>
              <w:spacing w:after="0"/>
              <w:rPr>
                <w:sz w:val="19"/>
                <w:szCs w:val="19"/>
                <w:color w:val="auto"/>
              </w:rPr>
            </w:pPr>
          </w:p>
        </w:tc>
        <w:tc>
          <w:tcPr>
            <w:tcW w:w="3620" w:type="dxa"/>
            <w:vAlign w:val="bottom"/>
            <w:tcBorders>
              <w:bottom w:val="single" w:sz="8" w:color="auto"/>
            </w:tcBorders>
          </w:tcPr>
          <w:p>
            <w:pPr>
              <w:jc w:val="right"/>
              <w:ind w:right="1312"/>
              <w:spacing w:after="0"/>
              <w:rPr>
                <w:sz w:val="20"/>
                <w:szCs w:val="20"/>
                <w:color w:val="auto"/>
              </w:rPr>
            </w:pPr>
            <w:r>
              <w:rPr>
                <w:rFonts w:ascii="Arial" w:cs="Arial" w:eastAsia="Arial" w:hAnsi="Arial"/>
                <w:sz w:val="18"/>
                <w:szCs w:val="18"/>
                <w:b w:val="1"/>
                <w:bCs w:val="1"/>
                <w:color w:val="auto"/>
              </w:rPr>
              <w:t>98-0606750</w:t>
            </w:r>
          </w:p>
        </w:tc>
      </w:tr>
      <w:tr>
        <w:trPr>
          <w:trHeight w:val="218"/>
        </w:trPr>
        <w:tc>
          <w:tcPr>
            <w:tcW w:w="72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62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478"/>
        </w:trPr>
        <w:tc>
          <w:tcPr>
            <w:tcW w:w="68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2000 St. James Place , Houston   , Texas</w:t>
            </w:r>
          </w:p>
        </w:tc>
        <w:tc>
          <w:tcPr>
            <w:tcW w:w="420" w:type="dxa"/>
            <w:vAlign w:val="bottom"/>
          </w:tcPr>
          <w:p>
            <w:pPr>
              <w:spacing w:after="0"/>
              <w:rPr>
                <w:sz w:val="24"/>
                <w:szCs w:val="24"/>
                <w:color w:val="auto"/>
              </w:rPr>
            </w:pPr>
          </w:p>
        </w:tc>
        <w:tc>
          <w:tcPr>
            <w:tcW w:w="3620" w:type="dxa"/>
            <w:vAlign w:val="bottom"/>
            <w:tcBorders>
              <w:bottom w:val="single" w:sz="8" w:color="auto"/>
            </w:tcBorders>
          </w:tcPr>
          <w:p>
            <w:pPr>
              <w:jc w:val="right"/>
              <w:ind w:right="1512"/>
              <w:spacing w:after="0"/>
              <w:rPr>
                <w:sz w:val="20"/>
                <w:szCs w:val="20"/>
                <w:color w:val="auto"/>
              </w:rPr>
            </w:pPr>
            <w:r>
              <w:rPr>
                <w:rFonts w:ascii="Arial" w:cs="Arial" w:eastAsia="Arial" w:hAnsi="Arial"/>
                <w:sz w:val="18"/>
                <w:szCs w:val="18"/>
                <w:b w:val="1"/>
                <w:bCs w:val="1"/>
                <w:color w:val="auto"/>
              </w:rPr>
              <w:t>77056</w:t>
            </w:r>
          </w:p>
        </w:tc>
      </w:tr>
      <w:tr>
        <w:trPr>
          <w:trHeight w:val="218"/>
        </w:trPr>
        <w:tc>
          <w:tcPr>
            <w:tcW w:w="724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(Address of Principal Executive Offices)</w:t>
            </w:r>
          </w:p>
        </w:tc>
        <w:tc>
          <w:tcPr>
            <w:tcW w:w="36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62"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713.836.4000</w:t>
      </w:r>
    </w:p>
    <w:p>
      <w:pPr>
        <w:spacing w:after="0" w:line="138"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567690</wp:posOffset>
            </wp:positionH>
            <wp:positionV relativeFrom="paragraph">
              <wp:posOffset>14605</wp:posOffset>
            </wp:positionV>
            <wp:extent cx="6268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8085" cy="8255"/>
                    </a:xfrm>
                    <a:prstGeom prst="rect">
                      <a:avLst/>
                    </a:prstGeom>
                    <a:noFill/>
                  </pic:spPr>
                </pic:pic>
              </a:graphicData>
            </a:graphic>
          </wp:anchor>
        </w:drawing>
      </w:r>
    </w:p>
    <w:p>
      <w:pPr>
        <w:spacing w:after="0" w:line="18"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8"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8" w:lineRule="exact"/>
        <w:rPr>
          <w:sz w:val="24"/>
          <w:szCs w:val="24"/>
          <w:color w:val="auto"/>
        </w:rPr>
      </w:pPr>
    </w:p>
    <w:tbl>
      <w:tblPr>
        <w:tblLayout w:type="fixed"/>
        <w:tblInd w:w="320" w:type="dxa"/>
        <w:tblCellMar>
          <w:top w:w="0" w:type="dxa"/>
          <w:left w:w="0" w:type="dxa"/>
          <w:bottom w:w="0" w:type="dxa"/>
          <w:right w:w="0" w:type="dxa"/>
        </w:tblCellMar>
      </w:tblPr>
      <w:tr>
        <w:trPr>
          <w:trHeight w:val="230"/>
        </w:trPr>
        <w:tc>
          <w:tcPr>
            <w:tcW w:w="39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Title of each class</w:t>
            </w:r>
          </w:p>
        </w:tc>
        <w:tc>
          <w:tcPr>
            <w:tcW w:w="25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8"/>
              </w:rPr>
              <w:t>Trading Symbol(s)</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18"/>
        </w:trPr>
        <w:tc>
          <w:tcPr>
            <w:tcW w:w="3960" w:type="dxa"/>
            <w:vAlign w:val="bottom"/>
          </w:tcPr>
          <w:p>
            <w:pPr>
              <w:jc w:val="center"/>
              <w:ind w:right="72"/>
              <w:spacing w:after="0"/>
              <w:rPr>
                <w:sz w:val="20"/>
                <w:szCs w:val="20"/>
                <w:color w:val="auto"/>
              </w:rPr>
            </w:pPr>
            <w:r>
              <w:rPr>
                <w:rFonts w:ascii="Arial" w:cs="Arial" w:eastAsia="Arial" w:hAnsi="Arial"/>
                <w:sz w:val="18"/>
                <w:szCs w:val="18"/>
                <w:color w:val="auto"/>
                <w:w w:val="87"/>
              </w:rPr>
              <w:t>Ordinary shares, $0.001 par value per share</w:t>
            </w:r>
          </w:p>
        </w:tc>
        <w:tc>
          <w:tcPr>
            <w:tcW w:w="2520" w:type="dxa"/>
            <w:vAlign w:val="bottom"/>
          </w:tcPr>
          <w:p>
            <w:pPr>
              <w:jc w:val="center"/>
              <w:ind w:right="32"/>
              <w:spacing w:after="0"/>
              <w:rPr>
                <w:sz w:val="20"/>
                <w:szCs w:val="20"/>
                <w:color w:val="auto"/>
              </w:rPr>
            </w:pPr>
            <w:r>
              <w:rPr>
                <w:rFonts w:ascii="Arial" w:cs="Arial" w:eastAsia="Arial" w:hAnsi="Arial"/>
                <w:sz w:val="18"/>
                <w:szCs w:val="18"/>
                <w:color w:val="auto"/>
                <w:w w:val="96"/>
              </w:rPr>
              <w:t>WFRD</w:t>
            </w:r>
          </w:p>
        </w:tc>
        <w:tc>
          <w:tcPr>
            <w:tcW w:w="4500" w:type="dxa"/>
            <w:vAlign w:val="bottom"/>
          </w:tcPr>
          <w:p>
            <w:pPr>
              <w:jc w:val="center"/>
              <w:spacing w:after="0"/>
              <w:rPr>
                <w:sz w:val="20"/>
                <w:szCs w:val="20"/>
                <w:color w:val="auto"/>
              </w:rPr>
            </w:pPr>
            <w:r>
              <w:rPr>
                <w:rFonts w:ascii="Arial" w:cs="Arial" w:eastAsia="Arial" w:hAnsi="Arial"/>
                <w:sz w:val="18"/>
                <w:szCs w:val="18"/>
                <w:color w:val="auto"/>
                <w:w w:val="89"/>
              </w:rPr>
              <w:t>The Nasdaq Global Select Market</w:t>
            </w:r>
          </w:p>
        </w:tc>
      </w:tr>
    </w:tbl>
    <w:p>
      <w:pPr>
        <w:spacing w:after="0" w:line="373" w:lineRule="exact"/>
        <w:rPr>
          <w:sz w:val="24"/>
          <w:szCs w:val="24"/>
          <w:color w:val="auto"/>
        </w:rPr>
      </w:pPr>
    </w:p>
    <w:p>
      <w:pPr>
        <w:jc w:val="both"/>
        <w:ind w:right="60" w:firstLine="318"/>
        <w:spacing w:after="0" w:line="30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3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4" w:lineRule="exact"/>
        <w:rPr>
          <w:sz w:val="24"/>
          <w:szCs w:val="24"/>
          <w:color w:val="auto"/>
        </w:rPr>
      </w:pPr>
    </w:p>
    <w:p>
      <w:pPr>
        <w:jc w:val="both"/>
        <w:ind w:right="60" w:firstLine="397"/>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202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1" w:lineRule="exact"/>
        <w:rPr>
          <w:sz w:val="24"/>
          <w:szCs w:val="24"/>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1320" w:type="dxa"/>
        <w:tblCellMar>
          <w:top w:w="0" w:type="dxa"/>
          <w:left w:w="0" w:type="dxa"/>
          <w:bottom w:w="0" w:type="dxa"/>
          <w:right w:w="0" w:type="dxa"/>
        </w:tblCellMar>
      </w:tblPr>
      <w:tr>
        <w:trPr>
          <w:trHeight w:val="265"/>
        </w:trPr>
        <w:tc>
          <w:tcPr>
            <w:tcW w:w="3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30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3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8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October 21, 2022, there were 70,608,639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570230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320" w:top="1314" w:right="27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10-Q for the Third Quarter and Nine Months Ended September 30,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40" w:type="dxa"/>
            <w:vAlign w:val="bottom"/>
            <w:gridSpan w:val="3"/>
          </w:tcPr>
          <w:p>
            <w:pPr>
              <w:ind w:left="15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8"/>
        </w:trPr>
        <w:tc>
          <w:tcPr>
            <w:tcW w:w="34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PAGE</w:t>
            </w:r>
          </w:p>
        </w:tc>
        <w:tc>
          <w:tcPr>
            <w:tcW w:w="100" w:type="dxa"/>
            <w:vAlign w:val="bottom"/>
            <w:tcBorders>
              <w:bottom w:val="single" w:sz="8" w:color="auto"/>
            </w:tcBorders>
          </w:tcPr>
          <w:p>
            <w:pPr>
              <w:spacing w:after="0"/>
              <w:rPr>
                <w:sz w:val="24"/>
                <w:szCs w:val="24"/>
                <w:color w:val="auto"/>
              </w:rPr>
            </w:pPr>
          </w:p>
        </w:tc>
      </w:tr>
      <w:tr>
        <w:trPr>
          <w:trHeight w:val="186"/>
        </w:trPr>
        <w:tc>
          <w:tcPr>
            <w:tcW w:w="340" w:type="dxa"/>
            <w:vAlign w:val="bottom"/>
            <w:tcBorders>
              <w:right w:val="single" w:sz="8" w:color="CCEEFF"/>
            </w:tcBorders>
          </w:tcPr>
          <w:p>
            <w:pPr>
              <w:spacing w:after="0"/>
              <w:rPr>
                <w:sz w:val="16"/>
                <w:szCs w:val="16"/>
                <w:color w:val="auto"/>
              </w:rPr>
            </w:pPr>
          </w:p>
        </w:tc>
        <w:tc>
          <w:tcPr>
            <w:tcW w:w="3100" w:type="dxa"/>
            <w:vAlign w:val="bottom"/>
            <w:tcBorders>
              <w:bottom w:val="single" w:sz="8" w:color="0000FF"/>
            </w:tcBorders>
            <w:gridSpan w:val="12"/>
            <w:shd w:val="clear" w:color="auto" w:fill="CCEEFF"/>
          </w:tcPr>
          <w:p>
            <w:pPr>
              <w:spacing w:after="0" w:line="166" w:lineRule="exact"/>
              <w:rPr>
                <w:sz w:val="20"/>
                <w:szCs w:val="20"/>
                <w:color w:val="auto"/>
              </w:rPr>
            </w:pPr>
            <w:r>
              <w:rPr>
                <w:rFonts w:ascii="Arial" w:cs="Arial" w:eastAsia="Arial" w:hAnsi="Arial"/>
                <w:sz w:val="18"/>
                <w:szCs w:val="18"/>
                <w:b w:val="1"/>
                <w:bCs w:val="1"/>
                <w:color w:val="0000FF"/>
                <w:w w:val="99"/>
              </w:rPr>
              <w:t>PART I – FINANCIAL INFORMATION</w:t>
            </w:r>
          </w:p>
        </w:tc>
        <w:tc>
          <w:tcPr>
            <w:tcW w:w="6840" w:type="dxa"/>
            <w:vAlign w:val="bottom"/>
            <w:tcBorders>
              <w:bottom w:val="single" w:sz="8" w:color="CCEEFF"/>
            </w:tcBorders>
            <w:gridSpan w:val="3"/>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9940" w:type="dxa"/>
            <w:vAlign w:val="bottom"/>
            <w:gridSpan w:val="15"/>
          </w:tcPr>
          <w:p>
            <w:pPr>
              <w:spacing w:after="0" w:line="186" w:lineRule="exact"/>
              <w:rPr>
                <w:sz w:val="20"/>
                <w:szCs w:val="20"/>
                <w:color w:val="auto"/>
              </w:rPr>
            </w:pPr>
            <w:r>
              <w:rPr>
                <w:rFonts w:ascii="Arial" w:cs="Arial" w:eastAsia="Arial" w:hAnsi="Arial"/>
                <w:sz w:val="18"/>
                <w:szCs w:val="18"/>
                <w:color w:val="0000FF"/>
              </w:rPr>
              <w:t>Item 1. Financial Statements.</w:t>
            </w:r>
          </w:p>
        </w:tc>
        <w:tc>
          <w:tcPr>
            <w:tcW w:w="680" w:type="dxa"/>
            <w:vAlign w:val="bottom"/>
            <w:gridSpan w:val="2"/>
          </w:tcPr>
          <w:p>
            <w:pPr>
              <w:jc w:val="center"/>
              <w:ind w:left="492"/>
              <w:spacing w:after="0" w:line="186" w:lineRule="exact"/>
              <w:rPr>
                <w:sz w:val="20"/>
                <w:szCs w:val="20"/>
                <w:color w:val="auto"/>
              </w:rPr>
            </w:pPr>
            <w:r>
              <w:rPr>
                <w:rFonts w:ascii="Arial" w:cs="Arial" w:eastAsia="Arial" w:hAnsi="Arial"/>
                <w:sz w:val="18"/>
                <w:szCs w:val="18"/>
                <w:color w:val="0000FF"/>
                <w:w w:val="99"/>
              </w:rPr>
              <w:t>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
        </w:trPr>
        <w:tc>
          <w:tcPr>
            <w:tcW w:w="3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960" w:type="dxa"/>
            <w:vAlign w:val="bottom"/>
            <w:gridSpan w:val="3"/>
            <w:shd w:val="clear" w:color="auto" w:fill="CCEEFF"/>
          </w:tcPr>
          <w:p>
            <w:pPr>
              <w:jc w:val="center"/>
              <w:ind w:left="212"/>
              <w:spacing w:after="0" w:line="195" w:lineRule="exact"/>
              <w:rPr>
                <w:sz w:val="20"/>
                <w:szCs w:val="20"/>
                <w:color w:val="auto"/>
              </w:rPr>
            </w:pPr>
            <w:r>
              <w:rPr>
                <w:rFonts w:ascii="Arial" w:cs="Arial" w:eastAsia="Arial" w:hAnsi="Arial"/>
                <w:sz w:val="18"/>
                <w:szCs w:val="18"/>
                <w:color w:val="0000FF"/>
                <w:w w:val="89"/>
              </w:rPr>
              <w:t>17</w:t>
            </w:r>
          </w:p>
        </w:tc>
        <w:tc>
          <w:tcPr>
            <w:tcW w:w="100" w:type="dxa"/>
            <w:vAlign w:val="bottom"/>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6900" w:type="dxa"/>
            <w:vAlign w:val="bottom"/>
            <w:tcBorders>
              <w:top w:val="single" w:sz="8" w:color="0000FF"/>
            </w:tcBorders>
            <w:gridSpan w:val="14"/>
          </w:tcPr>
          <w:p>
            <w:pPr>
              <w:spacing w:after="0" w:line="186" w:lineRule="exact"/>
              <w:rPr>
                <w:sz w:val="20"/>
                <w:szCs w:val="20"/>
                <w:color w:val="auto"/>
              </w:rPr>
            </w:pPr>
            <w:r>
              <w:rPr>
                <w:rFonts w:ascii="Arial" w:cs="Arial" w:eastAsia="Arial" w:hAnsi="Arial"/>
                <w:sz w:val="18"/>
                <w:szCs w:val="18"/>
                <w:color w:val="0000FF"/>
              </w:rPr>
              <w:t>Item 3. Quantitative and Qualitative Disclosures About Market Risk.</w:t>
            </w:r>
          </w:p>
        </w:tc>
        <w:tc>
          <w:tcPr>
            <w:tcW w:w="304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5" w:lineRule="exact"/>
              <w:rPr>
                <w:sz w:val="20"/>
                <w:szCs w:val="20"/>
                <w:color w:val="auto"/>
              </w:rPr>
            </w:pPr>
            <w:r>
              <w:rPr>
                <w:rFonts w:ascii="Arial" w:cs="Arial" w:eastAsia="Arial" w:hAnsi="Arial"/>
                <w:sz w:val="17"/>
                <w:szCs w:val="17"/>
                <w:color w:val="0000FF"/>
                <w:w w:val="73"/>
              </w:rPr>
              <w:t>28</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4860" w:type="dxa"/>
            <w:vAlign w:val="bottom"/>
            <w:tcBorders>
              <w:top w:val="single" w:sz="8" w:color="0000FF"/>
            </w:tcBorders>
            <w:gridSpan w:val="13"/>
            <w:shd w:val="clear" w:color="auto" w:fill="CCEEFF"/>
          </w:tcPr>
          <w:p>
            <w:pPr>
              <w:spacing w:after="0" w:line="195" w:lineRule="exact"/>
              <w:rPr>
                <w:sz w:val="20"/>
                <w:szCs w:val="20"/>
                <w:color w:val="auto"/>
              </w:rPr>
            </w:pPr>
            <w:r>
              <w:rPr>
                <w:rFonts w:ascii="Arial" w:cs="Arial" w:eastAsia="Arial" w:hAnsi="Arial"/>
                <w:sz w:val="18"/>
                <w:szCs w:val="18"/>
                <w:color w:val="0000FF"/>
              </w:rPr>
              <w:t>Item 4. Controls and Procedures.</w:t>
            </w:r>
          </w:p>
        </w:tc>
        <w:tc>
          <w:tcPr>
            <w:tcW w:w="5080" w:type="dxa"/>
            <w:vAlign w:val="bottom"/>
            <w:gridSpan w:val="2"/>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28</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2"/>
        </w:trPr>
        <w:tc>
          <w:tcPr>
            <w:tcW w:w="340" w:type="dxa"/>
            <w:vAlign w:val="bottom"/>
          </w:tcPr>
          <w:p>
            <w:pPr>
              <w:spacing w:after="0"/>
              <w:rPr>
                <w:sz w:val="21"/>
                <w:szCs w:val="21"/>
                <w:color w:val="auto"/>
              </w:rPr>
            </w:pPr>
          </w:p>
        </w:tc>
        <w:tc>
          <w:tcPr>
            <w:tcW w:w="1080" w:type="dxa"/>
            <w:vAlign w:val="bottom"/>
            <w:tcBorders>
              <w:top w:val="single" w:sz="8" w:color="0000FF"/>
            </w:tcBorders>
            <w:gridSpan w:val="2"/>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0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9940" w:type="dxa"/>
            <w:vAlign w:val="bottom"/>
            <w:gridSpan w:val="15"/>
            <w:shd w:val="clear" w:color="auto" w:fill="CCEEFF"/>
          </w:tcPr>
          <w:p>
            <w:pPr>
              <w:spacing w:after="0" w:line="186" w:lineRule="exact"/>
              <w:rPr>
                <w:sz w:val="20"/>
                <w:szCs w:val="20"/>
                <w:color w:val="auto"/>
              </w:rPr>
            </w:pPr>
            <w:r>
              <w:rPr>
                <w:rFonts w:ascii="Arial" w:cs="Arial" w:eastAsia="Arial" w:hAnsi="Arial"/>
                <w:sz w:val="18"/>
                <w:szCs w:val="18"/>
                <w:b w:val="1"/>
                <w:bCs w:val="1"/>
                <w:color w:val="0000FF"/>
              </w:rPr>
              <w:t>PART II – OTHER INFORMATION</w:t>
            </w: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340" w:type="dxa"/>
            <w:vAlign w:val="bottom"/>
          </w:tcPr>
          <w:p>
            <w:pPr>
              <w:spacing w:after="0"/>
              <w:rPr>
                <w:sz w:val="16"/>
                <w:szCs w:val="16"/>
                <w:color w:val="auto"/>
              </w:rPr>
            </w:pPr>
          </w:p>
        </w:tc>
        <w:tc>
          <w:tcPr>
            <w:tcW w:w="1900" w:type="dxa"/>
            <w:vAlign w:val="bottom"/>
            <w:tcBorders>
              <w:top w:val="single" w:sz="8" w:color="0000FF"/>
              <w:bottom w:val="single" w:sz="8" w:color="0000FF"/>
            </w:tcBorders>
            <w:gridSpan w:val="6"/>
          </w:tcPr>
          <w:p>
            <w:pPr>
              <w:spacing w:after="0" w:line="186" w:lineRule="exact"/>
              <w:rPr>
                <w:sz w:val="20"/>
                <w:szCs w:val="20"/>
                <w:color w:val="auto"/>
              </w:rPr>
            </w:pPr>
            <w:r>
              <w:rPr>
                <w:rFonts w:ascii="Arial" w:cs="Arial" w:eastAsia="Arial" w:hAnsi="Arial"/>
                <w:sz w:val="18"/>
                <w:szCs w:val="18"/>
                <w:color w:val="0000FF"/>
                <w:w w:val="87"/>
              </w:rPr>
              <w:t>Item 1. Legal Proceedings.</w:t>
            </w:r>
          </w:p>
        </w:tc>
        <w:tc>
          <w:tcPr>
            <w:tcW w:w="900" w:type="dxa"/>
            <w:vAlign w:val="bottom"/>
            <w:tcBorders>
              <w:top w:val="single" w:sz="8" w:color="0000FF"/>
            </w:tcBorders>
            <w:gridSpan w:val="4"/>
          </w:tcPr>
          <w:p>
            <w:pPr>
              <w:spacing w:after="0"/>
              <w:rPr>
                <w:sz w:val="16"/>
                <w:szCs w:val="16"/>
                <w:color w:val="auto"/>
              </w:rPr>
            </w:pPr>
          </w:p>
        </w:tc>
        <w:tc>
          <w:tcPr>
            <w:tcW w:w="7140" w:type="dxa"/>
            <w:vAlign w:val="bottom"/>
            <w:tcBorders>
              <w:top w:val="single" w:sz="8" w:color="CCEEFF"/>
            </w:tcBorders>
            <w:gridSpan w:val="5"/>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CCEEFF"/>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w w:val="73"/>
              </w:rPr>
              <w:t>28</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940" w:type="dxa"/>
            <w:vAlign w:val="bottom"/>
            <w:gridSpan w:val="15"/>
            <w:shd w:val="clear" w:color="auto" w:fill="CCEEFF"/>
          </w:tcPr>
          <w:p>
            <w:pPr>
              <w:spacing w:after="0" w:line="195" w:lineRule="exact"/>
              <w:rPr>
                <w:sz w:val="20"/>
                <w:szCs w:val="20"/>
                <w:color w:val="auto"/>
              </w:rPr>
            </w:pPr>
            <w:r>
              <w:rPr>
                <w:rFonts w:ascii="Arial" w:cs="Arial" w:eastAsia="Arial" w:hAnsi="Arial"/>
                <w:sz w:val="18"/>
                <w:szCs w:val="18"/>
                <w:color w:val="0000FF"/>
              </w:rPr>
              <w:t>Item 1A. Risk Factors.</w:t>
            </w:r>
          </w:p>
        </w:tc>
        <w:tc>
          <w:tcPr>
            <w:tcW w:w="960" w:type="dxa"/>
            <w:vAlign w:val="bottom"/>
            <w:gridSpan w:val="3"/>
            <w:shd w:val="clear" w:color="auto" w:fill="CCEEFF"/>
          </w:tcPr>
          <w:p>
            <w:pPr>
              <w:jc w:val="center"/>
              <w:ind w:left="212"/>
              <w:spacing w:after="0" w:line="195" w:lineRule="exact"/>
              <w:rPr>
                <w:sz w:val="20"/>
                <w:szCs w:val="20"/>
                <w:color w:val="auto"/>
              </w:rPr>
            </w:pPr>
            <w:r>
              <w:rPr>
                <w:rFonts w:ascii="Arial" w:cs="Arial" w:eastAsia="Arial" w:hAnsi="Arial"/>
                <w:sz w:val="18"/>
                <w:szCs w:val="18"/>
                <w:color w:val="0000FF"/>
                <w:w w:val="89"/>
              </w:rPr>
              <w:t>28</w:t>
            </w:r>
          </w:p>
        </w:tc>
        <w:tc>
          <w:tcPr>
            <w:tcW w:w="100" w:type="dxa"/>
            <w:vAlign w:val="bottom"/>
            <w:shd w:val="clear" w:color="auto" w:fill="CCEEFF"/>
          </w:tcPr>
          <w:p>
            <w:pPr>
              <w:spacing w:after="0"/>
              <w:rPr>
                <w:sz w:val="16"/>
                <w:szCs w:val="16"/>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5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95"/>
        </w:trPr>
        <w:tc>
          <w:tcPr>
            <w:tcW w:w="340" w:type="dxa"/>
            <w:vAlign w:val="bottom"/>
          </w:tcPr>
          <w:p>
            <w:pPr>
              <w:spacing w:after="0"/>
              <w:rPr>
                <w:sz w:val="16"/>
                <w:szCs w:val="16"/>
                <w:color w:val="auto"/>
              </w:rPr>
            </w:pPr>
          </w:p>
        </w:tc>
        <w:tc>
          <w:tcPr>
            <w:tcW w:w="4860" w:type="dxa"/>
            <w:vAlign w:val="bottom"/>
            <w:tcBorders>
              <w:bottom w:val="single" w:sz="8" w:color="0000FF"/>
            </w:tcBorders>
            <w:gridSpan w:val="13"/>
          </w:tcPr>
          <w:p>
            <w:pPr>
              <w:spacing w:after="0" w:line="186" w:lineRule="exact"/>
              <w:rPr>
                <w:sz w:val="20"/>
                <w:szCs w:val="20"/>
                <w:color w:val="auto"/>
              </w:rPr>
            </w:pPr>
            <w:r>
              <w:rPr>
                <w:rFonts w:ascii="Arial" w:cs="Arial" w:eastAsia="Arial" w:hAnsi="Arial"/>
                <w:sz w:val="18"/>
                <w:szCs w:val="18"/>
                <w:color w:val="0000FF"/>
                <w:w w:val="87"/>
              </w:rPr>
              <w:t>Item 2. Unregistered Sales of Equity Securities and Use of Proceeds.</w:t>
            </w:r>
          </w:p>
        </w:tc>
        <w:tc>
          <w:tcPr>
            <w:tcW w:w="508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w w:val="73"/>
              </w:rPr>
              <w:t>28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bottom w:val="single" w:sz="8" w:color="0000FF"/>
            </w:tcBorders>
            <w:shd w:val="clear" w:color="auto" w:fill="CCEEFF"/>
          </w:tcPr>
          <w:p>
            <w:pPr>
              <w:spacing w:after="0" w:line="195" w:lineRule="exact"/>
              <w:rPr>
                <w:sz w:val="20"/>
                <w:szCs w:val="20"/>
                <w:color w:val="auto"/>
              </w:rPr>
            </w:pPr>
            <w:r>
              <w:rPr>
                <w:rFonts w:ascii="Arial" w:cs="Arial" w:eastAsia="Arial" w:hAnsi="Arial"/>
                <w:sz w:val="18"/>
                <w:szCs w:val="18"/>
                <w:color w:val="0000FF"/>
                <w:w w:val="90"/>
              </w:rPr>
              <w:t>Item 3.</w:t>
            </w:r>
          </w:p>
        </w:tc>
        <w:tc>
          <w:tcPr>
            <w:tcW w:w="2360" w:type="dxa"/>
            <w:vAlign w:val="bottom"/>
            <w:tcBorders>
              <w:bottom w:val="single" w:sz="8" w:color="0000FF"/>
            </w:tcBorders>
            <w:gridSpan w:val="10"/>
            <w:shd w:val="clear" w:color="auto" w:fill="CCEEFF"/>
          </w:tcPr>
          <w:p>
            <w:pPr>
              <w:ind w:left="20"/>
              <w:spacing w:after="0" w:line="195" w:lineRule="exact"/>
              <w:rPr>
                <w:sz w:val="20"/>
                <w:szCs w:val="20"/>
                <w:color w:val="auto"/>
              </w:rPr>
            </w:pPr>
            <w:r>
              <w:rPr>
                <w:rFonts w:ascii="Arial" w:cs="Arial" w:eastAsia="Arial" w:hAnsi="Arial"/>
                <w:sz w:val="18"/>
                <w:szCs w:val="18"/>
                <w:color w:val="0000FF"/>
                <w:w w:val="89"/>
              </w:rPr>
              <w:t>Defaults Upon Senior Securities.</w:t>
            </w:r>
          </w:p>
        </w:tc>
        <w:tc>
          <w:tcPr>
            <w:tcW w:w="7060" w:type="dxa"/>
            <w:vAlign w:val="bottom"/>
            <w:tcBorders>
              <w:bottom w:val="single" w:sz="8" w:color="CCEEFF"/>
            </w:tcBorders>
            <w:gridSpan w:val="4"/>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28</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Pr>
          <w:p>
            <w:pPr>
              <w:spacing w:after="0" w:line="186" w:lineRule="exact"/>
              <w:rPr>
                <w:sz w:val="20"/>
                <w:szCs w:val="20"/>
                <w:color w:val="auto"/>
              </w:rPr>
            </w:pPr>
            <w:r>
              <w:rPr>
                <w:rFonts w:ascii="Arial" w:cs="Arial" w:eastAsia="Arial" w:hAnsi="Arial"/>
                <w:sz w:val="18"/>
                <w:szCs w:val="18"/>
                <w:color w:val="0000FF"/>
                <w:w w:val="90"/>
              </w:rPr>
              <w:t>Item 4.</w:t>
            </w:r>
          </w:p>
        </w:tc>
        <w:tc>
          <w:tcPr>
            <w:tcW w:w="9420" w:type="dxa"/>
            <w:vAlign w:val="bottom"/>
            <w:gridSpan w:val="14"/>
          </w:tcPr>
          <w:p>
            <w:pPr>
              <w:ind w:left="20"/>
              <w:spacing w:after="0" w:line="186" w:lineRule="exact"/>
              <w:rPr>
                <w:sz w:val="20"/>
                <w:szCs w:val="20"/>
                <w:color w:val="auto"/>
              </w:rPr>
            </w:pPr>
            <w:r>
              <w:rPr>
                <w:rFonts w:ascii="Arial" w:cs="Arial" w:eastAsia="Arial" w:hAnsi="Arial"/>
                <w:sz w:val="18"/>
                <w:szCs w:val="18"/>
                <w:color w:val="0000FF"/>
              </w:rPr>
              <w:t>Mine Safety Disclosures</w:t>
            </w:r>
            <w:r>
              <w:rPr>
                <w:rFonts w:ascii="Arial" w:cs="Arial" w:eastAsia="Arial" w:hAnsi="Arial"/>
                <w:sz w:val="18"/>
                <w:szCs w:val="18"/>
                <w:color w:val="000000"/>
              </w:rPr>
              <w:t>.</w:t>
            </w:r>
          </w:p>
        </w:tc>
        <w:tc>
          <w:tcPr>
            <w:tcW w:w="960" w:type="dxa"/>
            <w:vAlign w:val="bottom"/>
            <w:gridSpan w:val="3"/>
          </w:tcPr>
          <w:p>
            <w:pPr>
              <w:jc w:val="center"/>
              <w:ind w:left="212"/>
              <w:spacing w:after="0" w:line="186" w:lineRule="exact"/>
              <w:rPr>
                <w:sz w:val="20"/>
                <w:szCs w:val="20"/>
                <w:color w:val="auto"/>
              </w:rPr>
            </w:pPr>
            <w:r>
              <w:rPr>
                <w:rFonts w:ascii="Arial" w:cs="Arial" w:eastAsia="Arial" w:hAnsi="Arial"/>
                <w:sz w:val="18"/>
                <w:szCs w:val="18"/>
                <w:color w:val="0000FF"/>
                <w:w w:val="89"/>
              </w:rPr>
              <w:t>28</w:t>
            </w: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bottom w:val="single" w:sz="8" w:color="0000FF"/>
            </w:tcBorders>
            <w:shd w:val="clear" w:color="auto" w:fill="CCEEFF"/>
          </w:tcPr>
          <w:p>
            <w:pPr>
              <w:spacing w:after="0" w:line="195" w:lineRule="exact"/>
              <w:rPr>
                <w:sz w:val="20"/>
                <w:szCs w:val="20"/>
                <w:color w:val="auto"/>
              </w:rPr>
            </w:pPr>
            <w:r>
              <w:rPr>
                <w:rFonts w:ascii="Arial" w:cs="Arial" w:eastAsia="Arial" w:hAnsi="Arial"/>
                <w:sz w:val="18"/>
                <w:szCs w:val="18"/>
                <w:color w:val="0000FF"/>
                <w:w w:val="90"/>
              </w:rPr>
              <w:t>Item 5.</w:t>
            </w:r>
          </w:p>
        </w:tc>
        <w:tc>
          <w:tcPr>
            <w:tcW w:w="1360" w:type="dxa"/>
            <w:vAlign w:val="bottom"/>
            <w:tcBorders>
              <w:top w:val="single" w:sz="8" w:color="0000FF"/>
              <w:bottom w:val="single" w:sz="8" w:color="0000FF"/>
            </w:tcBorders>
            <w:gridSpan w:val="4"/>
            <w:shd w:val="clear" w:color="auto" w:fill="CCEEFF"/>
          </w:tcPr>
          <w:p>
            <w:pPr>
              <w:ind w:left="20"/>
              <w:spacing w:after="0" w:line="195" w:lineRule="exact"/>
              <w:rPr>
                <w:sz w:val="20"/>
                <w:szCs w:val="20"/>
                <w:color w:val="auto"/>
              </w:rPr>
            </w:pPr>
            <w:r>
              <w:rPr>
                <w:rFonts w:ascii="Arial" w:cs="Arial" w:eastAsia="Arial" w:hAnsi="Arial"/>
                <w:sz w:val="18"/>
                <w:szCs w:val="18"/>
                <w:color w:val="0000FF"/>
                <w:w w:val="90"/>
              </w:rPr>
              <w:t>Other Information.</w:t>
            </w:r>
          </w:p>
        </w:tc>
        <w:tc>
          <w:tcPr>
            <w:tcW w:w="4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7660" w:type="dxa"/>
            <w:vAlign w:val="bottom"/>
            <w:tcBorders>
              <w:bottom w:val="single" w:sz="8" w:color="CCEEFF"/>
            </w:tcBorders>
            <w:gridSpan w:val="7"/>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29</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w w:val="90"/>
              </w:rPr>
              <w:t>Item 6.</w:t>
            </w:r>
          </w:p>
        </w:tc>
        <w:tc>
          <w:tcPr>
            <w:tcW w:w="660" w:type="dxa"/>
            <w:vAlign w:val="bottom"/>
            <w:tcBorders>
              <w:bottom w:val="single" w:sz="8" w:color="0000FF"/>
            </w:tcBorders>
            <w:gridSpan w:val="2"/>
          </w:tcPr>
          <w:p>
            <w:pPr>
              <w:ind w:left="20"/>
              <w:spacing w:after="0" w:line="186" w:lineRule="exact"/>
              <w:rPr>
                <w:sz w:val="20"/>
                <w:szCs w:val="20"/>
                <w:color w:val="auto"/>
              </w:rPr>
            </w:pPr>
            <w:r>
              <w:rPr>
                <w:rFonts w:ascii="Arial" w:cs="Arial" w:eastAsia="Arial" w:hAnsi="Arial"/>
                <w:sz w:val="18"/>
                <w:szCs w:val="18"/>
                <w:color w:val="0000FF"/>
                <w:w w:val="91"/>
              </w:rPr>
              <w:t>Exhibits.</w:t>
            </w:r>
          </w:p>
        </w:tc>
        <w:tc>
          <w:tcPr>
            <w:tcW w:w="8760" w:type="dxa"/>
            <w:vAlign w:val="bottom"/>
            <w:gridSpan w:val="1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w w:val="73"/>
              </w:rPr>
              <w:t>29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Arial" w:cs="Arial" w:eastAsia="Arial" w:hAnsi="Arial"/>
                <w:sz w:val="18"/>
                <w:szCs w:val="18"/>
                <w:color w:val="0000FF"/>
              </w:rPr>
              <w:t>SIGNATURES</w:t>
            </w:r>
          </w:p>
        </w:tc>
        <w:tc>
          <w:tcPr>
            <w:tcW w:w="960" w:type="dxa"/>
            <w:vAlign w:val="bottom"/>
            <w:gridSpan w:val="3"/>
            <w:shd w:val="clear" w:color="auto" w:fill="CCEEFF"/>
          </w:tcPr>
          <w:p>
            <w:pPr>
              <w:jc w:val="center"/>
              <w:ind w:left="212"/>
              <w:spacing w:after="0" w:line="195" w:lineRule="exact"/>
              <w:rPr>
                <w:sz w:val="20"/>
                <w:szCs w:val="20"/>
                <w:color w:val="auto"/>
              </w:rPr>
            </w:pPr>
            <w:r>
              <w:rPr>
                <w:rFonts w:ascii="Arial" w:cs="Arial" w:eastAsia="Arial" w:hAnsi="Arial"/>
                <w:sz w:val="18"/>
                <w:szCs w:val="18"/>
                <w:color w:val="0000FF"/>
                <w:w w:val="89"/>
              </w:rPr>
              <w:t>30</w:t>
            </w:r>
          </w:p>
        </w:tc>
        <w:tc>
          <w:tcPr>
            <w:tcW w:w="100" w:type="dxa"/>
            <w:vAlign w:val="bottom"/>
            <w:shd w:val="clear" w:color="auto" w:fill="CCEEFF"/>
          </w:tcPr>
          <w:p>
            <w:pPr>
              <w:spacing w:after="0"/>
              <w:rPr>
                <w:sz w:val="18"/>
                <w:szCs w:val="18"/>
                <w:color w:val="auto"/>
              </w:rPr>
            </w:pPr>
          </w:p>
        </w:tc>
      </w:tr>
      <w:tr>
        <w:trPr>
          <w:trHeight w:val="887"/>
        </w:trPr>
        <w:tc>
          <w:tcPr>
            <w:tcW w:w="3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820" w:type="dxa"/>
            <w:vAlign w:val="bottom"/>
            <w:tcBorders>
              <w:top w:val="single" w:sz="8" w:color="CCEEFF"/>
            </w:tcBorders>
            <w:gridSpan w:val="12"/>
          </w:tcPr>
          <w:p>
            <w:pPr>
              <w:jc w:val="right"/>
              <w:ind w:right="1420"/>
              <w:spacing w:after="0"/>
              <w:rPr>
                <w:sz w:val="20"/>
                <w:szCs w:val="20"/>
                <w:color w:val="auto"/>
              </w:rPr>
            </w:pPr>
            <w:r>
              <w:rPr>
                <w:rFonts w:ascii="Arial" w:cs="Arial" w:eastAsia="Arial" w:hAnsi="Arial"/>
                <w:sz w:val="18"/>
                <w:szCs w:val="18"/>
                <w:color w:val="auto"/>
              </w:rPr>
              <w:t>1</w:t>
            </w:r>
          </w:p>
        </w:tc>
        <w:tc>
          <w:tcPr>
            <w:tcW w:w="30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8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4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9"/>
                <w:szCs w:val="19"/>
                <w:color w:val="auto"/>
              </w:rPr>
            </w:pPr>
          </w:p>
        </w:tc>
        <w:tc>
          <w:tcPr>
            <w:tcW w:w="196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6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c>
          <w:tcPr>
            <w:tcW w:w="280" w:type="dxa"/>
            <w:vAlign w:val="bottom"/>
          </w:tcPr>
          <w:p>
            <w:pPr>
              <w:spacing w:after="0"/>
              <w:rPr>
                <w:sz w:val="19"/>
                <w:szCs w:val="19"/>
                <w:color w:val="auto"/>
              </w:rPr>
            </w:pPr>
          </w:p>
        </w:tc>
        <w:tc>
          <w:tcPr>
            <w:tcW w:w="1960" w:type="dxa"/>
            <w:vAlign w:val="bottom"/>
            <w:gridSpan w:val="3"/>
          </w:tcPr>
          <w:p>
            <w:pPr>
              <w:jc w:val="right"/>
              <w:ind w:right="392"/>
              <w:spacing w:after="0"/>
              <w:rPr>
                <w:sz w:val="20"/>
                <w:szCs w:val="20"/>
                <w:color w:val="auto"/>
              </w:rPr>
            </w:pPr>
            <w:r>
              <w:rPr>
                <w:rFonts w:ascii="Arial" w:cs="Arial" w:eastAsia="Arial" w:hAnsi="Arial"/>
                <w:sz w:val="18"/>
                <w:szCs w:val="18"/>
                <w:b w:val="1"/>
                <w:bCs w:val="1"/>
                <w:color w:val="auto"/>
              </w:rPr>
              <w:t>September 30,</w:t>
            </w:r>
          </w:p>
        </w:tc>
      </w:tr>
      <w:tr>
        <w:trPr>
          <w:trHeight w:val="21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2021</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Arial" w:cs="Arial" w:eastAsia="Arial" w:hAnsi="Arial"/>
                <w:sz w:val="18"/>
                <w:szCs w:val="18"/>
                <w:color w:val="auto"/>
              </w:rPr>
              <w:t>Services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698</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1,243</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6"/>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62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6"/>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55</w:t>
            </w:r>
          </w:p>
        </w:tc>
      </w:tr>
      <w:tr>
        <w:trPr>
          <w:trHeight w:val="225"/>
        </w:trPr>
        <w:tc>
          <w:tcPr>
            <w:tcW w:w="6240" w:type="dxa"/>
            <w:vAlign w:val="bottom"/>
          </w:tcPr>
          <w:p>
            <w:pPr>
              <w:ind w:left="10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2C2C2C"/>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Charges (Credits)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19"/>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4"/>
        </w:trPr>
        <w:tc>
          <w:tcPr>
            <w:tcW w:w="624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6"/>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Extinguishment of Debt and Bond Redemption Premium</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C2C2C"/>
              </w:rPr>
              <w:t>(5</w:t>
            </w:r>
          </w:p>
        </w:tc>
      </w:tr>
      <w:tr>
        <w:trPr>
          <w:trHeight w:val="225"/>
        </w:trPr>
        <w:tc>
          <w:tcPr>
            <w:tcW w:w="6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C2C2C"/>
              </w:rPr>
              <w:t>(1</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Weatherford</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(Loss) per Share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5"/>
        </w:trPr>
        <w:tc>
          <w:tcPr>
            <w:tcW w:w="6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25"/>
        </w:trPr>
        <w:tc>
          <w:tcPr>
            <w:tcW w:w="6240" w:type="dxa"/>
            <w:vAlign w:val="bottom"/>
          </w:tcPr>
          <w:p>
            <w:pPr>
              <w:ind w:left="20"/>
              <w:spacing w:after="0"/>
              <w:rPr>
                <w:sz w:val="20"/>
                <w:szCs w:val="20"/>
                <w:color w:val="auto"/>
              </w:rPr>
            </w:pPr>
            <w:r>
              <w:rPr>
                <w:rFonts w:ascii="Arial" w:cs="Arial" w:eastAsia="Arial" w:hAnsi="Arial"/>
                <w:sz w:val="18"/>
                <w:szCs w:val="18"/>
                <w:color w:val="auto"/>
              </w:rPr>
              <w:t>Diluted Income (Loss) per Share</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47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23"/>
        </w:trPr>
        <w:tc>
          <w:tcPr>
            <w:tcW w:w="1260" w:type="dxa"/>
            <w:vAlign w:val="bottom"/>
            <w:tcBorders>
              <w:top w:val="single" w:sz="8" w:color="0000FF"/>
            </w:tcBorders>
          </w:tcPr>
          <w:p>
            <w:pPr>
              <w:spacing w:after="0"/>
              <w:rPr>
                <w:sz w:val="24"/>
                <w:szCs w:val="24"/>
                <w:color w:val="auto"/>
              </w:rPr>
            </w:pPr>
          </w:p>
        </w:tc>
        <w:tc>
          <w:tcPr>
            <w:tcW w:w="7400" w:type="dxa"/>
            <w:vAlign w:val="bottom"/>
            <w:gridSpan w:val="7"/>
          </w:tcPr>
          <w:p>
            <w:pPr>
              <w:jc w:val="center"/>
              <w:ind w:left="912"/>
              <w:spacing w:after="0"/>
              <w:rPr>
                <w:sz w:val="20"/>
                <w:szCs w:val="20"/>
                <w:color w:val="auto"/>
              </w:rPr>
            </w:pPr>
            <w:r>
              <w:rPr>
                <w:rFonts w:ascii="Arial" w:cs="Arial" w:eastAsia="Arial" w:hAnsi="Arial"/>
                <w:sz w:val="18"/>
                <w:szCs w:val="18"/>
                <w:b w:val="1"/>
                <w:bCs w:val="1"/>
                <w:color w:val="auto"/>
                <w:w w:val="99"/>
              </w:rPr>
              <w:t>WEATHERFORD INTERNATIONAL PLC AND SUBSIDIARIES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2"/>
        </w:trPr>
        <w:tc>
          <w:tcPr>
            <w:tcW w:w="1260" w:type="dxa"/>
            <w:vAlign w:val="bottom"/>
          </w:tcPr>
          <w:p>
            <w:pPr>
              <w:spacing w:after="0"/>
              <w:rPr>
                <w:sz w:val="18"/>
                <w:szCs w:val="18"/>
                <w:color w:val="auto"/>
              </w:rPr>
            </w:pPr>
          </w:p>
        </w:tc>
        <w:tc>
          <w:tcPr>
            <w:tcW w:w="7400" w:type="dxa"/>
            <w:vAlign w:val="bottom"/>
            <w:gridSpan w:val="7"/>
          </w:tcPr>
          <w:p>
            <w:pPr>
              <w:jc w:val="center"/>
              <w:ind w:left="912"/>
              <w:spacing w:after="0"/>
              <w:rPr>
                <w:sz w:val="20"/>
                <w:szCs w:val="20"/>
                <w:color w:val="auto"/>
              </w:rPr>
            </w:pPr>
            <w:r>
              <w:rPr>
                <w:rFonts w:ascii="Arial" w:cs="Arial" w:eastAsia="Arial" w:hAnsi="Arial"/>
                <w:sz w:val="18"/>
                <w:szCs w:val="18"/>
                <w:b w:val="1"/>
                <w:bCs w:val="1"/>
                <w:color w:val="auto"/>
                <w:w w:val="97"/>
              </w:rPr>
              <w:t>CONDENSED CONSOLIDATED STATEMENTS OF COMPREHENSIVE (LOSS)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12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8"/>
        </w:trPr>
        <w:tc>
          <w:tcPr>
            <w:tcW w:w="12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21"/>
                <w:szCs w:val="21"/>
                <w:color w:val="auto"/>
              </w:rPr>
            </w:pPr>
          </w:p>
        </w:tc>
        <w:tc>
          <w:tcPr>
            <w:tcW w:w="20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12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c>
          <w:tcPr>
            <w:tcW w:w="280" w:type="dxa"/>
            <w:vAlign w:val="bottom"/>
          </w:tcPr>
          <w:p>
            <w:pPr>
              <w:spacing w:after="0"/>
              <w:rPr>
                <w:sz w:val="19"/>
                <w:szCs w:val="19"/>
                <w:color w:val="auto"/>
              </w:rPr>
            </w:pPr>
          </w:p>
        </w:tc>
        <w:tc>
          <w:tcPr>
            <w:tcW w:w="2080" w:type="dxa"/>
            <w:vAlign w:val="bottom"/>
            <w:gridSpan w:val="3"/>
          </w:tcPr>
          <w:p>
            <w:pPr>
              <w:jc w:val="right"/>
              <w:ind w:right="512"/>
              <w:spacing w:after="0"/>
              <w:rPr>
                <w:sz w:val="20"/>
                <w:szCs w:val="20"/>
                <w:color w:val="auto"/>
              </w:rPr>
            </w:pPr>
            <w:r>
              <w:rPr>
                <w:rFonts w:ascii="Arial" w:cs="Arial" w:eastAsia="Arial" w:hAnsi="Arial"/>
                <w:sz w:val="18"/>
                <w:szCs w:val="18"/>
                <w:b w:val="1"/>
                <w:bCs w:val="1"/>
                <w:color w:val="auto"/>
              </w:rPr>
              <w:t>September 30,</w:t>
            </w:r>
          </w:p>
        </w:tc>
      </w:tr>
      <w:tr>
        <w:trPr>
          <w:trHeight w:val="219"/>
        </w:trPr>
        <w:tc>
          <w:tcPr>
            <w:tcW w:w="4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5"/>
        </w:trPr>
        <w:tc>
          <w:tcPr>
            <w:tcW w:w="4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7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8"/>
        </w:trPr>
        <w:tc>
          <w:tcPr>
            <w:tcW w:w="4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3"/>
              </w:rPr>
              <w:t>Comprehensive Income Attributable to Noncontrolling Interests</w:t>
            </w:r>
          </w:p>
        </w:tc>
        <w:tc>
          <w:tcPr>
            <w:tcW w:w="1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7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Weatherford</w:t>
            </w:r>
          </w:p>
        </w:tc>
        <w:tc>
          <w:tcPr>
            <w:tcW w:w="17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823"/>
        </w:trPr>
        <w:tc>
          <w:tcPr>
            <w:tcW w:w="30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740" w:type="dxa"/>
            <w:vAlign w:val="bottom"/>
            <w:gridSpan w:val="3"/>
          </w:tcPr>
          <w:p>
            <w:pPr>
              <w:jc w:val="right"/>
              <w:ind w:right="912"/>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9"/>
        </w:trPr>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740" w:type="dxa"/>
            <w:vAlign w:val="bottom"/>
            <w:gridSpan w:val="3"/>
          </w:tcPr>
          <w:p>
            <w:pPr>
              <w:jc w:val="right"/>
              <w:ind w:right="1352"/>
              <w:spacing w:after="0"/>
              <w:rPr>
                <w:sz w:val="20"/>
                <w:szCs w:val="20"/>
                <w:color w:val="auto"/>
              </w:rPr>
            </w:pPr>
            <w:r>
              <w:rPr>
                <w:rFonts w:ascii="Arial" w:cs="Arial" w:eastAsia="Arial" w:hAnsi="Arial"/>
                <w:sz w:val="18"/>
                <w:szCs w:val="18"/>
                <w:b w:val="1"/>
                <w:bCs w:val="1"/>
                <w:color w:val="auto"/>
              </w:rPr>
              <w:t>CONDENSED CONSOLIDATED BALANCE SHEETS</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2"/>
        </w:trPr>
        <w:tc>
          <w:tcPr>
            <w:tcW w:w="7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9"/>
              </w:rPr>
              <w:t>September 30, 2022</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1"/>
              </w:rPr>
              <w:t>December 31, 2021</w:t>
            </w:r>
          </w:p>
        </w:tc>
      </w:tr>
      <w:tr>
        <w:trPr>
          <w:trHeight w:val="219"/>
        </w:trPr>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(Unaudited)</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8"/>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5"/>
        </w:trPr>
        <w:tc>
          <w:tcPr>
            <w:tcW w:w="7340" w:type="dxa"/>
            <w:vAlign w:val="bottom"/>
            <w:gridSpan w:val="3"/>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933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26"/>
        </w:trPr>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173"/>
        </w:trPr>
        <w:tc>
          <w:tcPr>
            <w:tcW w:w="7340" w:type="dxa"/>
            <w:vAlign w:val="bottom"/>
            <w:gridSpan w:val="3"/>
          </w:tcPr>
          <w:p>
            <w:pPr>
              <w:ind w:left="100"/>
              <w:spacing w:after="0" w:line="173" w:lineRule="exact"/>
              <w:rPr>
                <w:sz w:val="20"/>
                <w:szCs w:val="20"/>
                <w:color w:val="auto"/>
              </w:rPr>
            </w:pPr>
            <w:r>
              <w:rPr>
                <w:rFonts w:ascii="Arial" w:cs="Arial" w:eastAsia="Arial" w:hAnsi="Arial"/>
                <w:sz w:val="18"/>
                <w:szCs w:val="18"/>
                <w:color w:val="auto"/>
                <w:w w:val="91"/>
              </w:rPr>
              <w:t>Accounts Receivable, Net of Allowance for Credit Losses of $29 at September 30, 2022 and $31 at</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7"/>
        </w:trPr>
        <w:tc>
          <w:tcPr>
            <w:tcW w:w="7340" w:type="dxa"/>
            <w:vAlign w:val="bottom"/>
            <w:gridSpan w:val="3"/>
          </w:tcPr>
          <w:p>
            <w:pPr>
              <w:ind w:left="100"/>
              <w:spacing w:after="0"/>
              <w:rPr>
                <w:sz w:val="20"/>
                <w:szCs w:val="20"/>
                <w:color w:val="auto"/>
              </w:rPr>
            </w:pPr>
            <w:r>
              <w:rPr>
                <w:rFonts w:ascii="Arial" w:cs="Arial" w:eastAsia="Arial" w:hAnsi="Arial"/>
                <w:sz w:val="18"/>
                <w:szCs w:val="18"/>
                <w:color w:val="auto"/>
              </w:rPr>
              <w:t>December 31, 2021</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26"/>
        </w:trPr>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5"/>
        </w:trPr>
        <w:tc>
          <w:tcPr>
            <w:tcW w:w="73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19"/>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r>
      <w:tr>
        <w:trPr>
          <w:trHeight w:val="173"/>
        </w:trPr>
        <w:tc>
          <w:tcPr>
            <w:tcW w:w="7340" w:type="dxa"/>
            <w:vAlign w:val="bottom"/>
            <w:gridSpan w:val="3"/>
          </w:tcPr>
          <w:p>
            <w:pPr>
              <w:ind w:left="100"/>
              <w:spacing w:after="0" w:line="173" w:lineRule="exact"/>
              <w:rPr>
                <w:sz w:val="20"/>
                <w:szCs w:val="20"/>
                <w:color w:val="auto"/>
              </w:rPr>
            </w:pPr>
            <w:r>
              <w:rPr>
                <w:rFonts w:ascii="Arial" w:cs="Arial" w:eastAsia="Arial" w:hAnsi="Arial"/>
                <w:sz w:val="18"/>
                <w:szCs w:val="18"/>
                <w:color w:val="auto"/>
                <w:w w:val="89"/>
              </w:rPr>
              <w:t>Property, Plant and Equipment, Net of Accumulated Depreciation of $753 at September 30, 2022 and</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7"/>
        </w:trPr>
        <w:tc>
          <w:tcPr>
            <w:tcW w:w="7340" w:type="dxa"/>
            <w:vAlign w:val="bottom"/>
            <w:gridSpan w:val="3"/>
          </w:tcPr>
          <w:p>
            <w:pPr>
              <w:ind w:left="100"/>
              <w:spacing w:after="0"/>
              <w:rPr>
                <w:sz w:val="20"/>
                <w:szCs w:val="20"/>
                <w:color w:val="auto"/>
              </w:rPr>
            </w:pPr>
            <w:r>
              <w:rPr>
                <w:rFonts w:ascii="Arial" w:cs="Arial" w:eastAsia="Arial" w:hAnsi="Arial"/>
                <w:sz w:val="18"/>
                <w:szCs w:val="18"/>
                <w:color w:val="auto"/>
              </w:rPr>
              <w:t>$623 at December 31, 2021</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174"/>
        </w:trPr>
        <w:tc>
          <w:tcPr>
            <w:tcW w:w="7340" w:type="dxa"/>
            <w:vAlign w:val="bottom"/>
            <w:gridSpan w:val="3"/>
            <w:shd w:val="clear" w:color="auto" w:fill="CCEEFF"/>
          </w:tcPr>
          <w:p>
            <w:pPr>
              <w:ind w:left="100"/>
              <w:spacing w:after="0" w:line="174" w:lineRule="exact"/>
              <w:rPr>
                <w:sz w:val="20"/>
                <w:szCs w:val="20"/>
                <w:color w:val="auto"/>
              </w:rPr>
            </w:pPr>
            <w:r>
              <w:rPr>
                <w:rFonts w:ascii="Arial" w:cs="Arial" w:eastAsia="Arial" w:hAnsi="Arial"/>
                <w:sz w:val="18"/>
                <w:szCs w:val="18"/>
                <w:color w:val="auto"/>
                <w:w w:val="94"/>
              </w:rPr>
              <w:t>Intangible Assets, Net of Accumulated Amortization of $439 at September 30, 2022 and $328 at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8"/>
        </w:trPr>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December 31, 2021</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5"/>
        </w:trPr>
        <w:tc>
          <w:tcPr>
            <w:tcW w:w="7340" w:type="dxa"/>
            <w:vAlign w:val="bottom"/>
            <w:gridSpan w:val="3"/>
          </w:tcPr>
          <w:p>
            <w:pPr>
              <w:ind w:left="10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5"/>
        </w:trPr>
        <w:tc>
          <w:tcPr>
            <w:tcW w:w="734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8"/>
        </w:trPr>
        <w:tc>
          <w:tcPr>
            <w:tcW w:w="7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9"/>
        </w:trPr>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5"/>
        </w:trPr>
        <w:tc>
          <w:tcPr>
            <w:tcW w:w="73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7340" w:type="dxa"/>
            <w:vAlign w:val="bottom"/>
            <w:gridSpan w:val="3"/>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6"/>
        </w:trPr>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Accrued Salaries and Benefits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5"/>
        </w:trPr>
        <w:tc>
          <w:tcPr>
            <w:tcW w:w="7340" w:type="dxa"/>
            <w:vAlign w:val="bottom"/>
            <w:gridSpan w:val="3"/>
          </w:tcPr>
          <w:p>
            <w:pPr>
              <w:ind w:left="1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6"/>
        </w:trPr>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5"/>
        </w:trPr>
        <w:tc>
          <w:tcPr>
            <w:tcW w:w="73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19"/>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25"/>
        </w:trPr>
        <w:tc>
          <w:tcPr>
            <w:tcW w:w="7340" w:type="dxa"/>
            <w:vAlign w:val="bottom"/>
            <w:gridSpan w:val="3"/>
          </w:tcPr>
          <w:p>
            <w:pPr>
              <w:ind w:left="10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2,366</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26"/>
        </w:trPr>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7340" w:type="dxa"/>
            <w:vAlign w:val="bottom"/>
            <w:gridSpan w:val="3"/>
          </w:tcPr>
          <w:p>
            <w:pPr>
              <w:ind w:left="100"/>
              <w:spacing w:after="0"/>
              <w:rPr>
                <w:sz w:val="20"/>
                <w:szCs w:val="20"/>
                <w:color w:val="auto"/>
              </w:rPr>
            </w:pPr>
            <w:r>
              <w:rPr>
                <w:rFonts w:ascii="Arial" w:cs="Arial" w:eastAsia="Arial" w:hAnsi="Arial"/>
                <w:sz w:val="18"/>
                <w:szCs w:val="18"/>
                <w:color w:val="auto"/>
              </w:rPr>
              <w:t>Non-current Taxes Payable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5"/>
        </w:trPr>
        <w:tc>
          <w:tcPr>
            <w:tcW w:w="734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9"/>
        </w:trPr>
        <w:tc>
          <w:tcPr>
            <w:tcW w:w="734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4,235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4,278</w:t>
            </w:r>
          </w:p>
        </w:tc>
      </w:tr>
      <w:tr>
        <w:trPr>
          <w:trHeight w:val="159"/>
        </w:trPr>
        <w:tc>
          <w:tcPr>
            <w:tcW w:w="7340" w:type="dxa"/>
            <w:vAlign w:val="bottom"/>
            <w:gridSpan w:val="3"/>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r>
      <w:tr>
        <w:trPr>
          <w:trHeight w:val="225"/>
        </w:trPr>
        <w:tc>
          <w:tcPr>
            <w:tcW w:w="73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3"/>
        </w:trPr>
        <w:tc>
          <w:tcPr>
            <w:tcW w:w="7340" w:type="dxa"/>
            <w:vAlign w:val="bottom"/>
            <w:gridSpan w:val="3"/>
            <w:shd w:val="clear" w:color="auto" w:fill="CCEEFF"/>
          </w:tcPr>
          <w:p>
            <w:pPr>
              <w:ind w:left="100"/>
              <w:spacing w:after="0" w:line="173" w:lineRule="exact"/>
              <w:rPr>
                <w:sz w:val="20"/>
                <w:szCs w:val="20"/>
                <w:color w:val="auto"/>
              </w:rPr>
            </w:pPr>
            <w:r>
              <w:rPr>
                <w:rFonts w:ascii="Arial" w:cs="Arial" w:eastAsia="Arial" w:hAnsi="Arial"/>
                <w:sz w:val="18"/>
                <w:szCs w:val="18"/>
                <w:color w:val="auto"/>
                <w:w w:val="90"/>
              </w:rPr>
              <w:t>Ordinary Shares - Par Value $0.001; Authorized 1,356 shares, Issued and Outstanding 71 shares at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8"/>
        </w:trPr>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September 30, 2022 and 70 at December 31, 2021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40" w:type="dxa"/>
            <w:vAlign w:val="bottom"/>
            <w:gridSpan w:val="3"/>
          </w:tcPr>
          <w:p>
            <w:pPr>
              <w:ind w:left="100"/>
              <w:spacing w:after="0"/>
              <w:rPr>
                <w:sz w:val="20"/>
                <w:szCs w:val="20"/>
                <w:color w:val="auto"/>
              </w:rPr>
            </w:pPr>
            <w:r>
              <w:rPr>
                <w:rFonts w:ascii="Arial" w:cs="Arial" w:eastAsia="Arial" w:hAnsi="Arial"/>
                <w:sz w:val="18"/>
                <w:szCs w:val="18"/>
                <w:color w:val="auto"/>
              </w:rPr>
              <w:t>Capital in Excess of Par Value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2,923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2,904</w:t>
            </w:r>
          </w:p>
        </w:tc>
      </w:tr>
      <w:tr>
        <w:trPr>
          <w:trHeight w:val="226"/>
        </w:trPr>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Retained Deficit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25"/>
        </w:trPr>
        <w:tc>
          <w:tcPr>
            <w:tcW w:w="73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9"/>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Weatherford Shareholders’ Equity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5"/>
        </w:trPr>
        <w:tc>
          <w:tcPr>
            <w:tcW w:w="7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8"/>
        </w:trPr>
        <w:tc>
          <w:tcPr>
            <w:tcW w:w="73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19"/>
        </w:trPr>
        <w:tc>
          <w:tcPr>
            <w:tcW w:w="7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44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0"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Nine Months Ended 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8"/>
                <w:szCs w:val="18"/>
                <w:b w:val="1"/>
                <w:bCs w:val="1"/>
                <w:color w:val="auto"/>
              </w:rPr>
              <w:t>2021</w:t>
            </w:r>
          </w:p>
        </w:tc>
      </w:tr>
      <w:tr>
        <w:trPr>
          <w:trHeight w:val="203"/>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09"/>
        </w:trPr>
        <w:tc>
          <w:tcPr>
            <w:tcW w:w="7540" w:type="dxa"/>
            <w:vAlign w:val="bottom"/>
          </w:tcPr>
          <w:p>
            <w:pPr>
              <w:ind w:left="100"/>
              <w:spacing w:after="0"/>
              <w:rPr>
                <w:sz w:val="20"/>
                <w:szCs w:val="20"/>
                <w:color w:val="auto"/>
              </w:rPr>
            </w:pPr>
            <w:r>
              <w:rPr>
                <w:rFonts w:ascii="Arial" w:cs="Arial" w:eastAsia="Arial" w:hAnsi="Arial"/>
                <w:sz w:val="16"/>
                <w:szCs w:val="16"/>
                <w:color w:val="auto"/>
              </w:rPr>
              <w:t>Loss on Extinguishment of Debt and Bond Redemption Premium</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4"/>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Asset Write-downs and Other Charges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Inventory Charges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4"/>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Disposition of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Deferred Income Tax Provision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4"/>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754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 Net: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75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06"/>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05"/>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Expenditures for Property, Plant and Equipment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9"/>
        </w:trPr>
        <w:tc>
          <w:tcPr>
            <w:tcW w:w="7540" w:type="dxa"/>
            <w:vAlign w:val="bottom"/>
          </w:tcPr>
          <w:p>
            <w:pPr>
              <w:ind w:left="100"/>
              <w:spacing w:after="0"/>
              <w:rPr>
                <w:sz w:val="20"/>
                <w:szCs w:val="20"/>
                <w:color w:val="auto"/>
              </w:rPr>
            </w:pPr>
            <w:r>
              <w:rPr>
                <w:rFonts w:ascii="Arial" w:cs="Arial" w:eastAsia="Arial" w:hAnsi="Arial"/>
                <w:sz w:val="16"/>
                <w:szCs w:val="16"/>
                <w:color w:val="auto"/>
              </w:rPr>
              <w:t>Proceeds from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Borrowings of Long-term Debt, Net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15"/>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Long-term Debt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210"/>
        </w:trPr>
        <w:tc>
          <w:tcPr>
            <w:tcW w:w="7540" w:type="dxa"/>
            <w:vAlign w:val="bottom"/>
          </w:tcPr>
          <w:p>
            <w:pPr>
              <w:ind w:left="100"/>
              <w:spacing w:after="0"/>
              <w:rPr>
                <w:sz w:val="20"/>
                <w:szCs w:val="20"/>
                <w:color w:val="auto"/>
              </w:rPr>
            </w:pPr>
            <w:r>
              <w:rPr>
                <w:rFonts w:ascii="Arial" w:cs="Arial" w:eastAsia="Arial" w:hAnsi="Arial"/>
                <w:sz w:val="16"/>
                <w:szCs w:val="16"/>
                <w:color w:val="auto"/>
              </w:rPr>
              <w:t>Repayments of Short-term Debt, Net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Bond Redemption Premium</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6"/>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5"/>
        </w:trPr>
        <w:tc>
          <w:tcPr>
            <w:tcW w:w="75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r>
      <w:tr>
        <w:trPr>
          <w:trHeight w:val="230"/>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w:t>
            </w:r>
          </w:p>
        </w:tc>
      </w:tr>
      <w:tr>
        <w:trPr>
          <w:trHeight w:val="20"/>
        </w:trPr>
        <w:tc>
          <w:tcPr>
            <w:tcW w:w="7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Paid</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07"/>
        </w:trPr>
        <w:tc>
          <w:tcPr>
            <w:tcW w:w="7540" w:type="dxa"/>
            <w:vAlign w:val="bottom"/>
          </w:tcPr>
          <w:p>
            <w:pPr>
              <w:ind w:left="100"/>
              <w:spacing w:after="0"/>
              <w:rPr>
                <w:sz w:val="20"/>
                <w:szCs w:val="20"/>
                <w:color w:val="auto"/>
              </w:rPr>
            </w:pPr>
            <w:r>
              <w:rPr>
                <w:rFonts w:ascii="Arial" w:cs="Arial" w:eastAsia="Arial" w:hAnsi="Arial"/>
                <w:sz w:val="16"/>
                <w:szCs w:val="16"/>
                <w:color w:val="auto"/>
              </w:rPr>
              <w:t>Income Taxes Paid, Net of Refunds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472" w:right="339" w:bottom="1440" w:gutter="0" w:footer="0" w:header="0"/>
        </w:sectPr>
      </w:pPr>
    </w:p>
    <w:bookmarkStart w:id="6" w:name="page7"/>
    <w:bookmarkEnd w:id="6"/>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 – Basis of Presentation and Summary of Significant Accounting Policies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Annual Report on Form 10-K for the year ended December 31, 2021 (“2021 Annual Report”).</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opinion of management, the Condensed Consolidated Financial Statements reflect all adjustments (consisting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Please refer to “Note 1 – Summary of Significant Accounting Policies” of our Consolidated Financial Statements from our 2021 Annual Report for the discussion on our significant accounting policies. Certain reclassifications have been made to these Condensed Consolidated Financial Statements and accompanying footnotes for the three and nine months ended September 30, 2021 to conform to the presentation for the three and nine months ended September 30, 2022, including the change in reportable segments made during the fourth quarter of 2021.</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All new accounting pronouncements that have been issued but not yet effective are currently being evaluated and at this time are not expected to have a material impact on our financial position or results of operations.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 Segment Information</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Financial information by segment is summarized below. The accounting policies of the segments are the same as those described in the summary of significant accounting policies as presented in our 2021 Annual Report. During the fourth quarter of 2021, our chief operating decision maker changed the information regularly reviewed to be aligned with how we offer our services and technologies in relation to the life cycle of a well and we have realigned our reportable segments to reflect the change. We have three reportable segments: (1) Drilling and Evaluation, (2) Well Construction and Completions, and (3) Production and Intervention. Previously we had two geographic based reportable segments, Western Hemisphere and Eastern Hemisphere.</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Corporate and other includes business activities related to all other segments (profit and loss), corporate and other expenses (overhead support and centrally managed or shared facilities costs) that do not individually meet the criteria for segment reporting.</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9" w:right="339" w:bottom="1440" w:gutter="0" w:footer="0" w:header="0"/>
        </w:sectPr>
      </w:pPr>
    </w:p>
    <w:bookmarkStart w:id="7" w:name="page8"/>
    <w:bookmarkEnd w:id="7"/>
    <w:tbl>
      <w:tblPr>
        <w:tblLayout w:type="fixed"/>
        <w:tblInd w:w="155" w:type="dxa"/>
        <w:tblCellMar>
          <w:top w:w="0" w:type="dxa"/>
          <w:left w:w="0" w:type="dxa"/>
          <w:bottom w:w="0" w:type="dxa"/>
          <w:right w:w="0" w:type="dxa"/>
        </w:tblCellMar>
      </w:tblPr>
      <w:tr>
        <w:trPr>
          <w:trHeight w:val="207"/>
        </w:trPr>
        <w:tc>
          <w:tcPr>
            <w:tcW w:w="47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73"/>
        </w:trPr>
        <w:tc>
          <w:tcPr>
            <w:tcW w:w="1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00" w:type="dxa"/>
            <w:vAlign w:val="bottom"/>
          </w:tcPr>
          <w:p>
            <w:pPr>
              <w:spacing w:after="0"/>
              <w:rPr>
                <w:sz w:val="24"/>
                <w:szCs w:val="24"/>
                <w:color w:val="auto"/>
              </w:rPr>
            </w:pPr>
          </w:p>
        </w:tc>
        <w:tc>
          <w:tcPr>
            <w:tcW w:w="274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20"/>
        </w:trPr>
        <w:tc>
          <w:tcPr>
            <w:tcW w:w="180" w:type="dxa"/>
            <w:vAlign w:val="bottom"/>
          </w:tcPr>
          <w:p>
            <w:pPr>
              <w:spacing w:after="0"/>
              <w:rPr>
                <w:sz w:val="19"/>
                <w:szCs w:val="19"/>
                <w:color w:val="auto"/>
              </w:rPr>
            </w:pP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r>
      <w:tr>
        <w:trPr>
          <w:trHeight w:val="218"/>
        </w:trPr>
        <w:tc>
          <w:tcPr>
            <w:tcW w:w="180" w:type="dxa"/>
            <w:vAlign w:val="bottom"/>
          </w:tcPr>
          <w:p>
            <w:pPr>
              <w:spacing w:after="0"/>
              <w:rPr>
                <w:sz w:val="19"/>
                <w:szCs w:val="19"/>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18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Drilling and Evaluation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957</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26"/>
        </w:trPr>
        <w:tc>
          <w:tcPr>
            <w:tcW w:w="180" w:type="dxa"/>
            <w:vAlign w:val="bottom"/>
          </w:tcPr>
          <w:p>
            <w:pPr>
              <w:spacing w:after="0"/>
              <w:rPr>
                <w:sz w:val="19"/>
                <w:szCs w:val="19"/>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Well Construction and Completions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25"/>
        </w:trPr>
        <w:tc>
          <w:tcPr>
            <w:tcW w:w="180" w:type="dxa"/>
            <w:vAlign w:val="bottom"/>
          </w:tcPr>
          <w:p>
            <w:pPr>
              <w:spacing w:after="0"/>
              <w:rPr>
                <w:sz w:val="19"/>
                <w:szCs w:val="19"/>
                <w:color w:val="auto"/>
              </w:rPr>
            </w:pP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Production and Intervention</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19"/>
        </w:trPr>
        <w:tc>
          <w:tcPr>
            <w:tcW w:w="180" w:type="dxa"/>
            <w:vAlign w:val="bottom"/>
          </w:tcPr>
          <w:p>
            <w:pPr>
              <w:spacing w:after="0"/>
              <w:rPr>
                <w:sz w:val="19"/>
                <w:szCs w:val="19"/>
                <w:color w:val="auto"/>
              </w:rPr>
            </w:pPr>
          </w:p>
        </w:tc>
        <w:tc>
          <w:tcPr>
            <w:tcW w:w="4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Segment Revenues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r>
      <w:tr>
        <w:trPr>
          <w:trHeight w:val="225"/>
        </w:trPr>
        <w:tc>
          <w:tcPr>
            <w:tcW w:w="180" w:type="dxa"/>
            <w:vAlign w:val="bottom"/>
          </w:tcPr>
          <w:p>
            <w:pPr>
              <w:spacing w:after="0"/>
              <w:rPr>
                <w:sz w:val="19"/>
                <w:szCs w:val="19"/>
                <w:color w:val="auto"/>
              </w:rPr>
            </w:pP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19"/>
        </w:trPr>
        <w:tc>
          <w:tcPr>
            <w:tcW w:w="180" w:type="dxa"/>
            <w:vAlign w:val="bottom"/>
          </w:tcPr>
          <w:p>
            <w:pPr>
              <w:spacing w:after="0"/>
              <w:rPr>
                <w:sz w:val="19"/>
                <w:szCs w:val="19"/>
                <w:color w:val="auto"/>
              </w:rPr>
            </w:pPr>
          </w:p>
        </w:tc>
        <w:tc>
          <w:tcPr>
            <w:tcW w:w="454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3,122</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2,680</w:t>
            </w:r>
          </w:p>
        </w:tc>
      </w:tr>
      <w:tr>
        <w:trPr>
          <w:trHeight w:val="139"/>
        </w:trPr>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5"/>
        </w:trPr>
        <w:tc>
          <w:tcPr>
            <w:tcW w:w="180" w:type="dxa"/>
            <w:vAlign w:val="bottom"/>
          </w:tcPr>
          <w:p>
            <w:pPr>
              <w:spacing w:after="0"/>
              <w:rPr>
                <w:sz w:val="19"/>
                <w:szCs w:val="19"/>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18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Drilling and Evaluation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213</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6"/>
        </w:trPr>
        <w:tc>
          <w:tcPr>
            <w:tcW w:w="180" w:type="dxa"/>
            <w:vAlign w:val="bottom"/>
          </w:tcPr>
          <w:p>
            <w:pPr>
              <w:spacing w:after="0"/>
              <w:rPr>
                <w:sz w:val="19"/>
                <w:szCs w:val="19"/>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Well Construction and Completions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5"/>
        </w:trPr>
        <w:tc>
          <w:tcPr>
            <w:tcW w:w="180" w:type="dxa"/>
            <w:vAlign w:val="bottom"/>
          </w:tcPr>
          <w:p>
            <w:pPr>
              <w:spacing w:after="0"/>
              <w:rPr>
                <w:sz w:val="19"/>
                <w:szCs w:val="19"/>
                <w:color w:val="auto"/>
              </w:rPr>
            </w:pP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Production and Intervention</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19"/>
        </w:trPr>
        <w:tc>
          <w:tcPr>
            <w:tcW w:w="180" w:type="dxa"/>
            <w:vAlign w:val="bottom"/>
          </w:tcPr>
          <w:p>
            <w:pPr>
              <w:spacing w:after="0"/>
              <w:rPr>
                <w:sz w:val="19"/>
                <w:szCs w:val="19"/>
                <w:color w:val="auto"/>
              </w:rPr>
            </w:pPr>
          </w:p>
        </w:tc>
        <w:tc>
          <w:tcPr>
            <w:tcW w:w="4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Segment 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5"/>
        </w:trPr>
        <w:tc>
          <w:tcPr>
            <w:tcW w:w="18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6"/>
        </w:trPr>
        <w:tc>
          <w:tcPr>
            <w:tcW w:w="180" w:type="dxa"/>
            <w:vAlign w:val="bottom"/>
          </w:tcPr>
          <w:p>
            <w:pPr>
              <w:spacing w:after="0"/>
              <w:rPr>
                <w:sz w:val="19"/>
                <w:szCs w:val="19"/>
                <w:color w:val="auto"/>
              </w:rPr>
            </w:pP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5"/>
        </w:trPr>
        <w:tc>
          <w:tcPr>
            <w:tcW w:w="18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6"/>
        </w:trPr>
        <w:tc>
          <w:tcPr>
            <w:tcW w:w="180" w:type="dxa"/>
            <w:vAlign w:val="bottom"/>
          </w:tcPr>
          <w:p>
            <w:pPr>
              <w:spacing w:after="0"/>
              <w:rPr>
                <w:sz w:val="19"/>
                <w:szCs w:val="19"/>
                <w:color w:val="auto"/>
              </w:rPr>
            </w:pPr>
          </w:p>
        </w:tc>
        <w:tc>
          <w:tcPr>
            <w:tcW w:w="4540" w:type="dxa"/>
            <w:vAlign w:val="bottom"/>
            <w:tcBorders>
              <w:bottom w:val="single" w:sz="8" w:color="auto"/>
            </w:tcBorders>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2"/>
                <w:szCs w:val="22"/>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8"/>
        </w:trPr>
        <w:tc>
          <w:tcPr>
            <w:tcW w:w="180" w:type="dxa"/>
            <w:vAlign w:val="bottom"/>
          </w:tcPr>
          <w:p>
            <w:pPr>
              <w:spacing w:after="0"/>
              <w:rPr>
                <w:sz w:val="19"/>
                <w:szCs w:val="19"/>
                <w:color w:val="auto"/>
              </w:rPr>
            </w:pPr>
          </w:p>
        </w:tc>
        <w:tc>
          <w:tcPr>
            <w:tcW w:w="45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r>
      <w:tr>
        <w:trPr>
          <w:trHeight w:val="20"/>
        </w:trPr>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jc w:val="both"/>
        <w:ind w:left="235" w:hanging="235"/>
        <w:spacing w:after="0" w:line="263"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adjustments in nine months ended September 30, 2022 primarily include a $22 million restructuring charge. See “Note 4 – Restructuring Charges” for additional information on restructuring around our fulfillment initiatives. Other adjustments were a net credit for the three and nine months ended September 30, 2021, primarily driven by gains on asset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75"/>
          </w:cols>
          <w:pgMar w:left="485" w:top="449" w:right="339" w:bottom="1440" w:gutter="0" w:footer="0" w:header="0"/>
        </w:sectPr>
      </w:pPr>
    </w:p>
    <w:bookmarkStart w:id="8" w:name="page9"/>
    <w:bookmarkEnd w:id="8"/>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 Revenues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Revenues are recognized when control of the promised goods or services is transferred to our customers in an amount that reflects the consideration we expect to be entitled to receive, in exchange for those goods or services. The majority of our revenue is derived from short 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spacing w:after="0" w:line="2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revenues recognized under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were $43 million and $109 million in the three and nine months ended September 30, 2022, respectively, and $34 million and $97 million for the three and nine months ended September 30, 2021, respectively.</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disaggregates our revenues from contracts with customers by geographic region and includes equipment rental revenues. North America in the table below consists of the U.S. and Canada.</w:t>
      </w:r>
    </w:p>
    <w:p>
      <w:pPr>
        <w:sectPr>
          <w:pgSz w:w="11900" w:h="16838" w:orient="portrait"/>
          <w:cols w:equalWidth="0" w:num="1">
            <w:col w:w="11240"/>
          </w:cols>
          <w:pgMar w:left="320" w:top="472" w:right="339" w:bottom="1440" w:gutter="0" w:footer="0" w:header="0"/>
        </w:sectPr>
      </w:pPr>
    </w:p>
    <w:p>
      <w:pPr>
        <w:spacing w:after="0" w:line="30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52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Three Months Ended September</w:t>
            </w:r>
          </w:p>
        </w:tc>
      </w:tr>
      <w:tr>
        <w:trPr>
          <w:trHeight w:val="232"/>
        </w:trPr>
        <w:tc>
          <w:tcPr>
            <w:tcW w:w="4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25"/>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r>
      <w:tr>
        <w:trPr>
          <w:trHeight w:val="219"/>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Revenues by Geographic Areas: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980" w:type="dxa"/>
            <w:vAlign w:val="bottom"/>
          </w:tcPr>
          <w:p>
            <w:pPr>
              <w:ind w:left="100"/>
              <w:spacing w:after="0"/>
              <w:rPr>
                <w:sz w:val="20"/>
                <w:szCs w:val="20"/>
                <w:color w:val="auto"/>
              </w:rPr>
            </w:pPr>
            <w:r>
              <w:rPr>
                <w:rFonts w:ascii="Arial" w:cs="Arial" w:eastAsia="Arial" w:hAnsi="Arial"/>
                <w:sz w:val="18"/>
                <w:szCs w:val="18"/>
                <w:color w:val="auto"/>
              </w:rPr>
              <w:t>Middle East/North Africa/Asia</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25"/>
        </w:trPr>
        <w:tc>
          <w:tcPr>
            <w:tcW w:w="4980" w:type="dxa"/>
            <w:vAlign w:val="bottom"/>
          </w:tcPr>
          <w:p>
            <w:pPr>
              <w:ind w:left="100"/>
              <w:spacing w:after="0"/>
              <w:rPr>
                <w:sz w:val="20"/>
                <w:szCs w:val="20"/>
                <w:color w:val="auto"/>
              </w:rPr>
            </w:pPr>
            <w:r>
              <w:rPr>
                <w:rFonts w:ascii="Arial" w:cs="Arial" w:eastAsia="Arial" w:hAnsi="Arial"/>
                <w:sz w:val="18"/>
                <w:szCs w:val="18"/>
                <w:color w:val="auto"/>
              </w:rPr>
              <w:t>North America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5"/>
        </w:trPr>
        <w:tc>
          <w:tcPr>
            <w:tcW w:w="4980" w:type="dxa"/>
            <w:vAlign w:val="bottom"/>
          </w:tcPr>
          <w:p>
            <w:pPr>
              <w:ind w:left="10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6"/>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Europe/Sub-Sahara Africa/Russia</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1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-613410</wp:posOffset>
            </wp:positionV>
            <wp:extent cx="6428105"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8105" cy="14287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-327660</wp:posOffset>
            </wp:positionV>
            <wp:extent cx="6428105"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8105" cy="14287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-908050</wp:posOffset>
            </wp:positionV>
            <wp:extent cx="6428105" cy="151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8105"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color w:val="auto"/>
        </w:rPr>
        <w:t>Nine Months Ended September</w:t>
      </w:r>
    </w:p>
    <w:p>
      <w:pPr>
        <w:spacing w:after="0" w:line="2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5982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8295" cy="8255"/>
                    </a:xfrm>
                    <a:prstGeom prst="rect">
                      <a:avLst/>
                    </a:prstGeom>
                    <a:noFill/>
                  </pic:spPr>
                </pic:pic>
              </a:graphicData>
            </a:graphic>
          </wp:anchor>
        </w:drawing>
      </w:r>
    </w:p>
    <w:p>
      <w:pPr>
        <w:spacing w:after="0" w:line="5"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5"/>
        </w:trPr>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25"/>
        </w:trPr>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6"/>
        </w:trPr>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r>
      <w:tr>
        <w:trPr>
          <w:trHeight w:val="219"/>
        </w:trPr>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20" w:space="100"/>
            <w:col w:w="2920"/>
          </w:cols>
          <w:pgMar w:left="320" w:top="472" w:right="339" w:bottom="1440" w:gutter="0" w:footer="0" w:header="0"/>
          <w:type w:val="continuous"/>
        </w:sectPr>
      </w:pP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timing of our revenue recognition, billings and cash collections result in the recording of accounts receivable, contract assets, and contract liabilities.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these balances as of September 30, 2022 and December 31,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4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Arial" w:cs="Arial" w:eastAsia="Arial" w:hAnsi="Arial"/>
                <w:sz w:val="18"/>
                <w:szCs w:val="18"/>
                <w:b w:val="1"/>
                <w:bCs w:val="1"/>
                <w:color w:val="auto"/>
                <w:w w:val="91"/>
              </w:rPr>
              <w:t>September 30, 2022</w:t>
            </w:r>
          </w:p>
        </w:tc>
        <w:tc>
          <w:tcPr>
            <w:tcW w:w="220" w:type="dxa"/>
            <w:vAlign w:val="bottom"/>
          </w:tcPr>
          <w:p>
            <w:pPr>
              <w:spacing w:after="0"/>
              <w:rPr>
                <w:sz w:val="19"/>
                <w:szCs w:val="19"/>
                <w:color w:val="auto"/>
              </w:rPr>
            </w:pPr>
          </w:p>
        </w:tc>
        <w:tc>
          <w:tcPr>
            <w:tcW w:w="1800" w:type="dxa"/>
            <w:vAlign w:val="bottom"/>
          </w:tcPr>
          <w:p>
            <w:pPr>
              <w:jc w:val="right"/>
              <w:ind w:right="192"/>
              <w:spacing w:after="0"/>
              <w:rPr>
                <w:sz w:val="20"/>
                <w:szCs w:val="20"/>
                <w:color w:val="auto"/>
              </w:rPr>
            </w:pPr>
            <w:r>
              <w:rPr>
                <w:rFonts w:ascii="Arial" w:cs="Arial" w:eastAsia="Arial" w:hAnsi="Arial"/>
                <w:sz w:val="18"/>
                <w:szCs w:val="18"/>
                <w:b w:val="1"/>
                <w:bCs w:val="1"/>
                <w:color w:val="auto"/>
                <w:w w:val="92"/>
              </w:rPr>
              <w:t>December 31, 2021</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for Product and Services in Accounts Receivable, Net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Receivables for Equipment Rentals in Account Receivable, Net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52"/>
        </w:trPr>
        <w:tc>
          <w:tcPr>
            <w:tcW w:w="6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in Other Current Assets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Contract Assets in Other Non-Current Assets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60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Contract Liabilities in Other Current Liabilities </w:t>
            </w:r>
            <w:r>
              <w:rPr>
                <w:rFonts w:ascii="Arial" w:cs="Arial" w:eastAsia="Arial" w:hAnsi="Arial"/>
                <w:sz w:val="22"/>
                <w:szCs w:val="22"/>
                <w:color w:val="auto"/>
                <w:vertAlign w:val="superscript"/>
              </w:rPr>
              <w:t>(a)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160" w:lineRule="exact"/>
        <w:rPr>
          <w:sz w:val="20"/>
          <w:szCs w:val="20"/>
          <w:color w:val="auto"/>
        </w:rPr>
      </w:pPr>
    </w:p>
    <w:p>
      <w:pPr>
        <w:ind w:left="400" w:hanging="235"/>
        <w:spacing w:after="0" w:line="264" w:lineRule="auto"/>
        <w:tabs>
          <w:tab w:leader="none" w:pos="395" w:val="left"/>
        </w:tabs>
        <w:numPr>
          <w:ilvl w:val="0"/>
          <w:numId w:val="4"/>
        </w:numPr>
        <w:rPr>
          <w:rFonts w:ascii="Arial" w:cs="Arial" w:eastAsia="Arial" w:hAnsi="Arial"/>
          <w:sz w:val="10"/>
          <w:szCs w:val="10"/>
          <w:color w:val="auto"/>
        </w:rPr>
      </w:pPr>
      <w:r>
        <w:rPr>
          <w:rFonts w:ascii="Arial" w:cs="Arial" w:eastAsia="Arial" w:hAnsi="Arial"/>
          <w:sz w:val="18"/>
          <w:szCs w:val="18"/>
          <w:color w:val="auto"/>
        </w:rPr>
        <w:t>Revenues recognized during the nine months ended September 30, 2022 and 2021 that were included in the contract liabilities balance at the beginning of each year were approximately $35 million and $28 million, respectively.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9" w:name="page10"/>
    <w:bookmarkEnd w:id="9"/>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4 – Restructuring Charges</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had $2 million and $22 million in restructuring charges for the three and nine months ended September 30, 2022, respectively, presented as “Restructuring Charges” on the accompanying Condensed Consolidated Statements of Operations. The charges were primarily related to the launch of a multi-year footprint consolidation and workforce efficiency initiative aimed at improving fulfillment operations and included $14 million in severance and $8 million in asset retirement obligations. No restructuring charges were recognized in the three and nine months ended September 30, 2021.</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total restructuring charges by segment and All Other in the three and nine months ended September 30, 2022 and 2021:</w:t>
      </w:r>
    </w:p>
    <w:p>
      <w:pPr>
        <w:spacing w:after="0" w:line="136"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7"/>
                <w:szCs w:val="17"/>
                <w:color w:val="auto"/>
              </w:rPr>
            </w:pPr>
          </w:p>
        </w:tc>
        <w:tc>
          <w:tcPr>
            <w:tcW w:w="2120" w:type="dxa"/>
            <w:vAlign w:val="bottom"/>
            <w:gridSpan w:val="3"/>
          </w:tcPr>
          <w:p>
            <w:pPr>
              <w:jc w:val="center"/>
              <w:ind w:right="192"/>
              <w:spacing w:after="0"/>
              <w:rPr>
                <w:sz w:val="20"/>
                <w:szCs w:val="20"/>
                <w:color w:val="auto"/>
              </w:rPr>
            </w:pPr>
            <w:r>
              <w:rPr>
                <w:rFonts w:ascii="Arial" w:cs="Arial" w:eastAsia="Arial" w:hAnsi="Arial"/>
                <w:sz w:val="18"/>
                <w:szCs w:val="18"/>
                <w:b w:val="1"/>
                <w:bCs w:val="1"/>
                <w:color w:val="auto"/>
                <w:w w:val="90"/>
              </w:rPr>
              <w:t>Nine Months Ended</w:t>
            </w:r>
          </w:p>
        </w:tc>
      </w:tr>
      <w:tr>
        <w:trPr>
          <w:trHeight w:val="232"/>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0"/>
                <w:szCs w:val="20"/>
                <w:color w:val="auto"/>
              </w:rPr>
            </w:pPr>
          </w:p>
        </w:tc>
        <w:tc>
          <w:tcPr>
            <w:tcW w:w="2120" w:type="dxa"/>
            <w:vAlign w:val="bottom"/>
            <w:gridSpan w:val="3"/>
          </w:tcPr>
          <w:p>
            <w:pPr>
              <w:jc w:val="center"/>
              <w:ind w:right="192"/>
              <w:spacing w:after="0"/>
              <w:rPr>
                <w:sz w:val="20"/>
                <w:szCs w:val="20"/>
                <w:color w:val="auto"/>
              </w:rPr>
            </w:pPr>
            <w:r>
              <w:rPr>
                <w:rFonts w:ascii="Arial" w:cs="Arial" w:eastAsia="Arial" w:hAnsi="Arial"/>
                <w:sz w:val="18"/>
                <w:szCs w:val="18"/>
                <w:b w:val="1"/>
                <w:bCs w:val="1"/>
                <w:color w:val="auto"/>
                <w:w w:val="87"/>
              </w:rPr>
              <w:t>September 30,</w:t>
            </w:r>
          </w:p>
        </w:tc>
      </w:tr>
      <w:tr>
        <w:trPr>
          <w:trHeight w:val="22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r>
      <w:tr>
        <w:trPr>
          <w:trHeight w:val="218"/>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Well Construction and Completions</w:t>
            </w:r>
          </w:p>
        </w:tc>
        <w:tc>
          <w:tcPr>
            <w:tcW w:w="220" w:type="dxa"/>
            <w:vAlign w:val="bottom"/>
          </w:tcPr>
          <w:p>
            <w:pPr>
              <w:spacing w:after="0"/>
              <w:rPr>
                <w:sz w:val="19"/>
                <w:szCs w:val="19"/>
                <w:color w:val="auto"/>
              </w:rPr>
            </w:pP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2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and Intervention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5"/>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38"/>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Restructuring Charges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2 $</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total restructuring reserve activity in the nine months ended September 30, 2022:</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30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w w:val="91"/>
              </w:rPr>
              <w:t>December 31, 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Charges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96"/>
              </w:rPr>
              <w:t>Cash Payments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(Credits)/Other</w:t>
            </w: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8"/>
              </w:rPr>
              <w:t>September 30, 2022</w:t>
            </w: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Reserve</w:t>
            </w:r>
          </w:p>
        </w:tc>
        <w:tc>
          <w:tcPr>
            <w:tcW w:w="1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6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22</w:t>
            </w:r>
          </w:p>
        </w:tc>
        <w:tc>
          <w:tcPr>
            <w:tcW w:w="6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 w:name="page11"/>
    <w:bookmarkEnd w:id="10"/>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 – Inventories, Net</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Inventories, net of reserves of $129 million and $159 million as of September 30, 2022 and December 31, 2021, respectively, are presented by category in the table below:</w:t>
      </w:r>
    </w:p>
    <w:p>
      <w:pPr>
        <w:spacing w:after="0" w:line="9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1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1"/>
              </w:rPr>
              <w:t>September 30, 2022</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December 31, 2021</w:t>
            </w:r>
          </w:p>
        </w:tc>
      </w:tr>
      <w:tr>
        <w:trPr>
          <w:trHeight w:val="21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5"/>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 in Process and Raw Materials, Components and Supplies</w:t>
            </w:r>
          </w:p>
        </w:tc>
        <w:tc>
          <w:tcPr>
            <w:tcW w:w="1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In the three and nine months ended September 30, 2022 and 2021, we recognized inventory charges, including excess and obsolete inventory charges, in the following captions on our Condensed Consolidated Statements of Operations:</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3"/>
          </w:tcPr>
          <w:p>
            <w:pPr>
              <w:jc w:val="right"/>
              <w:ind w:right="272"/>
              <w:spacing w:after="0"/>
              <w:rPr>
                <w:sz w:val="20"/>
                <w:szCs w:val="20"/>
                <w:color w:val="auto"/>
              </w:rPr>
            </w:pPr>
            <w:r>
              <w:rPr>
                <w:rFonts w:ascii="Arial" w:cs="Arial" w:eastAsia="Arial" w:hAnsi="Arial"/>
                <w:sz w:val="18"/>
                <w:szCs w:val="18"/>
                <w:b w:val="1"/>
                <w:bCs w:val="1"/>
                <w:color w:val="auto"/>
                <w:w w:val="96"/>
              </w:rPr>
              <w:t>Three Months Ended</w:t>
            </w:r>
          </w:p>
        </w:tc>
        <w:tc>
          <w:tcPr>
            <w:tcW w:w="280" w:type="dxa"/>
            <w:vAlign w:val="bottom"/>
          </w:tcPr>
          <w:p>
            <w:pPr>
              <w:spacing w:after="0"/>
              <w:rPr>
                <w:sz w:val="17"/>
                <w:szCs w:val="17"/>
                <w:color w:val="auto"/>
              </w:rPr>
            </w:pPr>
          </w:p>
        </w:tc>
        <w:tc>
          <w:tcPr>
            <w:tcW w:w="210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w w:val="98"/>
              </w:rPr>
              <w:t>Nine Months Ended</w:t>
            </w:r>
          </w:p>
        </w:tc>
      </w:tr>
      <w:tr>
        <w:trPr>
          <w:trHeight w:val="232"/>
        </w:trPr>
        <w:tc>
          <w:tcPr>
            <w:tcW w:w="5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b w:val="1"/>
                <w:bCs w:val="1"/>
                <w:color w:val="auto"/>
              </w:rPr>
              <w:t>September 30,</w:t>
            </w:r>
          </w:p>
        </w:tc>
      </w:tr>
      <w:tr>
        <w:trPr>
          <w:trHeight w:val="22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1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Charges in “Cost of Products”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Inventory Charges in “Other Charges (Credits)”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Inventory Charges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tbl>
      <w:tblPr>
        <w:tblLayout w:type="fixed"/>
        <w:tblInd w:w="32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Table of Contents</w:t>
            </w:r>
          </w:p>
        </w:tc>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840"/>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6 – Intangibles, Net</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0"/>
        </w:trPr>
        <w:tc>
          <w:tcPr>
            <w:tcW w:w="7320" w:type="dxa"/>
            <w:vAlign w:val="bottom"/>
            <w:gridSpan w:val="3"/>
          </w:tcPr>
          <w:p>
            <w:pPr>
              <w:spacing w:after="0"/>
              <w:rPr>
                <w:sz w:val="20"/>
                <w:szCs w:val="20"/>
                <w:color w:val="auto"/>
              </w:rPr>
            </w:pPr>
            <w:r>
              <w:rPr>
                <w:rFonts w:ascii="Arial" w:cs="Arial" w:eastAsia="Arial" w:hAnsi="Arial"/>
                <w:sz w:val="18"/>
                <w:szCs w:val="18"/>
                <w:color w:val="auto"/>
              </w:rPr>
              <w:t>The components of intangible assets, net were as follows: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3"/>
        </w:trPr>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December 31, 2021</w:t>
            </w:r>
          </w:p>
        </w:tc>
      </w:tr>
      <w:tr>
        <w:trPr>
          <w:trHeight w:val="167"/>
        </w:trPr>
        <w:tc>
          <w:tcPr>
            <w:tcW w:w="300" w:type="dxa"/>
            <w:vAlign w:val="bottom"/>
          </w:tcPr>
          <w:p>
            <w:pPr>
              <w:spacing w:after="0"/>
              <w:rPr>
                <w:sz w:val="14"/>
                <w:szCs w:val="14"/>
                <w:color w:val="auto"/>
              </w:rPr>
            </w:pPr>
          </w:p>
        </w:tc>
        <w:tc>
          <w:tcPr>
            <w:tcW w:w="702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8"/>
                <w:szCs w:val="18"/>
                <w:color w:val="auto"/>
                <w:w w:val="90"/>
              </w:rPr>
              <w:t>Developed and Acquired Technology, Net of Accumulated Amortization of $328 at September 30,</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8"/>
        </w:trPr>
        <w:tc>
          <w:tcPr>
            <w:tcW w:w="300" w:type="dxa"/>
            <w:vAlign w:val="bottom"/>
          </w:tcPr>
          <w:p>
            <w:pPr>
              <w:spacing w:after="0"/>
              <w:rPr>
                <w:sz w:val="20"/>
                <w:szCs w:val="20"/>
                <w:color w:val="auto"/>
              </w:rPr>
            </w:pPr>
          </w:p>
        </w:tc>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$247 at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256</w:t>
            </w:r>
          </w:p>
        </w:tc>
        <w:tc>
          <w:tcPr>
            <w:tcW w:w="8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173"/>
        </w:trPr>
        <w:tc>
          <w:tcPr>
            <w:tcW w:w="300" w:type="dxa"/>
            <w:vAlign w:val="bottom"/>
          </w:tcPr>
          <w:p>
            <w:pPr>
              <w:spacing w:after="0"/>
              <w:rPr>
                <w:sz w:val="15"/>
                <w:szCs w:val="15"/>
                <w:color w:val="auto"/>
              </w:rPr>
            </w:pPr>
          </w:p>
        </w:tc>
        <w:tc>
          <w:tcPr>
            <w:tcW w:w="7020" w:type="dxa"/>
            <w:vAlign w:val="bottom"/>
            <w:gridSpan w:val="2"/>
          </w:tcPr>
          <w:p>
            <w:pPr>
              <w:ind w:left="20"/>
              <w:spacing w:after="0" w:line="173" w:lineRule="exact"/>
              <w:rPr>
                <w:sz w:val="20"/>
                <w:szCs w:val="20"/>
                <w:color w:val="auto"/>
              </w:rPr>
            </w:pPr>
            <w:r>
              <w:rPr>
                <w:rFonts w:ascii="Arial" w:cs="Arial" w:eastAsia="Arial" w:hAnsi="Arial"/>
                <w:sz w:val="18"/>
                <w:szCs w:val="18"/>
                <w:color w:val="auto"/>
                <w:w w:val="96"/>
              </w:rPr>
              <w:t>Trade Names, Net of Accumulated Amortization of $111 at September 30, 2022 and $81 at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7"/>
        </w:trPr>
        <w:tc>
          <w:tcPr>
            <w:tcW w:w="300" w:type="dxa"/>
            <w:vAlign w:val="bottom"/>
          </w:tcPr>
          <w:p>
            <w:pPr>
              <w:spacing w:after="0"/>
              <w:rPr>
                <w:sz w:val="20"/>
                <w:szCs w:val="20"/>
                <w:color w:val="auto"/>
              </w:rPr>
            </w:pPr>
          </w:p>
        </w:tc>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December 31, 2021</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284</w:t>
            </w: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167"/>
        </w:trPr>
        <w:tc>
          <w:tcPr>
            <w:tcW w:w="300" w:type="dxa"/>
            <w:vAlign w:val="bottom"/>
          </w:tcPr>
          <w:p>
            <w:pPr>
              <w:spacing w:after="0"/>
              <w:rPr>
                <w:sz w:val="14"/>
                <w:szCs w:val="14"/>
                <w:color w:val="auto"/>
              </w:rPr>
            </w:pPr>
          </w:p>
        </w:tc>
        <w:tc>
          <w:tcPr>
            <w:tcW w:w="702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8"/>
                <w:szCs w:val="18"/>
                <w:color w:val="auto"/>
                <w:w w:val="91"/>
              </w:rPr>
              <w:t>Intangible Assets, Net of Accumulated Amortization of $439 at September 30, 2022 and $328 at</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62"/>
        </w:trPr>
        <w:tc>
          <w:tcPr>
            <w:tcW w:w="300" w:type="dxa"/>
            <w:vAlign w:val="bottom"/>
          </w:tcPr>
          <w:p>
            <w:pPr>
              <w:spacing w:after="0"/>
              <w:rPr>
                <w:sz w:val="22"/>
                <w:szCs w:val="22"/>
                <w:color w:val="auto"/>
              </w:rPr>
            </w:pPr>
          </w:p>
        </w:tc>
        <w:tc>
          <w:tcPr>
            <w:tcW w:w="70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540</w:t>
            </w:r>
          </w:p>
        </w:tc>
        <w:tc>
          <w:tcPr>
            <w:tcW w:w="8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0"/>
        </w:trPr>
        <w:tc>
          <w:tcPr>
            <w:tcW w:w="3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Amortization expense was $39 million and $117 million for both the three and nine months ended September 30, 2022 and September 30, 2021, respectively, and is reported in “Selling, General and Administrative” on our Condensed Consolidated Statements of Operations.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7 – Borrowings and Other Debt Obligations</w:t>
            </w:r>
          </w:p>
        </w:tc>
        <w:tc>
          <w:tcPr>
            <w:tcW w:w="2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45"/>
        </w:trPr>
        <w:tc>
          <w:tcPr>
            <w:tcW w:w="520" w:type="dxa"/>
            <w:vAlign w:val="bottom"/>
          </w:tcPr>
          <w:p>
            <w:pPr>
              <w:spacing w:after="0"/>
              <w:rPr>
                <w:sz w:val="24"/>
                <w:szCs w:val="24"/>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540" w:type="dxa"/>
            <w:vAlign w:val="bottom"/>
            <w:tcBorders>
              <w:bottom w:val="single" w:sz="8" w:color="auto"/>
            </w:tcBorders>
            <w:gridSpan w:val="2"/>
          </w:tcPr>
          <w:p>
            <w:pPr>
              <w:ind w:left="1980"/>
              <w:spacing w:after="0"/>
              <w:rPr>
                <w:sz w:val="20"/>
                <w:szCs w:val="20"/>
                <w:color w:val="auto"/>
              </w:rPr>
            </w:pPr>
            <w:r>
              <w:rPr>
                <w:rFonts w:ascii="Arial" w:cs="Arial" w:eastAsia="Arial" w:hAnsi="Arial"/>
                <w:sz w:val="18"/>
                <w:szCs w:val="18"/>
                <w:b w:val="1"/>
                <w:bCs w:val="1"/>
                <w:color w:val="auto"/>
                <w:w w:val="91"/>
              </w:rPr>
              <w:t>September 30, 2022</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December 31, 2021</w:t>
            </w:r>
          </w:p>
        </w:tc>
      </w:tr>
      <w:tr>
        <w:trPr>
          <w:trHeight w:val="219"/>
        </w:trPr>
        <w:tc>
          <w:tcPr>
            <w:tcW w:w="5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Finance Leases</w:t>
            </w:r>
          </w:p>
        </w:tc>
        <w:tc>
          <w:tcPr>
            <w:tcW w:w="25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52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Portion of Exit Notes</w:t>
            </w:r>
          </w:p>
        </w:tc>
        <w:tc>
          <w:tcPr>
            <w:tcW w:w="2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 w:type="dxa"/>
            <w:vAlign w:val="bottom"/>
          </w:tcPr>
          <w:p>
            <w:pPr>
              <w:spacing w:after="0"/>
              <w:rPr>
                <w:sz w:val="20"/>
                <w:szCs w:val="20"/>
                <w:color w:val="auto"/>
              </w:rPr>
            </w:pPr>
          </w:p>
        </w:tc>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54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6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20" w:type="dxa"/>
            <w:vAlign w:val="bottom"/>
          </w:tcPr>
          <w:p>
            <w:pPr>
              <w:spacing w:after="0" w:line="20" w:lineRule="exact"/>
              <w:rPr>
                <w:sz w:val="1"/>
                <w:szCs w:val="1"/>
                <w:color w:val="auto"/>
              </w:rPr>
            </w:pPr>
          </w:p>
        </w:tc>
        <w:tc>
          <w:tcPr>
            <w:tcW w:w="474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5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11.00% Exit Notes due 2024</w:t>
            </w:r>
          </w:p>
        </w:tc>
        <w:tc>
          <w:tcPr>
            <w:tcW w:w="25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6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51"/>
        </w:trPr>
        <w:tc>
          <w:tcPr>
            <w:tcW w:w="5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6.50% Senior Secured Notes due 2028</w:t>
            </w:r>
          </w:p>
        </w:tc>
        <w:tc>
          <w:tcPr>
            <w:tcW w:w="25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490</w:t>
            </w:r>
          </w:p>
        </w:tc>
        <w:tc>
          <w:tcPr>
            <w:tcW w:w="6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6"/>
        </w:trPr>
        <w:tc>
          <w:tcPr>
            <w:tcW w:w="5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8.625% Senior Notes due 2030</w:t>
            </w:r>
          </w:p>
        </w:tc>
        <w:tc>
          <w:tcPr>
            <w:tcW w:w="2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1,585</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25"/>
        </w:trPr>
        <w:tc>
          <w:tcPr>
            <w:tcW w:w="52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Portion Finance Leases</w:t>
            </w:r>
          </w:p>
        </w:tc>
        <w:tc>
          <w:tcPr>
            <w:tcW w:w="2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w:t>
            </w: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20" w:type="dxa"/>
            <w:vAlign w:val="bottom"/>
          </w:tcPr>
          <w:p>
            <w:pPr>
              <w:spacing w:after="0"/>
              <w:rPr>
                <w:sz w:val="20"/>
                <w:szCs w:val="20"/>
                <w:color w:val="auto"/>
              </w:rPr>
            </w:pPr>
          </w:p>
        </w:tc>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54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2,366</w:t>
            </w:r>
          </w:p>
        </w:tc>
        <w:tc>
          <w:tcPr>
            <w:tcW w:w="6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0"/>
        </w:trPr>
        <w:tc>
          <w:tcPr>
            <w:tcW w:w="520" w:type="dxa"/>
            <w:vAlign w:val="bottom"/>
          </w:tcPr>
          <w:p>
            <w:pPr>
              <w:spacing w:after="0" w:line="20" w:lineRule="exact"/>
              <w:rPr>
                <w:sz w:val="1"/>
                <w:szCs w:val="1"/>
                <w:color w:val="auto"/>
              </w:rPr>
            </w:pPr>
          </w:p>
        </w:tc>
        <w:tc>
          <w:tcPr>
            <w:tcW w:w="474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Exit Notes, 2028 Senior Secured Notes and 2030 Senior Notes (described below) were issued by Weatherford Bermuda and guaranteed by Weatherford International plc and Weatherford Delaware and other subsidiary guarantors party thereto.</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Exit Notes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an outstanding aggregate principal amount of $250 million maturing December 1, 2024 on our 11.00% senior unsecured notes (“Exit Notes”) with interest payable semiannually on June 1 and December 1, and commenced on June 1, 2020. On August 10, 2022, we redeemed $50 million in principal plus related unpaid interest of our Exit Notes. At September 30, 2022, the carrying value of $250 million represents the remaining unpaid principal. On October 18, 2022, we issued a notice to redeem $125 million in principal amount of our Exit Notes on November 17, 2022. The Exit Notes will be redeemed at 103% of the principal amount, plus accrued and unpaid interest.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2028 Senior Secured Notes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September 30, 2021, we issued 6.50% Senior Secured Notes in aggregate principal amount of $500 million maturing September 15, 2028 (the “2028 Senior Secured Notes”). Interest is payable semiannually on September 15 and March 15 of each year, and commenced on March 15, 2022. Proceeds from this debt issuance were used to fully repay a previous senior secured note with an aggregate principal amount of $500 million with a stated interest rate of 8.75% per annum due 2024,</w:t>
      </w:r>
    </w:p>
    <w:p>
      <w:pPr>
        <w:spacing w:after="0" w:line="200" w:lineRule="exact"/>
        <w:rPr>
          <w:sz w:val="20"/>
          <w:szCs w:val="20"/>
          <w:color w:val="auto"/>
        </w:rPr>
      </w:pP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resulting in $59 million in charges from the bond redemption premium and noncash loss on extinguishment of debt related to the unamortized debt issuance costs and discount.</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2030 Senior Notes</w:t>
      </w:r>
    </w:p>
    <w:p>
      <w:pPr>
        <w:spacing w:after="0" w:line="24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On October 27, 2021, we issued 8.625% Senior Notes in aggregate principal amount of $1.6 billion maturing April 30, 2030 (the “2030 Senior Notes”). Interest is payable semiannually on June 1 and December 1 of each year, and commenced on June 1, 2022. The proceeds from this debt issuance were used to redeem $1.6 billion of the above Exit Notes.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LC Agreement</w:t>
      </w:r>
    </w:p>
    <w:p>
      <w:pPr>
        <w:spacing w:after="0" w:line="24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We had a senior secured letter of credit agreement (the “LC Agreement”) in an aggregate amount of $215 million maturing on May 29, 2024, which was used by the Company and certain of its subsidiaries for the issuance of bid and performance letters of credit.</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September 30, 2022, we had approximately $163 million in outstanding letters of credit under the LC Agreement and availability of $52 million.</w:t>
      </w:r>
    </w:p>
    <w:p>
      <w:pPr>
        <w:spacing w:after="0" w:line="255"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As of September 30, 2022, we had $357 million of letters of credit outstanding, consisting of the $163 million under the LC Agreement and another $194 million under various uncommitted bi-lateral facilities (of which there was $194 million in cash collateral held and recorded in “Restricted Cash” on the Condensed Consolidated Balance Sheets). Our letters of credit under various uncommitted bi-lateral facilities increased “Restricted Cash” since December 31, 2021 due to a requirement from a new multi-year contract.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October 17, 2022, we amended the LC Agreement, the details of which are found in “Note 12 – Subsequent Events”.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Accrued Interest</w:t>
      </w:r>
    </w:p>
    <w:p>
      <w:pPr>
        <w:spacing w:after="0" w:line="24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As of September 30, 2022 and December 31, 2021, we had accrued interest of approximately $57 million and $35 million, respectively, in “Other Current Liabilities” primarily related to the Exit Notes, 2028 Senior Secured Notes and 2030 Senior Notes.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our short-term borrowings, when applicable, approximates their fair value due to their short maturities.</w:t>
      </w:r>
    </w:p>
    <w:p>
      <w:pPr>
        <w:spacing w:after="0" w:line="244"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3"/>
          </w:tcPr>
          <w:p>
            <w:pPr>
              <w:jc w:val="right"/>
              <w:ind w:right="772"/>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auto"/>
              </w:rPr>
              <w:t>December 31, 2021</w:t>
            </w:r>
          </w:p>
        </w:tc>
      </w:tr>
      <w:tr>
        <w:trPr>
          <w:trHeight w:val="21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2"/>
              </w:rPr>
              <w:t>Carrying Value</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Carrying Value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Fair Value</w:t>
            </w:r>
          </w:p>
        </w:tc>
      </w:tr>
      <w:tr>
        <w:trPr>
          <w:trHeight w:val="218"/>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11.00% Exit Notes due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4880" w:type="dxa"/>
            <w:vAlign w:val="bottom"/>
          </w:tcPr>
          <w:p>
            <w:pPr>
              <w:ind w:left="20"/>
              <w:spacing w:after="0"/>
              <w:rPr>
                <w:sz w:val="20"/>
                <w:szCs w:val="20"/>
                <w:color w:val="auto"/>
              </w:rPr>
            </w:pPr>
            <w:r>
              <w:rPr>
                <w:rFonts w:ascii="Arial" w:cs="Arial" w:eastAsia="Arial" w:hAnsi="Arial"/>
                <w:sz w:val="18"/>
                <w:szCs w:val="18"/>
                <w:color w:val="auto"/>
              </w:rPr>
              <w:t>6.50% Senior Secured Notes due 2028</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488</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8.625% Senior Notes due 2030</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1,403</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(excluding Finance Leases)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472" w:right="239" w:bottom="1440" w:gutter="0" w:footer="0" w:header="0"/>
        </w:sectPr>
      </w:pPr>
    </w:p>
    <w:bookmarkStart w:id="13" w:name="page14"/>
    <w:bookmarkEnd w:id="13"/>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8 – Disputes, Litigation and Legal Contingencies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September 30, 2022 and December 31, 2021 were $39 million and $40 million, respectively.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 and the parties are continuing to await a decision.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Shareholders’ Equity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for the three and nine months ended September 30, 2022 and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93"/>
              </w:rPr>
              <w:t>Capital in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Accumulated</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w w:val="97"/>
              </w:rPr>
              <w:t>Retained</w:t>
            </w:r>
          </w:p>
        </w:tc>
        <w:tc>
          <w:tcPr>
            <w:tcW w:w="240" w:type="dxa"/>
            <w:vAlign w:val="bottom"/>
          </w:tcPr>
          <w:p>
            <w:pPr>
              <w:spacing w:after="0"/>
              <w:rPr>
                <w:sz w:val="14"/>
                <w:szCs w:val="14"/>
                <w:color w:val="auto"/>
              </w:rPr>
            </w:pPr>
          </w:p>
        </w:tc>
        <w:tc>
          <w:tcPr>
            <w:tcW w:w="1500" w:type="dxa"/>
            <w:vAlign w:val="bottom"/>
          </w:tcPr>
          <w:p>
            <w:pPr>
              <w:jc w:val="center"/>
              <w:ind w:right="112"/>
              <w:spacing w:after="0" w:line="172" w:lineRule="exact"/>
              <w:rPr>
                <w:sz w:val="20"/>
                <w:szCs w:val="20"/>
                <w:color w:val="auto"/>
              </w:rPr>
            </w:pPr>
            <w:r>
              <w:rPr>
                <w:rFonts w:ascii="Arial" w:cs="Arial" w:eastAsia="Arial" w:hAnsi="Arial"/>
                <w:sz w:val="18"/>
                <w:szCs w:val="18"/>
                <w:b w:val="1"/>
                <w:bCs w:val="1"/>
                <w:color w:val="auto"/>
                <w:w w:val="95"/>
              </w:rPr>
              <w:t>Other</w:t>
            </w:r>
          </w:p>
        </w:tc>
        <w:tc>
          <w:tcPr>
            <w:tcW w:w="1420" w:type="dxa"/>
            <w:vAlign w:val="bottom"/>
            <w:gridSpan w:val="2"/>
            <w:vMerge w:val="restart"/>
          </w:tcPr>
          <w:p>
            <w:pPr>
              <w:jc w:val="right"/>
              <w:ind w:right="12"/>
              <w:spacing w:after="0"/>
              <w:rPr>
                <w:sz w:val="20"/>
                <w:szCs w:val="20"/>
                <w:color w:val="auto"/>
              </w:rPr>
            </w:pPr>
            <w:r>
              <w:rPr>
                <w:rFonts w:ascii="Arial" w:cs="Arial" w:eastAsia="Arial" w:hAnsi="Arial"/>
                <w:sz w:val="18"/>
                <w:szCs w:val="18"/>
                <w:b w:val="1"/>
                <w:bCs w:val="1"/>
                <w:color w:val="auto"/>
                <w:w w:val="96"/>
              </w:rPr>
              <w:t>Non-controlling</w:t>
            </w: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ind w:right="52"/>
              <w:spacing w:after="0" w:line="172" w:lineRule="exact"/>
              <w:rPr>
                <w:sz w:val="20"/>
                <w:szCs w:val="20"/>
                <w:color w:val="auto"/>
              </w:rPr>
            </w:pPr>
            <w:r>
              <w:rPr>
                <w:rFonts w:ascii="Arial" w:cs="Arial" w:eastAsia="Arial" w:hAnsi="Arial"/>
                <w:sz w:val="18"/>
                <w:szCs w:val="18"/>
                <w:b w:val="1"/>
                <w:bCs w:val="1"/>
                <w:color w:val="auto"/>
                <w:w w:val="84"/>
              </w:rPr>
              <w:t>Excess of Par</w:t>
            </w:r>
          </w:p>
        </w:tc>
        <w:tc>
          <w:tcPr>
            <w:tcW w:w="2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ind w:right="112"/>
              <w:spacing w:after="0" w:line="172" w:lineRule="exact"/>
              <w:rPr>
                <w:sz w:val="20"/>
                <w:szCs w:val="20"/>
                <w:color w:val="auto"/>
              </w:rPr>
            </w:pPr>
            <w:r>
              <w:rPr>
                <w:rFonts w:ascii="Arial" w:cs="Arial" w:eastAsia="Arial" w:hAnsi="Arial"/>
                <w:sz w:val="18"/>
                <w:szCs w:val="18"/>
                <w:b w:val="1"/>
                <w:bCs w:val="1"/>
                <w:color w:val="auto"/>
                <w:w w:val="87"/>
              </w:rPr>
              <w:t>Comprehensive</w:t>
            </w: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6"/>
              </w:rPr>
              <w:t>Shareholders’</w:t>
            </w:r>
          </w:p>
        </w:tc>
        <w:tc>
          <w:tcPr>
            <w:tcW w:w="0" w:type="dxa"/>
            <w:vAlign w:val="bottom"/>
          </w:tcPr>
          <w:p>
            <w:pPr>
              <w:spacing w:after="0"/>
              <w:rPr>
                <w:sz w:val="1"/>
                <w:szCs w:val="1"/>
                <w:color w:val="auto"/>
              </w:rPr>
            </w:pPr>
          </w:p>
        </w:tc>
      </w:tr>
      <w:tr>
        <w:trPr>
          <w:trHeight w:val="23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Deficit</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6"/>
              </w:rPr>
              <w:t>Income (Loss)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8"/>
              </w:rPr>
              <w:t>Interests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7"/>
              </w:rPr>
              <w:t>Equity Awards, Granted, Vested and Exercised</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b w:val="1"/>
                <w:bCs w:val="1"/>
                <w:color w:val="auto"/>
              </w:rPr>
              <w:t>Balance at March 31, 2022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2,908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 to Noncontrolling Interests</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8"/>
              </w:rPr>
              <w:t>Equity Awards Granted, Vested and Exercised</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June 30, 2022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Dividends to Noncontrolling Interests</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Equity Awards Granted, Vested and Exercised</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September 30, 2022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 to Noncontrolling Interests</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Comprehensive Loss</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March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Dividends to Noncontrolling Interests</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Equity Awards Granted, Vested and Exercised</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June 30,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Dividends to Noncontrolling Interests</w:t>
            </w:r>
          </w:p>
        </w:tc>
        <w:tc>
          <w:tcPr>
            <w:tcW w:w="4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Equity Awards Granted, Vested and Exercised</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September 30, 2021</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472" w:right="239" w:bottom="1440" w:gutter="0" w:footer="0" w:header="0"/>
        </w:sectPr>
      </w:pPr>
    </w:p>
    <w:bookmarkStart w:id="15" w:name="page16"/>
    <w:bookmarkEnd w:id="15"/>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nine months ended September 30, 2022 and 2021:</w:t>
      </w:r>
    </w:p>
    <w:p>
      <w:pPr>
        <w:spacing w:after="0" w:line="66"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680" w:type="dxa"/>
            <w:vAlign w:val="bottom"/>
          </w:tcPr>
          <w:p>
            <w:pPr>
              <w:jc w:val="center"/>
              <w:ind w:left="1612"/>
              <w:spacing w:after="0"/>
              <w:rPr>
                <w:sz w:val="20"/>
                <w:szCs w:val="20"/>
                <w:color w:val="auto"/>
              </w:rPr>
            </w:pPr>
            <w:r>
              <w:rPr>
                <w:rFonts w:ascii="Arial" w:cs="Arial" w:eastAsia="Arial" w:hAnsi="Arial"/>
                <w:sz w:val="18"/>
                <w:szCs w:val="18"/>
                <w:b w:val="1"/>
                <w:bCs w:val="1"/>
                <w:color w:val="auto"/>
                <w:w w:val="93"/>
              </w:rPr>
              <w:t>Currency</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w w:val="92"/>
              </w:rPr>
              <w:t>Defined Benefit</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2680" w:type="dxa"/>
            <w:vAlign w:val="bottom"/>
          </w:tcPr>
          <w:p>
            <w:pPr>
              <w:jc w:val="center"/>
              <w:ind w:left="1612"/>
              <w:spacing w:after="0" w:line="172" w:lineRule="exact"/>
              <w:rPr>
                <w:sz w:val="20"/>
                <w:szCs w:val="20"/>
                <w:color w:val="auto"/>
              </w:rPr>
            </w:pPr>
            <w:r>
              <w:rPr>
                <w:rFonts w:ascii="Arial" w:cs="Arial" w:eastAsia="Arial" w:hAnsi="Arial"/>
                <w:sz w:val="18"/>
                <w:szCs w:val="18"/>
                <w:b w:val="1"/>
                <w:bCs w:val="1"/>
                <w:color w:val="auto"/>
                <w:w w:val="88"/>
              </w:rPr>
              <w:t>Translation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80" w:type="dxa"/>
            <w:vAlign w:val="bottom"/>
            <w:tcBorders>
              <w:bottom w:val="single" w:sz="8" w:color="auto"/>
            </w:tcBorders>
          </w:tcPr>
          <w:p>
            <w:pPr>
              <w:jc w:val="center"/>
              <w:ind w:left="1612"/>
              <w:spacing w:after="0"/>
              <w:rPr>
                <w:sz w:val="20"/>
                <w:szCs w:val="20"/>
                <w:color w:val="auto"/>
              </w:rPr>
            </w:pPr>
            <w:r>
              <w:rPr>
                <w:rFonts w:ascii="Arial" w:cs="Arial" w:eastAsia="Arial" w:hAnsi="Arial"/>
                <w:sz w:val="18"/>
                <w:szCs w:val="18"/>
                <w:b w:val="1"/>
                <w:bCs w:val="1"/>
                <w:color w:val="auto"/>
                <w:w w:val="90"/>
              </w:rPr>
              <w:t>Adjustment</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Pension</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680" w:type="dxa"/>
            <w:vAlign w:val="bottom"/>
            <w:shd w:val="clear" w:color="auto" w:fill="CCEEFF"/>
          </w:tcPr>
          <w:p>
            <w:pPr>
              <w:jc w:val="right"/>
              <w:ind w:right="1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w:t>
            </w:r>
          </w:p>
        </w:tc>
        <w:tc>
          <w:tcPr>
            <w:tcW w:w="2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2680" w:type="dxa"/>
            <w:vAlign w:val="bottom"/>
            <w:tcBorders>
              <w:bottom w:val="single" w:sz="8" w:color="auto"/>
            </w:tcBorders>
            <w:shd w:val="clear" w:color="auto" w:fill="CCEEFF"/>
          </w:tcPr>
          <w:p>
            <w:pPr>
              <w:jc w:val="right"/>
              <w:ind w:right="1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680" w:type="dxa"/>
            <w:vAlign w:val="bottom"/>
            <w:shd w:val="clear" w:color="auto" w:fill="CCEEFF"/>
          </w:tcPr>
          <w:p>
            <w:pPr>
              <w:jc w:val="right"/>
              <w:ind w:right="11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w:t>
            </w:r>
          </w:p>
        </w:tc>
        <w:tc>
          <w:tcPr>
            <w:tcW w:w="2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2680" w:type="dxa"/>
            <w:vAlign w:val="bottom"/>
            <w:tcBorders>
              <w:bottom w:val="single" w:sz="8" w:color="auto"/>
            </w:tcBorders>
            <w:shd w:val="clear" w:color="auto" w:fill="CCEEFF"/>
          </w:tcPr>
          <w:p>
            <w:pPr>
              <w:jc w:val="right"/>
              <w:ind w:right="11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 – Income (Loss) per Share</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Basic income (loss) per share for all periods presented equals net income (loss) divided by our weighted average shares outstanding during the period. Diluted income (loss) per share is computed by dividing net income (loss) by our weighted average shares outstanding during the period including potential dilutive ordinary shares. Antidilutive shares represent potentially dilutive securities which are excluded from the computation of diluted income or loss per share as their impact was antidilutive. These include potential ordinary shares for restricted share units, performance share units, phantom restricted share units, and outstanding warrants. Our basic and diluted weighted average shares outstanding for periods presented with net loss are equivalent as the impact of the inclusion of potential dilutive securities are antidilutive.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number of shares used for the basic and diluted income (loss) per share calculation was as follows:</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4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w w:val="89"/>
              </w:rPr>
              <w:t>Three Months Ended September 30,</w:t>
            </w:r>
          </w:p>
        </w:tc>
        <w:tc>
          <w:tcPr>
            <w:tcW w:w="27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Weatherford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65"/>
        </w:trPr>
        <w:tc>
          <w:tcPr>
            <w:tcW w:w="4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5"/>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Dilutive Effect of Awards Granted in Stock Incentive Plans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73"/>
        </w:trPr>
        <w:tc>
          <w:tcPr>
            <w:tcW w:w="4960" w:type="dxa"/>
            <w:vAlign w:val="bottom"/>
          </w:tcPr>
          <w:p>
            <w:pPr>
              <w:ind w:left="20"/>
              <w:spacing w:after="0" w:line="173" w:lineRule="exact"/>
              <w:rPr>
                <w:sz w:val="20"/>
                <w:szCs w:val="20"/>
                <w:color w:val="auto"/>
              </w:rPr>
            </w:pPr>
            <w:r>
              <w:rPr>
                <w:rFonts w:ascii="Arial" w:cs="Arial" w:eastAsia="Arial" w:hAnsi="Arial"/>
                <w:sz w:val="18"/>
                <w:szCs w:val="18"/>
                <w:color w:val="auto"/>
              </w:rPr>
              <w:t>Basic and Diluted Income (Loss) Per Share Attributable to</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Weatherford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0.39</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(0.65)</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w:t>
            </w:r>
          </w:p>
        </w:tc>
      </w:tr>
    </w:tbl>
    <w:p>
      <w:pPr>
        <w:spacing w:after="0" w:line="3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11 – Income Taxes</w:t>
      </w:r>
    </w:p>
    <w:p>
      <w:pPr>
        <w:spacing w:after="0" w:line="25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determine our quarterly tax provision using the year-to-date effective tax rate because the estimated annual approach is not reliable given that small changes in estimated ordinary annual income result in significant changes in our estimated annual effective tax rate. The year-to-date effective tax rate treats the year-to-date period as if it was the annual period and determines the income tax expense or benefit on that basis.</w:t>
      </w:r>
    </w:p>
    <w:p>
      <w:pPr>
        <w:spacing w:after="0" w:line="19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the three and nine months ended September 30, 2022, we recognized tax expense of $26 million and $66 million, respectively, compared to the three and nine months ended September 30, 2021 where we recognized tax expense of $28 million and $66 million, respectively. 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 w:name="page17"/>
    <w:bookmarkEnd w:id="16"/>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income taxes based on the laws and rates in effect in the countries in which operations are conducted, or in which we or our subsidiaries are considered residents for income tax purposes. Our income tax provisions are primarily driven by income in certain jurisdictions, deemed profit countries and withholding taxes on intercompany and third-party transactions that do not directly correlate to ordinary income or loss and other adjustments. Impairments and other charges recognized may not result in significant tax benefit due to our inability to forecast realization of the tax benefit of such losses.</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Inflation Reduction Act (“IRA”) was signed into law during the third quarter of 2022 which instituted new tax provisions, including a Minimum Business Tax. Given our current tax position, it should not have a significant impact on our financial statements. We will continue to evaluate our position, and potential impact of the IRA.</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routinely undergo tax examination in various jurisdictions. We cannot predict the timing or outcome regarding resolution of these tax examinations or if they will have a material impact on our financial statements. The expense in the nine months ended September 30, 2022 included a $27 million recognition of a benefit from previously uncertain tax positions. As of September 30, 2022, we anticipate that it is reasonably possible that our uncertain tax positions of $228 million may decrease by up to $14 million in the next twelve months due to expiration of statutes of limitations, settlements and/or conclusions of tax examinations.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12 – Subsequent Events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October 17, 2022, we amended our LC Agreement (as amended and restated, the “Credit Agreement”) to provide for a $370 million revolving credit agreement, comprised of $280 million for bid and performance letters of credit, and $90 million for revolving loans and bid, performance and financial letters of credit. The revolving loan capacity is $45 million.</w:t>
      </w:r>
    </w:p>
    <w:p>
      <w:pPr>
        <w:spacing w:after="0" w:line="21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maturity date under the Credit Agreement is October 17, 2026; provided, that if more than $50 million of our Exit Notes are outstanding on such date the maturity date will be August 30, 2024. The Credit Agreement also has (i) a minimum liquidity covenant of $250 million, (ii) a minimum interest coverage ratio of 2.00 to 1.00 for the testing period ended September 30, 2022 and 2.50 to 1.00 for each testing period thereafter and (iii) a maximum ratio of funded debt (net of unrestricted cash in excess of $400 million) to consolidated adjusted EBITDA of 4.00 to 1.00 for each testing period ending prior to June 30, 2023 and 3.50 to 1.00 for each testing period thereafter. The obligations under the Credit Agreement, as with our prior LC Agreement, are guaranteed by the Company and certain of our subsidiaries and secured by substantially all of the personal property of the Company and these subsidiaries.</w:t>
      </w:r>
    </w:p>
    <w:p>
      <w:pPr>
        <w:spacing w:after="0" w:line="1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information on the terms of the Credit Agreement, please refer to the Form 8-K filed with the Securities and Exchange Commission on October 18, 2022.</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18, 2022, we issued a notice to redeem $125 million in principal amount of our Exit Notes on November 17, 2022. The Exit Notes will be redeemed at 103% of the principal amount, plus accrued and unpaid interest.</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w:t>
      </w:r>
    </w:p>
    <w:p>
      <w:pPr>
        <w:spacing w:after="0" w:line="1" w:lineRule="exact"/>
        <w:rPr>
          <w:sz w:val="20"/>
          <w:szCs w:val="20"/>
          <w:color w:val="auto"/>
        </w:rPr>
      </w:pPr>
    </w:p>
    <w:p>
      <w:pPr>
        <w:ind w:left="100" w:hanging="94"/>
        <w:spacing w:after="0"/>
        <w:tabs>
          <w:tab w:leader="none" w:pos="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Item 1A. Risk Factors.”</w:t>
      </w:r>
    </w:p>
    <w:p>
      <w:pPr>
        <w:spacing w:after="0" w:line="22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b w:val="1"/>
          <w:bCs w:val="1"/>
          <w:color w:val="auto"/>
        </w:rPr>
        <w:t>Business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Weatherford delivers innovative energy services that integrate proven technologies with advanced digitalization to create sustainable offerings for maximized value and return on investment. We provide equipment and services used in the drilling, evaluation, construction, completion, production, intervention and responsible abandonment of wells across the broad spectrum of energy sources.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conduct operations in approximately 75 countries, answering the challenges of the energy industry with 350 operating locations including manufacturing, research and development, service, and training facilities.</w:t>
      </w:r>
    </w:p>
    <w:p>
      <w:pPr>
        <w:spacing w:after="0" w:line="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as well as new energy platforms across our three product line segments: (1) Drilling and Evaluation (2) Well Construction and Completions, and (3) Production and Intervention. All of our segments are enabled by a full suite of digital, monitoring, optimization and artificial intelligence solutions providing services throughout the well life cycle, including responsible abandonment.</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Drilling and Evaluation (“DRE”) </w:t>
      </w:r>
      <w:r>
        <w:rPr>
          <w:rFonts w:ascii="Arial" w:cs="Arial" w:eastAsia="Arial" w:hAnsi="Arial"/>
          <w:sz w:val="18"/>
          <w:szCs w:val="18"/>
          <w:color w:val="auto"/>
        </w:rPr>
        <w:t>offers a suite of services including managed pressure drilling, drilling services, wireline and drilling fluids. DRE offers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ranging from early well planning to reservoir management through innovative tools and expert engineering to optimize reservoir access and productivity.</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Well Construction and Completions (“WCC”) </w:t>
      </w:r>
      <w:r>
        <w:rPr>
          <w:rFonts w:ascii="Arial" w:cs="Arial" w:eastAsia="Arial" w:hAnsi="Arial"/>
          <w:sz w:val="18"/>
          <w:szCs w:val="18"/>
          <w:color w:val="auto"/>
        </w:rPr>
        <w:t>offers products and services for well integrity assurance across the full life cycle of the well. The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21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b w:val="1"/>
          <w:bCs w:val="1"/>
          <w:i w:val="1"/>
          <w:iCs w:val="1"/>
          <w:color w:val="auto"/>
        </w:rPr>
        <w:t xml:space="preserve">Production and Intervention (“PRI”) </w:t>
      </w:r>
      <w:r>
        <w:rPr>
          <w:rFonts w:ascii="Arial" w:cs="Arial" w:eastAsia="Arial" w:hAnsi="Arial"/>
          <w:sz w:val="15"/>
          <w:szCs w:val="15"/>
          <w:color w:val="auto"/>
        </w:rPr>
        <w:t>offers production optimization technologies through the Company’s ability to design and deliver a complete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production ecosystem to boost productivity and responsible abandonment for our customers. The primary offerings are intervention services &amp; drilling tools, artificial lift, production automation &amp; software, sub-sea intervention and pressure pumping services. PRI utilizes a suite of reservoir stimulation designs, and engineering capabilities that isolate zones and unlock reserves in conventional and unconventional wells, deep water, and aging reservoirs.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 w:name="page19"/>
    <w:bookmarkEnd w:id="18"/>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Outlook</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Growth and spending in the energy services industry is highly dependent on many external factors. These include, but are not limited to, the impact from geopolitical conflicts, global response to any ongoing pandemics, our customers’ capital expenditures, environmental, social and governance (“ESG”) initiatives, world economic, political and weather conditions, the price of oil and natural gas, and member-country quota compliance within the Organization of Petroleum Exporting Countries and the expanded alliance. We expect continued improvements in our customer activity levels and generally positive macroeconomic conditions that may offset inflationary pressures and potential recessionary concerns, all of which are expected to provide a pathway to a multi-year energy demand expansion. We continue to closely monitor the growing recessionary concerns in the global market, ongoing supply chain disruptions, escalating costs, logistical constraints and travel restrictions. Our consolidated full year revenues for 2022 are anticipated to grow over prior year. We believe that industry activity will continue to improve into 2023.</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Russia Ukraine Conflict</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On February 24, 2022, the military conflict between Russia and Ukraine (“Russia Ukraine Conflict”) began and in response, we evaluated, and continue to evaluate, our operations, with the first action being centered on the safety and well-being of our employees in the impacted regions.</w:t>
      </w:r>
    </w:p>
    <w:p>
      <w:pPr>
        <w:spacing w:after="0" w:line="1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response to the Russia Ukraine Conflict, the United States, the European Union, the United Kingdom and other countries have imposed certain restrictions and broad sanctions against Russia, certain Russian individuals and certain activities involving Russia or Russian individuals. We continue to monitor and intend to remain in full compliance with the evolving sanctions landscape and will continue to fulfill existing contractual obligations within applicable international laws and sanctions.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Revenues in Russia were 6%-7% of our total revenues for both the three and nine months ended September 30, 2022 and 2021. As the Russia Ukraine Conflict and related sanctions persist or are escalated, our business may be negatively impacted, potentially lowering revenues or triggering asset impairments in Russia.</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Opportunities and Challenges</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pressures us to deliver our products and services at competitive rates. In addition, as consolidation of the energy services industry continues due to market conditions, there has been increased demand for companies to provide specialized products, services and technologies. Weatherford delivers innovative energy services that integrate proven technologies with advanced digitalization to create sustainable offerings for maximized value and return on investment. We believe we are well positioned to satisfy our customers’ needs, but the level of improvement in our businesses in the future will depend heavily on pricing, volume of work, our ability to offer technology solutions to more efficiently extract oil and gas while controlling costs, and our success in penetrating new and existing markets with our newly developed technologies. Over the long-term, we expect the world’s demand for energy to continue to rise and require more advanced technology from the energy service industry. We remain focused on delivering innovative and cost-efficient solutions for customers to assist them in achieving their operational, safety and environmental objectives.</w:t>
      </w:r>
    </w:p>
    <w:p>
      <w:pPr>
        <w:spacing w:after="0" w:line="3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Current market conditions could make it more difficult to obtain our targeted cost reduction benefits and to recruit, motivate and retain employees, including key personnel. Escalations of sanctions and other events around the Russia Ukraine Conflict, including increased exposure to cyber-attacks, increasing investor and government focus on ESG factors, supply chain challenges and disruptions, and the cyclicality of the energy industry may negatively impact demand for our products and services. We are following our long-term strategy aimed at achieving sustainable profitability in our businesses, servicing our customers and creating value for our shareholders. Our long-term success will be determined by our ability to manage effectively the cyclicality of our industry, including future potential prolonged industry downturns, our ability to respond to industry demands in periods of over-supply or uncertain oil prices, and ultimately to generate consistent positive cash flow and positive returns on the invested capital.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Oil and Natural Gas Prices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table below shows the average oil and natural gas prices for West Texas Intermediate (“WTI”) and Brent North Sea (“Brent”) crude oil and Henry Hub natural gas.</w:t>
      </w:r>
    </w:p>
    <w:p>
      <w:pPr>
        <w:spacing w:after="0" w:line="241" w:lineRule="exact"/>
        <w:rPr>
          <w:sz w:val="20"/>
          <w:szCs w:val="20"/>
          <w:color w:val="auto"/>
        </w:rPr>
      </w:pPr>
    </w:p>
    <w:tbl>
      <w:tblPr>
        <w:tblLayout w:type="fixed"/>
        <w:tblInd w:w="108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2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Three Months Ended</w:t>
            </w:r>
          </w:p>
        </w:tc>
        <w:tc>
          <w:tcPr>
            <w:tcW w:w="282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3740" w:type="dxa"/>
            <w:vAlign w:val="bottom"/>
          </w:tcPr>
          <w:p>
            <w:pPr>
              <w:spacing w:after="0"/>
              <w:rPr>
                <w:sz w:val="19"/>
                <w:szCs w:val="19"/>
                <w:color w:val="auto"/>
              </w:rPr>
            </w:pPr>
          </w:p>
        </w:tc>
        <w:tc>
          <w:tcPr>
            <w:tcW w:w="2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September 30,</w:t>
            </w:r>
          </w:p>
        </w:tc>
        <w:tc>
          <w:tcPr>
            <w:tcW w:w="282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rPr>
              <w:t>September 30,</w:t>
            </w:r>
          </w:p>
        </w:tc>
      </w:tr>
      <w:tr>
        <w:trPr>
          <w:trHeight w:val="219"/>
        </w:trPr>
        <w:tc>
          <w:tcPr>
            <w:tcW w:w="374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r>
      <w:tr>
        <w:trPr>
          <w:trHeight w:val="218"/>
        </w:trPr>
        <w:tc>
          <w:tcPr>
            <w:tcW w:w="374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Oil price - WTI </w:t>
            </w:r>
            <w:r>
              <w:rPr>
                <w:rFonts w:ascii="Arial" w:cs="Arial" w:eastAsia="Arial" w:hAnsi="Arial"/>
                <w:sz w:val="22"/>
                <w:szCs w:val="22"/>
                <w:color w:val="auto"/>
                <w:vertAlign w:val="superscript"/>
              </w:rPr>
              <w:t>(1)</w:t>
            </w:r>
          </w:p>
        </w:tc>
        <w:tc>
          <w:tcPr>
            <w:tcW w:w="1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$93.18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$98.79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r>
      <w:tr>
        <w:trPr>
          <w:trHeight w:val="225"/>
        </w:trPr>
        <w:tc>
          <w:tcPr>
            <w:tcW w:w="374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Oil price - Brent </w:t>
            </w:r>
            <w:r>
              <w:rPr>
                <w:rFonts w:ascii="Arial" w:cs="Arial" w:eastAsia="Arial" w:hAnsi="Arial"/>
                <w:sz w:val="22"/>
                <w:szCs w:val="22"/>
                <w:color w:val="auto"/>
                <w:vertAlign w:val="superscript"/>
              </w:rPr>
              <w:t>(1)</w:t>
            </w:r>
          </w:p>
        </w:tc>
        <w:tc>
          <w:tcPr>
            <w:tcW w:w="1620" w:type="dxa"/>
            <w:vAlign w:val="bottom"/>
          </w:tcPr>
          <w:p>
            <w:pPr>
              <w:jc w:val="right"/>
              <w:ind w:right="172"/>
              <w:spacing w:after="0"/>
              <w:rPr>
                <w:sz w:val="20"/>
                <w:szCs w:val="20"/>
                <w:color w:val="auto"/>
              </w:rPr>
            </w:pPr>
            <w:r>
              <w:rPr>
                <w:rFonts w:ascii="Arial" w:cs="Arial" w:eastAsia="Arial" w:hAnsi="Arial"/>
                <w:sz w:val="18"/>
                <w:szCs w:val="18"/>
                <w:color w:val="auto"/>
              </w:rPr>
              <w:t>$100.72</w:t>
            </w:r>
          </w:p>
        </w:tc>
        <w:tc>
          <w:tcPr>
            <w:tcW w:w="1120" w:type="dxa"/>
            <w:vAlign w:val="bottom"/>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19"/>
                <w:szCs w:val="19"/>
                <w:color w:val="auto"/>
              </w:rPr>
            </w:pPr>
          </w:p>
        </w:tc>
        <w:tc>
          <w:tcPr>
            <w:tcW w:w="1660" w:type="dxa"/>
            <w:vAlign w:val="bottom"/>
          </w:tcPr>
          <w:p>
            <w:pPr>
              <w:jc w:val="right"/>
              <w:ind w:right="192"/>
              <w:spacing w:after="0"/>
              <w:rPr>
                <w:sz w:val="20"/>
                <w:szCs w:val="20"/>
                <w:color w:val="auto"/>
              </w:rPr>
            </w:pPr>
            <w:r>
              <w:rPr>
                <w:rFonts w:ascii="Arial" w:cs="Arial" w:eastAsia="Arial" w:hAnsi="Arial"/>
                <w:sz w:val="18"/>
                <w:szCs w:val="18"/>
                <w:color w:val="auto"/>
              </w:rPr>
              <w:t>$104.85</w:t>
            </w:r>
          </w:p>
        </w:tc>
        <w:tc>
          <w:tcPr>
            <w:tcW w:w="1160" w:type="dxa"/>
            <w:vAlign w:val="bottom"/>
          </w:tcPr>
          <w:p>
            <w:pPr>
              <w:jc w:val="right"/>
              <w:spacing w:after="0"/>
              <w:rPr>
                <w:sz w:val="20"/>
                <w:szCs w:val="20"/>
                <w:color w:val="auto"/>
              </w:rPr>
            </w:pPr>
            <w:r>
              <w:rPr>
                <w:rFonts w:ascii="Arial" w:cs="Arial" w:eastAsia="Arial" w:hAnsi="Arial"/>
                <w:sz w:val="18"/>
                <w:szCs w:val="18"/>
                <w:color w:val="auto"/>
              </w:rPr>
              <w:t>$67.71</w:t>
            </w:r>
          </w:p>
        </w:tc>
      </w:tr>
      <w:tr>
        <w:trPr>
          <w:trHeight w:val="225"/>
        </w:trPr>
        <w:tc>
          <w:tcPr>
            <w:tcW w:w="3740" w:type="dxa"/>
            <w:vAlign w:val="bottom"/>
            <w:tcBorders>
              <w:bottom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22"/>
                <w:szCs w:val="22"/>
                <w:color w:val="auto"/>
                <w:vertAlign w:val="superscript"/>
              </w:rPr>
              <w:t>(2)</w:t>
            </w:r>
          </w:p>
        </w:tc>
        <w:tc>
          <w:tcPr>
            <w:tcW w:w="16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$7.99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$6.71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bl>
    <w:p>
      <w:pPr>
        <w:ind w:left="1260" w:hanging="163"/>
        <w:spacing w:after="0" w:line="216" w:lineRule="auto"/>
        <w:tabs>
          <w:tab w:leader="none" w:pos="126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Oil price measured in dollars per barrel (rounded to the nearest $0.01)</w:t>
      </w:r>
    </w:p>
    <w:p>
      <w:pPr>
        <w:spacing w:after="0" w:line="22" w:lineRule="exact"/>
        <w:rPr>
          <w:rFonts w:ascii="Arial" w:cs="Arial" w:eastAsia="Arial" w:hAnsi="Arial"/>
          <w:sz w:val="20"/>
          <w:szCs w:val="20"/>
          <w:color w:val="auto"/>
          <w:vertAlign w:val="superscript"/>
        </w:rPr>
      </w:pPr>
    </w:p>
    <w:p>
      <w:pPr>
        <w:ind w:left="1260" w:hanging="163"/>
        <w:spacing w:after="0" w:line="197" w:lineRule="auto"/>
        <w:tabs>
          <w:tab w:leader="none" w:pos="126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Natural gas price measured in dollars per million British thermal units (Btu), or MMBtu (rounded to the nearest $0.01)</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Rig Count</w:t>
      </w:r>
    </w:p>
    <w:p>
      <w:pPr>
        <w:spacing w:after="0" w:line="250" w:lineRule="exact"/>
        <w:rPr>
          <w:sz w:val="20"/>
          <w:szCs w:val="20"/>
          <w:color w:val="auto"/>
        </w:rPr>
      </w:pPr>
    </w:p>
    <w:p>
      <w:pPr>
        <w:ind w:firstLine="318"/>
        <w:spacing w:after="0" w:line="355" w:lineRule="auto"/>
        <w:rPr>
          <w:sz w:val="20"/>
          <w:szCs w:val="20"/>
          <w:color w:val="auto"/>
        </w:rPr>
      </w:pPr>
      <w:r>
        <w:rPr>
          <w:rFonts w:ascii="Arial" w:cs="Arial" w:eastAsia="Arial" w:hAnsi="Arial"/>
          <w:sz w:val="15"/>
          <w:szCs w:val="15"/>
          <w:color w:val="auto"/>
        </w:rPr>
        <w:t>Rig count is an indicator of the level of spending for the exploration and production of oil and natural gas reserves and the increase year-over-year is due to similar reasons described above. The table below shows historical average rig counts based on the weekly Baker Hughes Company rig count information.</w:t>
      </w:r>
    </w:p>
    <w:p>
      <w:pPr>
        <w:sectPr>
          <w:pgSz w:w="11900" w:h="16838" w:orient="portrait"/>
          <w:cols w:equalWidth="0" w:num="1">
            <w:col w:w="11240"/>
          </w:cols>
          <w:pgMar w:left="320" w:top="472" w:right="339" w:bottom="1440" w:gutter="0" w:footer="0" w:header="0"/>
        </w:sectPr>
      </w:pPr>
    </w:p>
    <w:p>
      <w:pPr>
        <w:jc w:val="center"/>
        <w:ind w:left="5160"/>
        <w:spacing w:after="0"/>
        <w:rPr>
          <w:sz w:val="20"/>
          <w:szCs w:val="20"/>
          <w:color w:val="auto"/>
        </w:rPr>
      </w:pPr>
      <w:r>
        <w:rPr>
          <w:rFonts w:ascii="Arial" w:cs="Arial" w:eastAsia="Arial" w:hAnsi="Arial"/>
          <w:sz w:val="18"/>
          <w:szCs w:val="18"/>
          <w:b w:val="1"/>
          <w:bCs w:val="1"/>
          <w:color w:val="auto"/>
        </w:rPr>
        <w:t>Three Months Ended</w:t>
      </w:r>
    </w:p>
    <w:p>
      <w:pPr>
        <w:spacing w:after="0" w:line="22"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September 30,</w:t>
      </w:r>
    </w:p>
    <w:p>
      <w:pPr>
        <w:spacing w:after="0" w:line="18" w:lineRule="exact"/>
        <w:rPr>
          <w:sz w:val="20"/>
          <w:szCs w:val="20"/>
          <w:color w:val="auto"/>
        </w:rPr>
      </w:pPr>
    </w:p>
    <w:tbl>
      <w:tblPr>
        <w:tblLayout w:type="fixed"/>
        <w:tblInd w:w="940" w:type="dxa"/>
        <w:tblCellMar>
          <w:top w:w="0" w:type="dxa"/>
          <w:left w:w="0" w:type="dxa"/>
          <w:bottom w:w="0" w:type="dxa"/>
          <w:right w:w="0" w:type="dxa"/>
        </w:tblCellMar>
      </w:tblPr>
      <w:tr>
        <w:trPr>
          <w:trHeight w:val="220"/>
        </w:trPr>
        <w:tc>
          <w:tcPr>
            <w:tcW w:w="424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2021</w:t>
            </w:r>
          </w:p>
        </w:tc>
      </w:tr>
      <w:tr>
        <w:trPr>
          <w:trHeight w:val="218"/>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25"/>
        </w:trPr>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857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43"/>
        </w:trPr>
        <w:tc>
          <w:tcPr>
            <w:tcW w:w="5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7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8"/>
              </w:rPr>
              <w:t>1,817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1080"/>
        <w:spacing w:after="0"/>
        <w:rPr>
          <w:sz w:val="20"/>
          <w:szCs w:val="20"/>
          <w:color w:val="auto"/>
        </w:rPr>
      </w:pPr>
      <w:r>
        <w:rPr>
          <w:rFonts w:ascii="Arial" w:cs="Arial" w:eastAsia="Arial" w:hAnsi="Arial"/>
          <w:sz w:val="17"/>
          <w:szCs w:val="17"/>
          <w:b w:val="1"/>
          <w:bCs w:val="1"/>
          <w:color w:val="auto"/>
        </w:rPr>
        <w:t>Nine Months Ended</w:t>
      </w:r>
    </w:p>
    <w:p>
      <w:pPr>
        <w:spacing w:after="0" w:line="34"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12065</wp:posOffset>
            </wp:positionV>
            <wp:extent cx="1631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14605</wp:posOffset>
            </wp:positionV>
            <wp:extent cx="1631950" cy="151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1950" cy="151130"/>
                    </a:xfrm>
                    <a:prstGeom prst="rect">
                      <a:avLst/>
                    </a:prstGeom>
                    <a:noFill/>
                  </pic:spPr>
                </pic:pic>
              </a:graphicData>
            </a:graphic>
          </wp:anchor>
        </w:drawing>
      </w:r>
    </w:p>
    <w:p>
      <w:pPr>
        <w:spacing w:after="0" w:line="18" w:lineRule="exact"/>
        <w:rPr>
          <w:sz w:val="20"/>
          <w:szCs w:val="20"/>
          <w:color w:val="auto"/>
        </w:rPr>
      </w:pPr>
    </w:p>
    <w:p>
      <w:pPr>
        <w:ind w:left="1780" w:hanging="1282"/>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570</w:t>
      </w:r>
    </w:p>
    <w:p>
      <w:pPr>
        <w:spacing w:after="0" w:line="52" w:lineRule="exact"/>
        <w:rPr>
          <w:rFonts w:ascii="Arial" w:cs="Arial" w:eastAsia="Arial" w:hAnsi="Arial"/>
          <w:sz w:val="15"/>
          <w:szCs w:val="15"/>
          <w:color w:val="auto"/>
        </w:rPr>
      </w:pPr>
    </w:p>
    <w:p>
      <w:pPr>
        <w:ind w:left="1780" w:hanging="1282"/>
        <w:spacing w:after="0"/>
        <w:tabs>
          <w:tab w:leader="none" w:pos="1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33020</wp:posOffset>
            </wp:positionV>
            <wp:extent cx="1631950" cy="168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1950" cy="168275"/>
                    </a:xfrm>
                    <a:prstGeom prst="rect">
                      <a:avLst/>
                    </a:prstGeom>
                    <a:noFill/>
                  </pic:spPr>
                </pic:pic>
              </a:graphicData>
            </a:graphic>
          </wp:anchor>
        </w:drawing>
      </w:r>
    </w:p>
    <w:p>
      <w:pPr>
        <w:spacing w:after="0" w:line="46" w:lineRule="exact"/>
        <w:rPr>
          <w:sz w:val="20"/>
          <w:szCs w:val="20"/>
          <w:color w:val="auto"/>
        </w:rPr>
      </w:pPr>
    </w:p>
    <w:p>
      <w:pPr>
        <w:jc w:val="both"/>
        <w:ind w:left="360"/>
        <w:spacing w:after="0"/>
        <w:tabs>
          <w:tab w:leader="none" w:pos="1620" w:val="left"/>
        </w:tabs>
        <w:rPr>
          <w:sz w:val="20"/>
          <w:szCs w:val="20"/>
          <w:color w:val="auto"/>
        </w:rPr>
      </w:pPr>
      <w:r>
        <w:rPr>
          <w:rFonts w:ascii="Arial" w:cs="Arial" w:eastAsia="Arial" w:hAnsi="Arial"/>
          <w:sz w:val="18"/>
          <w:szCs w:val="18"/>
          <w:color w:val="auto"/>
        </w:rPr>
        <w:t>1,708</w:t>
      </w:r>
      <w:r>
        <w:rPr>
          <w:sz w:val="20"/>
          <w:szCs w:val="20"/>
          <w:color w:val="auto"/>
        </w:rPr>
        <w:tab/>
      </w:r>
      <w:r>
        <w:rPr>
          <w:rFonts w:ascii="Arial" w:cs="Arial" w:eastAsia="Arial" w:hAnsi="Arial"/>
          <w:sz w:val="18"/>
          <w:szCs w:val="18"/>
          <w:color w:val="auto"/>
        </w:rPr>
        <w:t>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36195</wp:posOffset>
            </wp:positionV>
            <wp:extent cx="1631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7920" w:space="600"/>
            <w:col w:w="2720"/>
          </w:cols>
          <w:pgMar w:left="320" w:top="472" w:right="339" w:bottom="1440" w:gutter="0" w:footer="0" w:header="0"/>
          <w:type w:val="continuous"/>
        </w:sect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 Statements of Operations - Operating Income Summary</w:t>
      </w:r>
    </w:p>
    <w:p>
      <w:pPr>
        <w:spacing w:after="0" w:line="25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Revenues of $1.1 billion and $3.1 billion in the three and nine months ended September 30, 2022, increased 19% and 16%, compared to the three and nine months ended September 30, 2021, respectively. The year-over-year improvement was driven by increased demand across all segments.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Cost of products and services of $775 million and $2.2 billion in the three and nine months ended September 30, 2022, increased $89 million, or 13%, and $214 million, or 11%, compared to the three and nine months ended September 30, 2021, respectively, primarily reflecting increased overall demand. Our cost of products and services as a percentage of revenues was 69% and 71% in the three and nine months ended September 30, 2022, an improvement compared to 73% and 75% in the three and nine months ended September 30, 2021, reflecting improving utilization on a more efficient operating cost structure, offset by impacts from supply chain disruptions and inflation.</w:t>
      </w:r>
    </w:p>
    <w:p>
      <w:pPr>
        <w:spacing w:after="0" w:line="2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Selling, general, administrative and research and development costs of $224 million and $641 million in the three and nine months ended September 30, 2022, increased $28 million, or 14%, and $27 million, or 4%, compared to the three and nine months ended September 30, 2021, primarily reflecting higher overhead and support costs in response to managing increased activity. These costs as a percentage of revenues were 20% and 21% in the three and nine months ended September 30, 2022, respectively, an improvement compared to 21% and 23% in the three and nine months ended September 30, 2021, reflecting our focus on cost control initiatives.</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Restructuring charges include $2 million and $22 million in the three and nine months ended September 30, 2022, see “Note 4 – Restructuring Charges” for additional information.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charges (credits) in the three and nine months ended September 30, 2022 was a credit of $2 million and a charge of</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20" w:name="page21"/>
    <w:bookmarkEnd w:id="20"/>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$3 million, respectively. The credit in the three months ended September 30, 2022 was immaterial and the net charge of $3 million, although immaterial, was primarily related to charges related to Ukraine, partially offset by the gain on asset sales related to our fulfillment initiatives and collections of previously impaired receivables. Other charges (credits) were a net credit of $8 million and $16 million in both the three and nine months ended September 30, 2021, respectively, primarily driven by gains on asset sales in both periods.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 Statements of Operations - Non-Operating Summary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 Net</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Interest expense, net was $44 million and $140 million in the three and nine months ended September 30, 2022, respectively, and primarily represented interest on our outstanding long-term debt (see “Note 7 – Borrowings and Other Debt Obligations” to our Condensed Consolidated Financial Statements for additional details). Interest expense, net was $69 million and $211 million in the three and nine months ended September 30, 2021, respectively. The year-over-year decrease was due to partial repayments of principal and refinancing initiatives in the second half of 2021 which reduced our interest rates.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Expense, Net</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Other expense, net was $12 million and $60 million in the three and nine months ended September 30, 2022, compared to $4 million and $19 million in the three and nine months ended September 30, 2021, respectively. Other expense, net is comprised of letter of credit fees, other financing charges, and foreign exchange losses. The year-over-year increase was primarily due to foreign exchange losses and settlements of certain foreign currency forward contracts. We enter into foreign currency forward contracts to mitigate the risk of future cash flows denominated in a foreign currency. The amounts will fluctuate, depending on exchange rate volatility, the volume of our foreign currency transactions, and our decisions to hedge. At September 30, 2022 and December 31, 2021, we had outstanding foreign currency forward contracts with notional amounts aggregating to $113 million and $349 million, respectively.</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we are generally unable to recognize tax benefit on our losses. Please see “Note 11 – Income Taxes” to our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Table of Contents</w:t>
            </w:r>
          </w:p>
        </w:tc>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4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Segment Results of Operations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0"/>
        </w:trPr>
        <w:tc>
          <w:tcPr>
            <w:tcW w:w="4260" w:type="dxa"/>
            <w:vAlign w:val="bottom"/>
            <w:gridSpan w:val="2"/>
          </w:tcPr>
          <w:p>
            <w:pPr>
              <w:spacing w:after="0"/>
              <w:rPr>
                <w:sz w:val="20"/>
                <w:szCs w:val="20"/>
                <w:color w:val="auto"/>
              </w:rPr>
            </w:pPr>
            <w:r>
              <w:rPr>
                <w:rFonts w:ascii="Arial" w:cs="Arial" w:eastAsia="Arial" w:hAnsi="Arial"/>
                <w:sz w:val="18"/>
                <w:szCs w:val="18"/>
                <w:color w:val="auto"/>
                <w:w w:val="95"/>
              </w:rPr>
              <w:t>Financial information by segment is summarized below.</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Favorable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8"/>
                <w:szCs w:val="18"/>
                <w:b w:val="1"/>
                <w:bCs w:val="1"/>
                <w:color w:val="auto"/>
                <w:w w:val="91"/>
              </w:rPr>
              <w:t>(Unfavorable)</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left="672"/>
              <w:spacing w:after="0"/>
              <w:rPr>
                <w:sz w:val="20"/>
                <w:szCs w:val="20"/>
                <w:color w:val="auto"/>
              </w:rPr>
            </w:pPr>
            <w:r>
              <w:rPr>
                <w:rFonts w:ascii="Arial" w:cs="Arial" w:eastAsia="Arial" w:hAnsi="Arial"/>
                <w:sz w:val="18"/>
                <w:szCs w:val="18"/>
                <w:b w:val="1"/>
                <w:bCs w:val="1"/>
                <w:color w:val="auto"/>
                <w:w w:val="87"/>
              </w:rPr>
              <w:t>September 30,</w:t>
            </w: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32"/>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or bps</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260" w:type="dxa"/>
            <w:vAlign w:val="bottom"/>
            <w:tcBorders>
              <w:bottom w:val="single" w:sz="8" w:color="auto"/>
            </w:tcBorders>
            <w:gridSpan w:val="2"/>
          </w:tcPr>
          <w:p>
            <w:pPr>
              <w:jc w:val="right"/>
              <w:ind w:right="2740"/>
              <w:spacing w:after="0"/>
              <w:rPr>
                <w:sz w:val="20"/>
                <w:szCs w:val="20"/>
                <w:color w:val="auto"/>
              </w:rPr>
            </w:pPr>
            <w:r>
              <w:rPr>
                <w:rFonts w:ascii="Arial" w:cs="Arial" w:eastAsia="Arial" w:hAnsi="Arial"/>
                <w:sz w:val="18"/>
                <w:szCs w:val="18"/>
                <w:i w:val="1"/>
                <w:iCs w:val="1"/>
                <w:color w:val="auto"/>
                <w:w w:val="98"/>
              </w:rPr>
              <w:t>(Dollars in millions)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32"/>
              <w:spacing w:after="0"/>
              <w:rPr>
                <w:sz w:val="20"/>
                <w:szCs w:val="20"/>
                <w:color w:val="auto"/>
              </w:rPr>
            </w:pPr>
            <w:r>
              <w:rPr>
                <w:rFonts w:ascii="Arial" w:cs="Arial" w:eastAsia="Arial" w:hAnsi="Arial"/>
                <w:sz w:val="18"/>
                <w:szCs w:val="18"/>
                <w:b w:val="1"/>
                <w:bCs w:val="1"/>
                <w:color w:val="auto"/>
                <w:w w:val="87"/>
              </w:rPr>
              <w:t>Change</w:t>
            </w: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Drilling and Evaluation</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700" w:type="dxa"/>
            <w:vAlign w:val="bottom"/>
          </w:tcPr>
          <w:p>
            <w:pPr>
              <w:jc w:val="center"/>
              <w:ind w:right="2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492"/>
              <w:spacing w:after="0"/>
              <w:rPr>
                <w:sz w:val="20"/>
                <w:szCs w:val="20"/>
                <w:color w:val="auto"/>
              </w:rPr>
            </w:pPr>
            <w:r>
              <w:rPr>
                <w:rFonts w:ascii="Arial" w:cs="Arial" w:eastAsia="Arial" w:hAnsi="Arial"/>
                <w:sz w:val="18"/>
                <w:szCs w:val="18"/>
                <w:color w:val="auto"/>
              </w:rPr>
              <w:t>70</w:t>
            </w:r>
          </w:p>
        </w:tc>
        <w:tc>
          <w:tcPr>
            <w:tcW w:w="1000" w:type="dxa"/>
            <w:vAlign w:val="bottom"/>
          </w:tcPr>
          <w:p>
            <w:pPr>
              <w:jc w:val="center"/>
              <w:ind w:left="572"/>
              <w:spacing w:after="0"/>
              <w:rPr>
                <w:sz w:val="20"/>
                <w:szCs w:val="20"/>
                <w:color w:val="auto"/>
              </w:rPr>
            </w:pPr>
            <w:r>
              <w:rPr>
                <w:rFonts w:ascii="Arial" w:cs="Arial" w:eastAsia="Arial" w:hAnsi="Arial"/>
                <w:sz w:val="18"/>
                <w:szCs w:val="18"/>
                <w:color w:val="auto"/>
                <w:w w:val="89"/>
              </w:rPr>
              <w:t>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Well Construction and Completions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391</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46</w:t>
            </w:r>
          </w:p>
        </w:tc>
        <w:tc>
          <w:tcPr>
            <w:tcW w:w="100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89"/>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5"/>
        </w:trPr>
        <w:tc>
          <w:tcPr>
            <w:tcW w:w="4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Production and Intervention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357</w:t>
            </w: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65</w:t>
            </w:r>
          </w:p>
        </w:tc>
        <w:tc>
          <w:tcPr>
            <w:tcW w:w="100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89"/>
              </w:rPr>
              <w:t>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9"/>
        </w:trPr>
        <w:tc>
          <w:tcPr>
            <w:tcW w:w="4260" w:type="dxa"/>
            <w:vAlign w:val="bottom"/>
            <w:gridSpan w:val="2"/>
            <w:shd w:val="clear" w:color="auto" w:fill="CCEEFF"/>
          </w:tcPr>
          <w:p>
            <w:pPr>
              <w:jc w:val="right"/>
              <w:ind w:right="2740"/>
              <w:spacing w:after="0"/>
              <w:rPr>
                <w:sz w:val="20"/>
                <w:szCs w:val="20"/>
                <w:color w:val="auto"/>
              </w:rPr>
            </w:pPr>
            <w:r>
              <w:rPr>
                <w:rFonts w:ascii="Arial" w:cs="Arial" w:eastAsia="Arial" w:hAnsi="Arial"/>
                <w:sz w:val="18"/>
                <w:szCs w:val="18"/>
                <w:color w:val="auto"/>
                <w:w w:val="94"/>
              </w:rPr>
              <w:t>Segment Revenues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1,096</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181</w:t>
            </w:r>
          </w:p>
        </w:tc>
        <w:tc>
          <w:tcPr>
            <w:tcW w:w="100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89"/>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5"/>
        </w:trPr>
        <w:tc>
          <w:tcPr>
            <w:tcW w:w="4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(6)</w:t>
            </w:r>
          </w:p>
        </w:tc>
        <w:tc>
          <w:tcPr>
            <w:tcW w:w="100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93"/>
              </w:rPr>
              <w:t>(20)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9"/>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1,120</w:t>
            </w:r>
          </w:p>
        </w:tc>
        <w:tc>
          <w:tcPr>
            <w:tcW w:w="700" w:type="dxa"/>
            <w:vAlign w:val="bottom"/>
            <w:shd w:val="clear" w:color="auto" w:fill="CCEEFF"/>
          </w:tcPr>
          <w:p>
            <w:pPr>
              <w:jc w:val="center"/>
              <w:ind w:right="292"/>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175</w:t>
            </w:r>
          </w:p>
        </w:tc>
        <w:tc>
          <w:tcPr>
            <w:tcW w:w="1000" w:type="dxa"/>
            <w:vAlign w:val="bottom"/>
            <w:shd w:val="clear" w:color="auto" w:fill="CCEEFF"/>
          </w:tcPr>
          <w:p>
            <w:pPr>
              <w:jc w:val="center"/>
              <w:ind w:left="572"/>
              <w:spacing w:after="0"/>
              <w:rPr>
                <w:sz w:val="20"/>
                <w:szCs w:val="20"/>
                <w:color w:val="auto"/>
              </w:rPr>
            </w:pPr>
            <w:r>
              <w:rPr>
                <w:rFonts w:ascii="Arial" w:cs="Arial" w:eastAsia="Arial" w:hAnsi="Arial"/>
                <w:sz w:val="18"/>
                <w:szCs w:val="18"/>
                <w:b w:val="1"/>
                <w:bCs w:val="1"/>
                <w:color w:val="auto"/>
                <w:w w:val="89"/>
              </w:rPr>
              <w:t>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980"/>
          </w:cols>
          <w:pgMar w:left="640" w:top="449" w:right="279" w:bottom="1440" w:gutter="0" w:footer="0" w:header="0"/>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14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6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56</w:t>
            </w: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Well Construction and Completions</w:t>
            </w:r>
          </w:p>
        </w:tc>
        <w:tc>
          <w:tcPr>
            <w:tcW w:w="14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68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79</w:t>
            </w:r>
          </w:p>
        </w:tc>
      </w:tr>
      <w:tr>
        <w:trPr>
          <w:trHeight w:val="22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Production and Intervention</w:t>
            </w:r>
          </w:p>
        </w:tc>
        <w:tc>
          <w:tcPr>
            <w:tcW w:w="1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66</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57</w:t>
            </w:r>
          </w:p>
        </w:tc>
      </w:tr>
      <w:tr>
        <w:trPr>
          <w:trHeight w:val="218"/>
        </w:trPr>
        <w:tc>
          <w:tcPr>
            <w:tcW w:w="3440" w:type="dxa"/>
            <w:vAlign w:val="bottom"/>
          </w:tcPr>
          <w:p>
            <w:pPr>
              <w:ind w:left="160"/>
              <w:spacing w:after="0"/>
              <w:rPr>
                <w:sz w:val="20"/>
                <w:szCs w:val="20"/>
                <w:color w:val="auto"/>
              </w:rPr>
            </w:pPr>
            <w:r>
              <w:rPr>
                <w:rFonts w:ascii="Arial" w:cs="Arial" w:eastAsia="Arial" w:hAnsi="Arial"/>
                <w:sz w:val="18"/>
                <w:szCs w:val="18"/>
                <w:color w:val="auto"/>
              </w:rPr>
              <w:t>Segment Adjusted EBITDA</w:t>
            </w:r>
          </w:p>
        </w:tc>
        <w:tc>
          <w:tcPr>
            <w:tcW w:w="14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229</w:t>
            </w:r>
          </w:p>
        </w:tc>
        <w:tc>
          <w:tcPr>
            <w:tcW w:w="6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192</w:t>
            </w: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4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6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(112)</w:t>
            </w: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46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w:t>
            </w:r>
          </w:p>
        </w:tc>
      </w:tr>
      <w:tr>
        <w:trPr>
          <w:trHeight w:val="22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Adjustments</w:t>
            </w:r>
          </w:p>
        </w:tc>
        <w:tc>
          <w:tcPr>
            <w:tcW w:w="1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r>
      <w:tr>
        <w:trPr>
          <w:trHeight w:val="193"/>
        </w:trPr>
        <w:tc>
          <w:tcPr>
            <w:tcW w:w="3440" w:type="dxa"/>
            <w:vAlign w:val="bottom"/>
            <w:tcBorders>
              <w:bottom w:val="single" w:sz="8" w:color="auto"/>
            </w:tcBorders>
          </w:tcPr>
          <w:p>
            <w:pPr>
              <w:ind w:left="120"/>
              <w:spacing w:after="0" w:line="193" w:lineRule="exact"/>
              <w:rPr>
                <w:sz w:val="20"/>
                <w:szCs w:val="20"/>
                <w:color w:val="auto"/>
              </w:rPr>
            </w:pPr>
            <w:r>
              <w:rPr>
                <w:rFonts w:ascii="Arial" w:cs="Arial" w:eastAsia="Arial" w:hAnsi="Arial"/>
                <w:sz w:val="18"/>
                <w:szCs w:val="18"/>
                <w:b w:val="1"/>
                <w:bCs w:val="1"/>
                <w:color w:val="auto"/>
              </w:rPr>
              <w:t>Operating Income</w:t>
            </w:r>
          </w:p>
        </w:tc>
        <w:tc>
          <w:tcPr>
            <w:tcW w:w="1460" w:type="dxa"/>
            <w:vAlign w:val="bottom"/>
            <w:tcBorders>
              <w:bottom w:val="single" w:sz="8" w:color="auto"/>
            </w:tcBorders>
          </w:tcPr>
          <w:p>
            <w:pPr>
              <w:jc w:val="right"/>
              <w:ind w:right="452"/>
              <w:spacing w:after="0" w:line="193"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line="193" w:lineRule="exact"/>
              <w:rPr>
                <w:sz w:val="20"/>
                <w:szCs w:val="20"/>
                <w:color w:val="auto"/>
              </w:rPr>
            </w:pPr>
            <w:r>
              <w:rPr>
                <w:rFonts w:ascii="Arial" w:cs="Arial" w:eastAsia="Arial" w:hAnsi="Arial"/>
                <w:sz w:val="18"/>
                <w:szCs w:val="18"/>
                <w:b w:val="1"/>
                <w:bCs w:val="1"/>
                <w:color w:val="auto"/>
              </w:rPr>
              <w:t>121</w:t>
            </w:r>
          </w:p>
        </w:tc>
        <w:tc>
          <w:tcPr>
            <w:tcW w:w="680" w:type="dxa"/>
            <w:vAlign w:val="bottom"/>
            <w:tcBorders>
              <w:bottom w:val="single" w:sz="8" w:color="auto"/>
            </w:tcBorders>
          </w:tcPr>
          <w:p>
            <w:pPr>
              <w:jc w:val="right"/>
              <w:ind w:right="412"/>
              <w:spacing w:after="0" w:line="193"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line="193" w:lineRule="exact"/>
              <w:rPr>
                <w:sz w:val="20"/>
                <w:szCs w:val="20"/>
                <w:color w:val="auto"/>
              </w:rPr>
            </w:pPr>
            <w:r>
              <w:rPr>
                <w:rFonts w:ascii="Arial" w:cs="Arial" w:eastAsia="Arial" w:hAnsi="Arial"/>
                <w:sz w:val="18"/>
                <w:szCs w:val="18"/>
                <w:b w:val="1"/>
                <w:bCs w:val="1"/>
                <w:color w:val="auto"/>
              </w:rPr>
              <w:t>71</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-1463040</wp:posOffset>
            </wp:positionV>
            <wp:extent cx="6966585"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-1177290</wp:posOffset>
            </wp:positionV>
            <wp:extent cx="6966585" cy="14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-891540</wp:posOffset>
            </wp:positionV>
            <wp:extent cx="6966585" cy="151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6585" cy="1511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-596900</wp:posOffset>
            </wp:positionV>
            <wp:extent cx="6966585"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-310515</wp:posOffset>
            </wp:positionV>
            <wp:extent cx="6966585"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6585"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12"/>
              <w:spacing w:after="0"/>
              <w:rPr>
                <w:sz w:val="20"/>
                <w:szCs w:val="20"/>
                <w:color w:val="auto"/>
              </w:rPr>
            </w:pPr>
            <w:r>
              <w:rPr>
                <w:rFonts w:ascii="Arial" w:cs="Arial" w:eastAsia="Arial" w:hAnsi="Arial"/>
                <w:sz w:val="18"/>
                <w:szCs w:val="18"/>
                <w:color w:val="auto"/>
              </w:rPr>
              <w:t>29</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80" w:type="dxa"/>
            <w:vAlign w:val="bottom"/>
          </w:tcPr>
          <w:p>
            <w:pPr>
              <w:spacing w:after="0"/>
              <w:rPr>
                <w:sz w:val="19"/>
                <w:szCs w:val="19"/>
                <w:color w:val="auto"/>
              </w:rPr>
            </w:pP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12"/>
              <w:spacing w:after="0"/>
              <w:rPr>
                <w:sz w:val="20"/>
                <w:szCs w:val="20"/>
                <w:color w:val="auto"/>
              </w:rPr>
            </w:pPr>
            <w:r>
              <w:rPr>
                <w:rFonts w:ascii="Arial" w:cs="Arial" w:eastAsia="Arial" w:hAnsi="Arial"/>
                <w:sz w:val="18"/>
                <w:szCs w:val="18"/>
                <w:color w:val="auto"/>
              </w:rPr>
              <w:t>37</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80" w:type="dxa"/>
            <w:vAlign w:val="bottom"/>
          </w:tcPr>
          <w:p>
            <w:pPr>
              <w:spacing w:after="0"/>
              <w:rPr>
                <w:sz w:val="19"/>
                <w:szCs w:val="19"/>
                <w:color w:val="auto"/>
              </w:rPr>
            </w:pP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80" w:type="dxa"/>
            <w:vAlign w:val="bottom"/>
          </w:tcPr>
          <w:p>
            <w:pPr>
              <w:spacing w:after="0"/>
              <w:rPr>
                <w:sz w:val="19"/>
                <w:szCs w:val="19"/>
                <w:color w:val="auto"/>
              </w:rPr>
            </w:pPr>
          </w:p>
        </w:tc>
        <w:tc>
          <w:tcPr>
            <w:tcW w:w="1360" w:type="dxa"/>
            <w:vAlign w:val="bottom"/>
          </w:tcPr>
          <w:p>
            <w:pPr>
              <w:jc w:val="right"/>
              <w:ind w:right="512"/>
              <w:spacing w:after="0"/>
              <w:rPr>
                <w:sz w:val="20"/>
                <w:szCs w:val="20"/>
                <w:color w:val="auto"/>
              </w:rPr>
            </w:pPr>
            <w:r>
              <w:rPr>
                <w:rFonts w:ascii="Arial" w:cs="Arial" w:eastAsia="Arial" w:hAnsi="Arial"/>
                <w:sz w:val="18"/>
                <w:szCs w:val="18"/>
                <w:color w:val="auto"/>
              </w:rPr>
              <w:t>24</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80" w:type="dxa"/>
            <w:vAlign w:val="bottom"/>
          </w:tcPr>
          <w:p>
            <w:pPr>
              <w:spacing w:after="0"/>
              <w:rPr>
                <w:sz w:val="19"/>
                <w:szCs w:val="19"/>
                <w:color w:val="auto"/>
              </w:rPr>
            </w:pP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680" w:type="dxa"/>
            <w:vAlign w:val="bottom"/>
            <w:tcBorders>
              <w:bottom w:val="single" w:sz="8" w:color="auto"/>
            </w:tcBorders>
          </w:tcPr>
          <w:p>
            <w:pPr>
              <w:jc w:val="right"/>
              <w:ind w:right="472"/>
              <w:spacing w:after="0" w:line="193" w:lineRule="exact"/>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ind w:right="512"/>
              <w:spacing w:after="0" w:line="193" w:lineRule="exact"/>
              <w:rPr>
                <w:sz w:val="20"/>
                <w:szCs w:val="20"/>
                <w:color w:val="auto"/>
              </w:rPr>
            </w:pPr>
            <w:r>
              <w:rPr>
                <w:rFonts w:ascii="Arial" w:cs="Arial" w:eastAsia="Arial" w:hAnsi="Arial"/>
                <w:sz w:val="18"/>
                <w:szCs w:val="18"/>
                <w:b w:val="1"/>
                <w:bCs w:val="1"/>
                <w:color w:val="auto"/>
              </w:rPr>
              <w:t>50</w:t>
            </w:r>
          </w:p>
        </w:tc>
        <w:tc>
          <w:tcPr>
            <w:tcW w:w="9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70</w:t>
            </w:r>
          </w:p>
        </w:tc>
        <w:tc>
          <w:tcPr>
            <w:tcW w:w="2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560" w:space="80"/>
            <w:col w:w="3340"/>
          </w:cols>
          <w:pgMar w:left="640" w:top="449" w:right="27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 Margins:</w:t>
            </w:r>
          </w:p>
        </w:tc>
        <w:tc>
          <w:tcPr>
            <w:tcW w:w="2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2340" w:type="dxa"/>
            <w:vAlign w:val="bottom"/>
          </w:tcPr>
          <w:p>
            <w:pPr>
              <w:jc w:val="right"/>
              <w:ind w:right="472"/>
              <w:spacing w:after="0"/>
              <w:rPr>
                <w:sz w:val="20"/>
                <w:szCs w:val="20"/>
                <w:color w:val="auto"/>
              </w:rPr>
            </w:pPr>
            <w:r>
              <w:rPr>
                <w:rFonts w:ascii="Arial" w:cs="Arial" w:eastAsia="Arial" w:hAnsi="Arial"/>
                <w:sz w:val="18"/>
                <w:szCs w:val="18"/>
                <w:color w:val="auto"/>
              </w:rPr>
              <w:t>24.4 %</w:t>
            </w:r>
          </w:p>
        </w:tc>
        <w:tc>
          <w:tcPr>
            <w:tcW w:w="1100" w:type="dxa"/>
            <w:vAlign w:val="bottom"/>
          </w:tcPr>
          <w:p>
            <w:pPr>
              <w:jc w:val="right"/>
              <w:spacing w:after="0"/>
              <w:rPr>
                <w:sz w:val="20"/>
                <w:szCs w:val="20"/>
                <w:color w:val="auto"/>
              </w:rPr>
            </w:pPr>
            <w:r>
              <w:rPr>
                <w:rFonts w:ascii="Arial" w:cs="Arial" w:eastAsia="Arial" w:hAnsi="Arial"/>
                <w:sz w:val="18"/>
                <w:szCs w:val="18"/>
                <w:color w:val="auto"/>
              </w:rPr>
              <w:t>20.1 %</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Well Construction and Completions</w:t>
            </w:r>
          </w:p>
        </w:tc>
        <w:tc>
          <w:tcPr>
            <w:tcW w:w="2340" w:type="dxa"/>
            <w:vAlign w:val="bottom"/>
          </w:tcPr>
          <w:p>
            <w:pPr>
              <w:jc w:val="right"/>
              <w:ind w:right="472"/>
              <w:spacing w:after="0"/>
              <w:rPr>
                <w:sz w:val="20"/>
                <w:szCs w:val="20"/>
                <w:color w:val="auto"/>
              </w:rPr>
            </w:pPr>
            <w:r>
              <w:rPr>
                <w:rFonts w:ascii="Arial" w:cs="Arial" w:eastAsia="Arial" w:hAnsi="Arial"/>
                <w:sz w:val="18"/>
                <w:szCs w:val="18"/>
                <w:color w:val="auto"/>
              </w:rPr>
              <w:t>19.9 %</w:t>
            </w:r>
          </w:p>
        </w:tc>
        <w:tc>
          <w:tcPr>
            <w:tcW w:w="1100" w:type="dxa"/>
            <w:vAlign w:val="bottom"/>
          </w:tcPr>
          <w:p>
            <w:pPr>
              <w:jc w:val="right"/>
              <w:spacing w:after="0"/>
              <w:rPr>
                <w:sz w:val="20"/>
                <w:szCs w:val="20"/>
                <w:color w:val="auto"/>
              </w:rPr>
            </w:pPr>
            <w:r>
              <w:rPr>
                <w:rFonts w:ascii="Arial" w:cs="Arial" w:eastAsia="Arial" w:hAnsi="Arial"/>
                <w:sz w:val="18"/>
                <w:szCs w:val="18"/>
                <w:color w:val="auto"/>
              </w:rPr>
              <w:t>22.9 %</w:t>
            </w:r>
          </w:p>
        </w:tc>
      </w:tr>
      <w:tr>
        <w:trPr>
          <w:trHeight w:val="226"/>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Production and Intervention</w:t>
            </w:r>
          </w:p>
        </w:tc>
        <w:tc>
          <w:tcPr>
            <w:tcW w:w="23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18.5 %</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r>
      <w:tr>
        <w:trPr>
          <w:trHeight w:val="218"/>
        </w:trPr>
        <w:tc>
          <w:tcPr>
            <w:tcW w:w="412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2340" w:type="dxa"/>
            <w:vAlign w:val="bottom"/>
          </w:tcPr>
          <w:p>
            <w:pPr>
              <w:jc w:val="right"/>
              <w:ind w:right="472"/>
              <w:spacing w:after="0"/>
              <w:rPr>
                <w:sz w:val="20"/>
                <w:szCs w:val="20"/>
                <w:color w:val="auto"/>
              </w:rPr>
            </w:pPr>
            <w:r>
              <w:rPr>
                <w:rFonts w:ascii="Arial" w:cs="Arial" w:eastAsia="Arial" w:hAnsi="Arial"/>
                <w:sz w:val="18"/>
                <w:szCs w:val="18"/>
                <w:color w:val="auto"/>
              </w:rPr>
              <w:t>20.9 %</w:t>
            </w:r>
          </w:p>
        </w:tc>
        <w:tc>
          <w:tcPr>
            <w:tcW w:w="1100" w:type="dxa"/>
            <w:vAlign w:val="bottom"/>
          </w:tcPr>
          <w:p>
            <w:pPr>
              <w:jc w:val="right"/>
              <w:spacing w:after="0"/>
              <w:rPr>
                <w:sz w:val="20"/>
                <w:szCs w:val="20"/>
                <w:color w:val="auto"/>
              </w:rPr>
            </w:pPr>
            <w:r>
              <w:rPr>
                <w:rFonts w:ascii="Arial" w:cs="Arial" w:eastAsia="Arial" w:hAnsi="Arial"/>
                <w:sz w:val="18"/>
                <w:szCs w:val="18"/>
                <w:color w:val="auto"/>
              </w:rPr>
              <w:t>21.0 %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-722630</wp:posOffset>
            </wp:positionV>
            <wp:extent cx="6907530"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07530"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-436245</wp:posOffset>
            </wp:positionV>
            <wp:extent cx="6907530" cy="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07530"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-150495</wp:posOffset>
            </wp:positionV>
            <wp:extent cx="6907530" cy="151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07530"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40" w:type="dxa"/>
            <w:vAlign w:val="bottom"/>
          </w:tcPr>
          <w:p>
            <w:pPr>
              <w:ind w:left="1220"/>
              <w:spacing w:after="0"/>
              <w:rPr>
                <w:sz w:val="20"/>
                <w:szCs w:val="20"/>
                <w:color w:val="auto"/>
              </w:rPr>
            </w:pPr>
            <w:r>
              <w:rPr>
                <w:rFonts w:ascii="Arial" w:cs="Arial" w:eastAsia="Arial" w:hAnsi="Arial"/>
                <w:sz w:val="18"/>
                <w:szCs w:val="18"/>
                <w:color w:val="auto"/>
              </w:rPr>
              <w:t>n/m</w:t>
            </w:r>
          </w:p>
        </w:tc>
        <w:tc>
          <w:tcPr>
            <w:tcW w:w="1200" w:type="dxa"/>
            <w:vAlign w:val="bottom"/>
          </w:tcPr>
          <w:p>
            <w:pPr>
              <w:jc w:val="right"/>
              <w:spacing w:after="0"/>
              <w:rPr>
                <w:sz w:val="20"/>
                <w:szCs w:val="20"/>
                <w:color w:val="auto"/>
              </w:rPr>
            </w:pPr>
            <w:r>
              <w:rPr>
                <w:rFonts w:ascii="Arial" w:cs="Arial" w:eastAsia="Arial" w:hAnsi="Arial"/>
                <w:sz w:val="18"/>
                <w:szCs w:val="18"/>
                <w:color w:val="auto"/>
              </w:rPr>
              <w:t>430 bps</w:t>
            </w:r>
          </w:p>
        </w:tc>
      </w:tr>
      <w:tr>
        <w:trPr>
          <w:trHeight w:val="225"/>
        </w:trPr>
        <w:tc>
          <w:tcPr>
            <w:tcW w:w="2040" w:type="dxa"/>
            <w:vAlign w:val="bottom"/>
          </w:tcPr>
          <w:p>
            <w:pPr>
              <w:ind w:left="1220"/>
              <w:spacing w:after="0"/>
              <w:rPr>
                <w:sz w:val="20"/>
                <w:szCs w:val="20"/>
                <w:color w:val="auto"/>
              </w:rPr>
            </w:pPr>
            <w:r>
              <w:rPr>
                <w:rFonts w:ascii="Arial" w:cs="Arial" w:eastAsia="Arial" w:hAnsi="Arial"/>
                <w:sz w:val="18"/>
                <w:szCs w:val="18"/>
                <w:color w:val="auto"/>
              </w:rPr>
              <w:t>n/m</w:t>
            </w:r>
          </w:p>
        </w:tc>
        <w:tc>
          <w:tcPr>
            <w:tcW w:w="1200" w:type="dxa"/>
            <w:vAlign w:val="bottom"/>
          </w:tcPr>
          <w:p>
            <w:pPr>
              <w:jc w:val="right"/>
              <w:spacing w:after="0"/>
              <w:rPr>
                <w:sz w:val="20"/>
                <w:szCs w:val="20"/>
                <w:color w:val="auto"/>
              </w:rPr>
            </w:pPr>
            <w:r>
              <w:rPr>
                <w:rFonts w:ascii="Arial" w:cs="Arial" w:eastAsia="Arial" w:hAnsi="Arial"/>
                <w:sz w:val="18"/>
                <w:szCs w:val="18"/>
                <w:color w:val="auto"/>
              </w:rPr>
              <w:t>(300)bps</w:t>
            </w:r>
          </w:p>
        </w:tc>
      </w:tr>
      <w:tr>
        <w:trPr>
          <w:trHeight w:val="226"/>
        </w:trPr>
        <w:tc>
          <w:tcPr>
            <w:tcW w:w="20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n/m</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(100)bps</w:t>
            </w:r>
          </w:p>
        </w:tc>
      </w:tr>
      <w:tr>
        <w:trPr>
          <w:trHeight w:val="218"/>
        </w:trPr>
        <w:tc>
          <w:tcPr>
            <w:tcW w:w="2040" w:type="dxa"/>
            <w:vAlign w:val="bottom"/>
          </w:tcPr>
          <w:p>
            <w:pPr>
              <w:ind w:left="1220"/>
              <w:spacing w:after="0"/>
              <w:rPr>
                <w:sz w:val="20"/>
                <w:szCs w:val="20"/>
                <w:color w:val="auto"/>
              </w:rPr>
            </w:pPr>
            <w:r>
              <w:rPr>
                <w:rFonts w:ascii="Arial" w:cs="Arial" w:eastAsia="Arial" w:hAnsi="Arial"/>
                <w:sz w:val="18"/>
                <w:szCs w:val="18"/>
                <w:color w:val="auto"/>
              </w:rPr>
              <w:t>n/m</w:t>
            </w:r>
          </w:p>
        </w:tc>
        <w:tc>
          <w:tcPr>
            <w:tcW w:w="1200" w:type="dxa"/>
            <w:vAlign w:val="bottom"/>
          </w:tcPr>
          <w:p>
            <w:pPr>
              <w:jc w:val="right"/>
              <w:spacing w:after="0"/>
              <w:rPr>
                <w:sz w:val="20"/>
                <w:szCs w:val="20"/>
                <w:color w:val="auto"/>
              </w:rPr>
            </w:pPr>
            <w:r>
              <w:rPr>
                <w:rFonts w:ascii="Arial" w:cs="Arial" w:eastAsia="Arial" w:hAnsi="Arial"/>
                <w:sz w:val="18"/>
                <w:szCs w:val="18"/>
                <w:color w:val="auto"/>
              </w:rPr>
              <w:t>(10)bps</w:t>
            </w:r>
          </w:p>
        </w:tc>
      </w:tr>
    </w:tbl>
    <w:p>
      <w:pPr>
        <w:spacing w:after="0" w:line="200" w:lineRule="exact"/>
        <w:rPr>
          <w:sz w:val="20"/>
          <w:szCs w:val="20"/>
          <w:color w:val="auto"/>
        </w:rPr>
      </w:pPr>
    </w:p>
    <w:p>
      <w:pPr>
        <w:sectPr>
          <w:pgSz w:w="11900" w:h="16838" w:orient="portrait"/>
          <w:cols w:equalWidth="0" w:num="2">
            <w:col w:w="7560" w:space="80"/>
            <w:col w:w="3340"/>
          </w:cols>
          <w:pgMar w:left="640" w:top="449"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87630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0"/>
          </w:cols>
          <w:pgMar w:left="640" w:top="449" w:right="279" w:bottom="1440" w:gutter="0" w:footer="0" w:header="0"/>
          <w:type w:val="continuous"/>
        </w:sectPr>
      </w:pPr>
    </w:p>
    <w:bookmarkStart w:id="22" w:name="page23"/>
    <w:bookmarkEnd w:id="22"/>
    <w:tbl>
      <w:tblPr>
        <w:tblLayout w:type="fixed"/>
        <w:tblInd w:w="32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69"/>
        </w:trPr>
        <w:tc>
          <w:tcPr>
            <w:tcW w:w="1260" w:type="dxa"/>
            <w:vAlign w:val="bottom"/>
            <w:tcBorders>
              <w:top w:val="single" w:sz="8" w:color="0000FF"/>
            </w:tcBorders>
          </w:tcPr>
          <w:p>
            <w:pPr>
              <w:spacing w:after="0"/>
              <w:rPr>
                <w:sz w:val="24"/>
                <w:szCs w:val="24"/>
                <w:color w:val="auto"/>
              </w:rPr>
            </w:pPr>
          </w:p>
        </w:tc>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Favorable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gridSpan w:val="4"/>
          </w:tcPr>
          <w:p>
            <w:pPr>
              <w:ind w:left="520"/>
              <w:spacing w:after="0"/>
              <w:rPr>
                <w:sz w:val="20"/>
                <w:szCs w:val="20"/>
                <w:color w:val="auto"/>
              </w:rPr>
            </w:pPr>
            <w:r>
              <w:rPr>
                <w:rFonts w:ascii="Arial" w:cs="Arial" w:eastAsia="Arial" w:hAnsi="Arial"/>
                <w:sz w:val="18"/>
                <w:szCs w:val="18"/>
                <w:b w:val="1"/>
                <w:bCs w:val="1"/>
                <w:color w:val="auto"/>
              </w:rPr>
              <w:t>Nine Months Ended</w:t>
            </w:r>
          </w:p>
        </w:tc>
        <w:tc>
          <w:tcPr>
            <w:tcW w:w="4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8"/>
                <w:szCs w:val="18"/>
                <w:b w:val="1"/>
                <w:bCs w:val="1"/>
                <w:color w:val="auto"/>
                <w:w w:val="91"/>
              </w:rPr>
              <w:t>(Unfavorable)</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left="672"/>
              <w:spacing w:after="0"/>
              <w:rPr>
                <w:sz w:val="20"/>
                <w:szCs w:val="20"/>
                <w:color w:val="auto"/>
              </w:rPr>
            </w:pPr>
            <w:r>
              <w:rPr>
                <w:rFonts w:ascii="Arial" w:cs="Arial" w:eastAsia="Arial" w:hAnsi="Arial"/>
                <w:sz w:val="18"/>
                <w:szCs w:val="18"/>
                <w:b w:val="1"/>
                <w:bCs w:val="1"/>
                <w:color w:val="auto"/>
                <w:w w:val="87"/>
              </w:rPr>
              <w:t>September 30,</w:t>
            </w: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32"/>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or bps</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4260" w:type="dxa"/>
            <w:vAlign w:val="bottom"/>
            <w:tcBorders>
              <w:bottom w:val="single" w:sz="8" w:color="auto"/>
            </w:tcBorders>
            <w:gridSpan w:val="2"/>
          </w:tcPr>
          <w:p>
            <w:pPr>
              <w:jc w:val="right"/>
              <w:ind w:right="2740"/>
              <w:spacing w:after="0"/>
              <w:rPr>
                <w:sz w:val="20"/>
                <w:szCs w:val="20"/>
                <w:color w:val="auto"/>
              </w:rPr>
            </w:pPr>
            <w:r>
              <w:rPr>
                <w:rFonts w:ascii="Arial" w:cs="Arial" w:eastAsia="Arial" w:hAnsi="Arial"/>
                <w:sz w:val="18"/>
                <w:szCs w:val="18"/>
                <w:i w:val="1"/>
                <w:iCs w:val="1"/>
                <w:color w:val="auto"/>
                <w:w w:val="98"/>
              </w:rPr>
              <w:t>(Dollars in millions)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32"/>
              <w:spacing w:after="0"/>
              <w:rPr>
                <w:sz w:val="20"/>
                <w:szCs w:val="20"/>
                <w:color w:val="auto"/>
              </w:rPr>
            </w:pPr>
            <w:r>
              <w:rPr>
                <w:rFonts w:ascii="Arial" w:cs="Arial" w:eastAsia="Arial" w:hAnsi="Arial"/>
                <w:sz w:val="18"/>
                <w:szCs w:val="18"/>
                <w:b w:val="1"/>
                <w:bCs w:val="1"/>
                <w:color w:val="auto"/>
                <w:w w:val="87"/>
              </w:rPr>
              <w:t>Change</w:t>
            </w: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5"/>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Drilling and Evaluation</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957</w:t>
            </w:r>
          </w:p>
        </w:tc>
        <w:tc>
          <w:tcPr>
            <w:tcW w:w="720" w:type="dxa"/>
            <w:vAlign w:val="bottom"/>
          </w:tcPr>
          <w:p>
            <w:pPr>
              <w:jc w:val="center"/>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492"/>
              <w:spacing w:after="0"/>
              <w:rPr>
                <w:sz w:val="20"/>
                <w:szCs w:val="20"/>
                <w:color w:val="auto"/>
              </w:rPr>
            </w:pPr>
            <w:r>
              <w:rPr>
                <w:rFonts w:ascii="Arial" w:cs="Arial" w:eastAsia="Arial" w:hAnsi="Arial"/>
                <w:sz w:val="18"/>
                <w:szCs w:val="18"/>
                <w:color w:val="auto"/>
              </w:rPr>
              <w:t>178</w:t>
            </w:r>
          </w:p>
        </w:tc>
        <w:tc>
          <w:tcPr>
            <w:tcW w:w="1000" w:type="dxa"/>
            <w:vAlign w:val="bottom"/>
          </w:tcPr>
          <w:p>
            <w:pPr>
              <w:jc w:val="center"/>
              <w:ind w:left="572"/>
              <w:spacing w:after="0"/>
              <w:rPr>
                <w:sz w:val="20"/>
                <w:szCs w:val="20"/>
                <w:color w:val="auto"/>
              </w:rPr>
            </w:pPr>
            <w:r>
              <w:rPr>
                <w:rFonts w:ascii="Arial" w:cs="Arial" w:eastAsia="Arial" w:hAnsi="Arial"/>
                <w:sz w:val="18"/>
                <w:szCs w:val="18"/>
                <w:color w:val="auto"/>
                <w:w w:val="89"/>
              </w:rPr>
              <w:t>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Well Construction and Completions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1,118</w:t>
            </w: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113</w:t>
            </w:r>
          </w:p>
        </w:tc>
        <w:tc>
          <w:tcPr>
            <w:tcW w:w="100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89"/>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5"/>
        </w:trPr>
        <w:tc>
          <w:tcPr>
            <w:tcW w:w="4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Production and Intervention</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988</w:t>
            </w: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829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159</w:t>
            </w:r>
          </w:p>
        </w:tc>
        <w:tc>
          <w:tcPr>
            <w:tcW w:w="100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89"/>
              </w:rPr>
              <w:t>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9"/>
        </w:trPr>
        <w:tc>
          <w:tcPr>
            <w:tcW w:w="4260" w:type="dxa"/>
            <w:vAlign w:val="bottom"/>
            <w:gridSpan w:val="2"/>
            <w:shd w:val="clear" w:color="auto" w:fill="CCEEFF"/>
          </w:tcPr>
          <w:p>
            <w:pPr>
              <w:jc w:val="right"/>
              <w:ind w:right="2740"/>
              <w:spacing w:after="0"/>
              <w:rPr>
                <w:sz w:val="20"/>
                <w:szCs w:val="20"/>
                <w:color w:val="auto"/>
              </w:rPr>
            </w:pPr>
            <w:r>
              <w:rPr>
                <w:rFonts w:ascii="Arial" w:cs="Arial" w:eastAsia="Arial" w:hAnsi="Arial"/>
                <w:sz w:val="18"/>
                <w:szCs w:val="18"/>
                <w:color w:val="auto"/>
                <w:w w:val="94"/>
              </w:rPr>
              <w:t>Segment 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3,063</w:t>
            </w: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2,613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450</w:t>
            </w:r>
          </w:p>
        </w:tc>
        <w:tc>
          <w:tcPr>
            <w:tcW w:w="100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89"/>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5"/>
        </w:trPr>
        <w:tc>
          <w:tcPr>
            <w:tcW w:w="4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w:t>
            </w: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(8)</w:t>
            </w:r>
          </w:p>
        </w:tc>
        <w:tc>
          <w:tcPr>
            <w:tcW w:w="100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93"/>
              </w:rPr>
              <w:t>(12)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9"/>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3,122</w:t>
            </w:r>
          </w:p>
        </w:tc>
        <w:tc>
          <w:tcPr>
            <w:tcW w:w="720" w:type="dxa"/>
            <w:vAlign w:val="bottom"/>
            <w:shd w:val="clear" w:color="auto" w:fill="CCEEFF"/>
          </w:tcPr>
          <w:p>
            <w:pPr>
              <w:jc w:val="center"/>
              <w:ind w:right="312"/>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2,680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442</w:t>
            </w:r>
          </w:p>
        </w:tc>
        <w:tc>
          <w:tcPr>
            <w:tcW w:w="1000" w:type="dxa"/>
            <w:vAlign w:val="bottom"/>
            <w:shd w:val="clear" w:color="auto" w:fill="CCEEFF"/>
          </w:tcPr>
          <w:p>
            <w:pPr>
              <w:jc w:val="center"/>
              <w:ind w:left="572"/>
              <w:spacing w:after="0"/>
              <w:rPr>
                <w:sz w:val="20"/>
                <w:szCs w:val="20"/>
                <w:color w:val="auto"/>
              </w:rPr>
            </w:pPr>
            <w:r>
              <w:rPr>
                <w:rFonts w:ascii="Arial" w:cs="Arial" w:eastAsia="Arial" w:hAnsi="Arial"/>
                <w:sz w:val="18"/>
                <w:szCs w:val="18"/>
                <w:b w:val="1"/>
                <w:bCs w:val="1"/>
                <w:color w:val="auto"/>
                <w:w w:val="89"/>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00"/>
          </w:cols>
          <w:pgMar w:left="320" w:top="449" w:right="279" w:bottom="1440" w:gutter="0" w:footer="0" w:header="0"/>
        </w:sectPr>
      </w:pPr>
    </w:p>
    <w:p>
      <w:pPr>
        <w:spacing w:after="0" w:line="60"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13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213</w:t>
            </w: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131</w:t>
            </w: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Well Construction and Completions</w:t>
            </w:r>
          </w:p>
        </w:tc>
        <w:tc>
          <w:tcPr>
            <w:tcW w:w="1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212</w:t>
            </w:r>
          </w:p>
        </w:tc>
        <w:tc>
          <w:tcPr>
            <w:tcW w:w="6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184</w:t>
            </w:r>
          </w:p>
        </w:tc>
      </w:tr>
      <w:tr>
        <w:trPr>
          <w:trHeight w:val="22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Production and Intervention</w:t>
            </w:r>
          </w:p>
        </w:tc>
        <w:tc>
          <w:tcPr>
            <w:tcW w:w="1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173</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144</w:t>
            </w:r>
          </w:p>
        </w:tc>
      </w:tr>
      <w:tr>
        <w:trPr>
          <w:trHeight w:val="218"/>
        </w:trPr>
        <w:tc>
          <w:tcPr>
            <w:tcW w:w="3560" w:type="dxa"/>
            <w:vAlign w:val="bottom"/>
          </w:tcPr>
          <w:p>
            <w:pPr>
              <w:ind w:left="160"/>
              <w:spacing w:after="0"/>
              <w:rPr>
                <w:sz w:val="20"/>
                <w:szCs w:val="20"/>
                <w:color w:val="auto"/>
              </w:rPr>
            </w:pPr>
            <w:r>
              <w:rPr>
                <w:rFonts w:ascii="Arial" w:cs="Arial" w:eastAsia="Arial" w:hAnsi="Arial"/>
                <w:sz w:val="18"/>
                <w:szCs w:val="18"/>
                <w:color w:val="auto"/>
              </w:rPr>
              <w:t>Segment Adjusted EBITDA</w:t>
            </w:r>
          </w:p>
        </w:tc>
        <w:tc>
          <w:tcPr>
            <w:tcW w:w="130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598</w:t>
            </w: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459</w:t>
            </w: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3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(42)</w:t>
            </w: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(265)</w:t>
            </w:r>
          </w:p>
        </w:tc>
        <w:tc>
          <w:tcPr>
            <w:tcW w:w="60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(337)</w:t>
            </w: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2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Adjustments</w:t>
            </w:r>
          </w:p>
        </w:tc>
        <w:tc>
          <w:tcPr>
            <w:tcW w:w="1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w:t>
            </w:r>
          </w:p>
        </w:tc>
      </w:tr>
      <w:tr>
        <w:trPr>
          <w:trHeight w:val="193"/>
        </w:trPr>
        <w:tc>
          <w:tcPr>
            <w:tcW w:w="3560" w:type="dxa"/>
            <w:vAlign w:val="bottom"/>
            <w:tcBorders>
              <w:bottom w:val="single" w:sz="8" w:color="auto"/>
            </w:tcBorders>
          </w:tcPr>
          <w:p>
            <w:pPr>
              <w:ind w:left="120"/>
              <w:spacing w:after="0" w:line="193" w:lineRule="exact"/>
              <w:rPr>
                <w:sz w:val="20"/>
                <w:szCs w:val="20"/>
                <w:color w:val="auto"/>
              </w:rPr>
            </w:pPr>
            <w:r>
              <w:rPr>
                <w:rFonts w:ascii="Arial" w:cs="Arial" w:eastAsia="Arial" w:hAnsi="Arial"/>
                <w:sz w:val="18"/>
                <w:szCs w:val="18"/>
                <w:b w:val="1"/>
                <w:bCs w:val="1"/>
                <w:color w:val="auto"/>
              </w:rPr>
              <w:t>Operating Income</w:t>
            </w:r>
          </w:p>
        </w:tc>
        <w:tc>
          <w:tcPr>
            <w:tcW w:w="1300" w:type="dxa"/>
            <w:vAlign w:val="bottom"/>
            <w:tcBorders>
              <w:bottom w:val="single" w:sz="8" w:color="auto"/>
            </w:tcBorders>
          </w:tcPr>
          <w:p>
            <w:pPr>
              <w:jc w:val="right"/>
              <w:ind w:right="412"/>
              <w:spacing w:after="0" w:line="193"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line="193" w:lineRule="exact"/>
              <w:rPr>
                <w:sz w:val="20"/>
                <w:szCs w:val="20"/>
                <w:color w:val="auto"/>
              </w:rPr>
            </w:pPr>
            <w:r>
              <w:rPr>
                <w:rFonts w:ascii="Arial" w:cs="Arial" w:eastAsia="Arial" w:hAnsi="Arial"/>
                <w:sz w:val="18"/>
                <w:szCs w:val="18"/>
                <w:b w:val="1"/>
                <w:bCs w:val="1"/>
                <w:color w:val="auto"/>
              </w:rPr>
              <w:t>243</w:t>
            </w:r>
          </w:p>
        </w:tc>
        <w:tc>
          <w:tcPr>
            <w:tcW w:w="600" w:type="dxa"/>
            <w:vAlign w:val="bottom"/>
            <w:tcBorders>
              <w:bottom w:val="single" w:sz="8" w:color="auto"/>
            </w:tcBorders>
          </w:tcPr>
          <w:p>
            <w:pPr>
              <w:jc w:val="right"/>
              <w:ind w:right="412"/>
              <w:spacing w:after="0" w:line="193"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32"/>
              <w:spacing w:after="0" w:line="193" w:lineRule="exact"/>
              <w:rPr>
                <w:sz w:val="20"/>
                <w:szCs w:val="20"/>
                <w:color w:val="auto"/>
              </w:rPr>
            </w:pPr>
            <w:r>
              <w:rPr>
                <w:rFonts w:ascii="Arial" w:cs="Arial" w:eastAsia="Arial" w:hAnsi="Arial"/>
                <w:sz w:val="18"/>
                <w:szCs w:val="18"/>
                <w:b w:val="1"/>
                <w:bCs w:val="1"/>
                <w:color w:val="auto"/>
              </w:rPr>
              <w:t>83</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50"/>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 Margins:</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Drilling and Evaluation</w:t>
            </w:r>
          </w:p>
        </w:tc>
        <w:tc>
          <w:tcPr>
            <w:tcW w:w="1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22.3 %</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16.8 %</w:t>
            </w: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Well Construction and Completions</w:t>
            </w:r>
          </w:p>
        </w:tc>
        <w:tc>
          <w:tcPr>
            <w:tcW w:w="1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19.0 %</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2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Production and Intervention</w:t>
            </w:r>
          </w:p>
        </w:tc>
        <w:tc>
          <w:tcPr>
            <w:tcW w:w="1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17.5 %</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r>
      <w:tr>
        <w:trPr>
          <w:trHeight w:val="218"/>
        </w:trPr>
        <w:tc>
          <w:tcPr>
            <w:tcW w:w="356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19.5 %</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-2270760</wp:posOffset>
            </wp:positionV>
            <wp:extent cx="6966585" cy="14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-1984375</wp:posOffset>
            </wp:positionV>
            <wp:extent cx="6966585"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-1698625</wp:posOffset>
            </wp:positionV>
            <wp:extent cx="6966585" cy="151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6585" cy="1517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-1403985</wp:posOffset>
            </wp:positionV>
            <wp:extent cx="6966585"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-1117600</wp:posOffset>
            </wp:positionV>
            <wp:extent cx="6966585" cy="14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6585"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-722630</wp:posOffset>
            </wp:positionV>
            <wp:extent cx="6907530"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0753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-436245</wp:posOffset>
            </wp:positionV>
            <wp:extent cx="6907530"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0753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-150495</wp:posOffset>
            </wp:positionV>
            <wp:extent cx="6907530" cy="151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0753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2"/>
              <w:spacing w:after="0"/>
              <w:rPr>
                <w:sz w:val="20"/>
                <w:szCs w:val="20"/>
                <w:color w:val="auto"/>
              </w:rPr>
            </w:pPr>
            <w:r>
              <w:rPr>
                <w:rFonts w:ascii="Arial" w:cs="Arial" w:eastAsia="Arial" w:hAnsi="Arial"/>
                <w:sz w:val="18"/>
                <w:szCs w:val="18"/>
                <w:color w:val="auto"/>
              </w:rPr>
              <w:t>82</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color w:val="auto"/>
              </w:rPr>
              <w:t>28</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2"/>
              <w:spacing w:after="0"/>
              <w:rPr>
                <w:sz w:val="20"/>
                <w:szCs w:val="20"/>
                <w:color w:val="auto"/>
              </w:rPr>
            </w:pPr>
            <w:r>
              <w:rPr>
                <w:rFonts w:ascii="Arial" w:cs="Arial" w:eastAsia="Arial" w:hAnsi="Arial"/>
                <w:sz w:val="18"/>
                <w:szCs w:val="18"/>
                <w:color w:val="auto"/>
              </w:rPr>
              <w:t>139</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0" w:type="dxa"/>
            <w:vAlign w:val="bottom"/>
          </w:tcPr>
          <w:p>
            <w:pPr>
              <w:spacing w:after="0"/>
              <w:rPr>
                <w:sz w:val="19"/>
                <w:szCs w:val="19"/>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color w:val="auto"/>
              </w:rPr>
              <w:t>(5)</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0" w:type="dxa"/>
            <w:vAlign w:val="bottom"/>
          </w:tcPr>
          <w:p>
            <w:pPr>
              <w:spacing w:after="0"/>
              <w:rPr>
                <w:sz w:val="19"/>
                <w:szCs w:val="19"/>
                <w:color w:val="auto"/>
              </w:rPr>
            </w:pPr>
          </w:p>
        </w:tc>
        <w:tc>
          <w:tcPr>
            <w:tcW w:w="1400" w:type="dxa"/>
            <w:vAlign w:val="bottom"/>
          </w:tcPr>
          <w:p>
            <w:pPr>
              <w:jc w:val="right"/>
              <w:ind w:right="512"/>
              <w:spacing w:after="0"/>
              <w:rPr>
                <w:sz w:val="20"/>
                <w:szCs w:val="20"/>
                <w:color w:val="auto"/>
              </w:rPr>
            </w:pPr>
            <w:r>
              <w:rPr>
                <w:rFonts w:ascii="Arial" w:cs="Arial" w:eastAsia="Arial" w:hAnsi="Arial"/>
                <w:sz w:val="18"/>
                <w:szCs w:val="18"/>
                <w:color w:val="auto"/>
              </w:rPr>
              <w:t>72</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0" w:type="dxa"/>
            <w:vAlign w:val="bottom"/>
          </w:tcPr>
          <w:p>
            <w:pPr>
              <w:spacing w:after="0"/>
              <w:rPr>
                <w:sz w:val="19"/>
                <w:szCs w:val="19"/>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color w:val="auto"/>
              </w:rPr>
              <w:t>(5)</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640" w:type="dxa"/>
            <w:vAlign w:val="bottom"/>
            <w:tcBorders>
              <w:bottom w:val="single" w:sz="8" w:color="auto"/>
            </w:tcBorders>
          </w:tcPr>
          <w:p>
            <w:pPr>
              <w:jc w:val="right"/>
              <w:ind w:right="432"/>
              <w:spacing w:after="0" w:line="193" w:lineRule="exact"/>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ind w:right="512"/>
              <w:spacing w:after="0" w:line="193" w:lineRule="exact"/>
              <w:rPr>
                <w:sz w:val="20"/>
                <w:szCs w:val="20"/>
                <w:color w:val="auto"/>
              </w:rPr>
            </w:pPr>
            <w:r>
              <w:rPr>
                <w:rFonts w:ascii="Arial" w:cs="Arial" w:eastAsia="Arial" w:hAnsi="Arial"/>
                <w:sz w:val="18"/>
                <w:szCs w:val="18"/>
                <w:b w:val="1"/>
                <w:bCs w:val="1"/>
                <w:color w:val="auto"/>
              </w:rPr>
              <w:t>160</w:t>
            </w:r>
          </w:p>
        </w:tc>
        <w:tc>
          <w:tcPr>
            <w:tcW w:w="9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193</w:t>
            </w:r>
          </w:p>
        </w:tc>
        <w:tc>
          <w:tcPr>
            <w:tcW w:w="2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b w:val="1"/>
                <w:bCs w:val="1"/>
                <w:color w:val="auto"/>
              </w:rPr>
              <w:t>%</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575"/>
        </w:trPr>
        <w:tc>
          <w:tcPr>
            <w:tcW w:w="640" w:type="dxa"/>
            <w:vAlign w:val="bottom"/>
          </w:tcPr>
          <w:p>
            <w:pPr>
              <w:spacing w:after="0"/>
              <w:rPr>
                <w:sz w:val="24"/>
                <w:szCs w:val="24"/>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color w:val="auto"/>
              </w:rPr>
              <w:t>n/m</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550 bps</w:t>
            </w:r>
          </w:p>
        </w:tc>
      </w:tr>
      <w:tr>
        <w:trPr>
          <w:trHeight w:val="225"/>
        </w:trPr>
        <w:tc>
          <w:tcPr>
            <w:tcW w:w="640" w:type="dxa"/>
            <w:vAlign w:val="bottom"/>
          </w:tcPr>
          <w:p>
            <w:pPr>
              <w:spacing w:after="0"/>
              <w:rPr>
                <w:sz w:val="19"/>
                <w:szCs w:val="19"/>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color w:val="auto"/>
              </w:rPr>
              <w:t>n/m</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 bps</w:t>
            </w:r>
          </w:p>
        </w:tc>
      </w:tr>
      <w:tr>
        <w:trPr>
          <w:trHeight w:val="226"/>
        </w:trPr>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n/m</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 bps</w:t>
            </w:r>
          </w:p>
        </w:tc>
      </w:tr>
      <w:tr>
        <w:trPr>
          <w:trHeight w:val="218"/>
        </w:trPr>
        <w:tc>
          <w:tcPr>
            <w:tcW w:w="640" w:type="dxa"/>
            <w:vAlign w:val="bottom"/>
          </w:tcPr>
          <w:p>
            <w:pPr>
              <w:spacing w:after="0"/>
              <w:rPr>
                <w:sz w:val="18"/>
                <w:szCs w:val="18"/>
                <w:color w:val="auto"/>
              </w:rPr>
            </w:pPr>
          </w:p>
        </w:tc>
        <w:tc>
          <w:tcPr>
            <w:tcW w:w="1400" w:type="dxa"/>
            <w:vAlign w:val="bottom"/>
          </w:tcPr>
          <w:p>
            <w:pPr>
              <w:jc w:val="right"/>
              <w:ind w:right="472"/>
              <w:spacing w:after="0"/>
              <w:rPr>
                <w:sz w:val="20"/>
                <w:szCs w:val="20"/>
                <w:color w:val="auto"/>
              </w:rPr>
            </w:pPr>
            <w:r>
              <w:rPr>
                <w:rFonts w:ascii="Arial" w:cs="Arial" w:eastAsia="Arial" w:hAnsi="Arial"/>
                <w:sz w:val="18"/>
                <w:szCs w:val="18"/>
                <w:color w:val="auto"/>
              </w:rPr>
              <w:t>n/m</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190 bps</w:t>
            </w:r>
          </w:p>
        </w:tc>
      </w:tr>
    </w:tbl>
    <w:p>
      <w:pPr>
        <w:spacing w:after="0" w:line="200" w:lineRule="exact"/>
        <w:rPr>
          <w:sz w:val="20"/>
          <w:szCs w:val="20"/>
          <w:color w:val="auto"/>
        </w:rPr>
      </w:pPr>
    </w:p>
    <w:p>
      <w:pPr>
        <w:sectPr>
          <w:pgSz w:w="11900" w:h="16838" w:orient="portrait"/>
          <w:cols w:equalWidth="0" w:num="2">
            <w:col w:w="7880" w:space="80"/>
            <w:col w:w="3340"/>
          </w:cols>
          <w:pgMar w:left="320" w:top="449" w:right="279" w:bottom="1440" w:gutter="0" w:footer="0" w:header="0"/>
          <w:type w:val="continuous"/>
        </w:sect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Segment Revenues</w:t>
      </w:r>
    </w:p>
    <w:p>
      <w:pPr>
        <w:spacing w:after="0" w:line="244"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Segment revenues of $1.1 billion and $3.1 billion in the three and nine months ended September 30, 2022, increased $181 million, or 20%, and increased $450 million, or 17%, compared to the same periods in 2021, respectively. The year-over-year improvement was primarily from an increased demand in all segments.</w:t>
      </w:r>
    </w:p>
    <w:p>
      <w:pPr>
        <w:spacing w:after="0" w:line="215" w:lineRule="exact"/>
        <w:rPr>
          <w:sz w:val="20"/>
          <w:szCs w:val="20"/>
          <w:color w:val="auto"/>
        </w:rPr>
      </w:pPr>
    </w:p>
    <w:p>
      <w:pPr>
        <w:jc w:val="both"/>
        <w:ind w:right="60" w:firstLine="318"/>
        <w:spacing w:after="0" w:line="252" w:lineRule="auto"/>
        <w:rPr>
          <w:sz w:val="20"/>
          <w:szCs w:val="20"/>
          <w:color w:val="auto"/>
        </w:rPr>
      </w:pPr>
      <w:r>
        <w:rPr>
          <w:rFonts w:ascii="Arial" w:cs="Arial" w:eastAsia="Arial" w:hAnsi="Arial"/>
          <w:sz w:val="18"/>
          <w:szCs w:val="18"/>
          <w:color w:val="auto"/>
        </w:rPr>
        <w:t>DRE revenues of $348 million and $957 million in the three and nine months ended September 30, 2022, increased $70 million, or 25%, and increased $178 million, or 23%, compared to the same periods in 2021, respectively. The year-over-year increases were largely due to increased demand for managed pressure drilling and drilling services in three and the nine months ended September 30, 2022, compared to the same periods in 2021, respectively, and primarily in Latin America and Middle East North Africa/Asia regions.</w:t>
      </w:r>
    </w:p>
    <w:p>
      <w:pPr>
        <w:spacing w:after="0" w:line="217" w:lineRule="exact"/>
        <w:rPr>
          <w:sz w:val="20"/>
          <w:szCs w:val="20"/>
          <w:color w:val="auto"/>
        </w:rPr>
      </w:pPr>
    </w:p>
    <w:p>
      <w:pPr>
        <w:jc w:val="both"/>
        <w:ind w:right="60" w:firstLine="318"/>
        <w:spacing w:after="0" w:line="277" w:lineRule="auto"/>
        <w:rPr>
          <w:sz w:val="20"/>
          <w:szCs w:val="20"/>
          <w:color w:val="auto"/>
        </w:rPr>
      </w:pPr>
      <w:r>
        <w:rPr>
          <w:rFonts w:ascii="Arial" w:cs="Arial" w:eastAsia="Arial" w:hAnsi="Arial"/>
          <w:sz w:val="17"/>
          <w:szCs w:val="17"/>
          <w:color w:val="auto"/>
        </w:rPr>
        <w:t>WCC revenues of $391 million and $1,118 million in the three and nine months ended September 30, 2022, increased $46 million, or 13%, and increased $113 million, or 11%, compared to the same periods in 2021, respectively. The year-over-year increases in the three and nine months were largely due to increased demand for cementation products, primarily in North America and the Middle East North Africa/Asia regions.</w:t>
      </w:r>
    </w:p>
    <w:p>
      <w:pPr>
        <w:spacing w:after="0" w:line="198" w:lineRule="exact"/>
        <w:rPr>
          <w:sz w:val="20"/>
          <w:szCs w:val="20"/>
          <w:color w:val="auto"/>
        </w:rPr>
      </w:pPr>
    </w:p>
    <w:p>
      <w:pPr>
        <w:jc w:val="both"/>
        <w:ind w:right="60" w:firstLine="318"/>
        <w:spacing w:after="0" w:line="264" w:lineRule="auto"/>
        <w:rPr>
          <w:sz w:val="20"/>
          <w:szCs w:val="20"/>
          <w:color w:val="auto"/>
        </w:rPr>
      </w:pPr>
      <w:r>
        <w:rPr>
          <w:rFonts w:ascii="Arial" w:cs="Arial" w:eastAsia="Arial" w:hAnsi="Arial"/>
          <w:sz w:val="18"/>
          <w:szCs w:val="18"/>
          <w:color w:val="auto"/>
        </w:rPr>
        <w:t>PRI revenues of $357 million and $988 million in the three and nine months ended September 30, 2022, increased $65 million, or 22%, and increased $159 million, or 19%, compared to the same periods in 2021, respectively. The year-over-year</w:t>
      </w: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type w:val="continuous"/>
        </w:sectPr>
      </w:pPr>
    </w:p>
    <w:bookmarkStart w:id="23" w:name="page24"/>
    <w:bookmarkEnd w:id="23"/>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increases in the three and nine months were largely due to increased demand for artificial lift, primarily in North America.</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Segment Adjusted EBITDA and Margins</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primary measure of segment profitability is segment adjusted EBITDA. Segment adjusted EBITDA of $229 million and $598 million in the three and nine months ended September 30, 2022, increased $37 million, or 19%, and increased $139 million, or 30%, compared to the same periods in 2021, respectively. Segment adjusted EBITDA margins were 21% in both the three months ended September 30, 2022 and September 30, 2021 and 20% in the nine months ended September 30, 2022 compared to the 18% in the nine months ended September 30, 2021. Segment adjusted EBITDA margins were flat year-over-year for the three months ended with lower fall-through on margins for WCC and PRI offset by higher fall-through margins in DRE. The year-over-year improvement for the nine months ended exceeded the rate of improvement for revenues primarily from increased demand in all segments with a more profitable mix of service and product sales on a more efficient cost structure, resulting in higher fall-through on margins.</w:t>
      </w:r>
    </w:p>
    <w:p>
      <w:pPr>
        <w:spacing w:after="0" w:line="18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DRE segment adjusted EBITDA of $85 million and $213 million in the three and nine months ended September 30, 2022, increased $29 million, or 52%, and increased $82 million or 63%, compared to the same period in 2021, respectively. DRE segment adjusted EBITDA margins were 24% and 22% in the three and nine months ended September 30, 2022, an improvement compared to 20% and 17% in the three and nine months ended September 30, 2021, respectively. The year-over-year improvements were largely due to higher fall-through on margins across product lines, with increases in drilling services in Latin America, Europe/Sub-Sahara Africa and North America along with increases in managed pressure drilling in the Middle East North Africa/Asia regions.</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WCC segment adjusted EBITDA of $78 million and $212 million in the three and nine months ended September 30, 2022, decreased $1 million, or 1%, and increased $28 million, or 15%, compared to the same period in 2021, respectively. WCC segment adjusted EBITDA margins were 20% and 19% in the three and nine months ended September 30, 2022, compared to 23% and 18% in the three and nine months ended September 30, 2021, respectively. The year-over-year decrease for the three months ended was largely due to lower fall-through on margins for completions and tubular running services in Middle East North Africa/Asia region. The year-over-year improvements for the nine months was largely due to higher fall-through on margins for cementation, primarily in North America and the Middle East North Africa/Asia regions.</w:t>
      </w:r>
    </w:p>
    <w:p>
      <w:pPr>
        <w:spacing w:after="0" w:line="20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PRI segment adjusted EBITDA of $66 million and $173 million in the three and nine months ended September 30, 2022, increased $9 million, or 16%, and increased $29 million, or 20%, compared to the same period in 2021, respectively. PRI segment adjusted EBITDA margins were 19% and 18% in the three and nine months ended September 30, 2022, compared to 20% and 17% in the three and nine months ended September 30, 2021, respectively. The year-over-year decrease for the three months ended was largely due to product mix with lower fall-through margins in North America and Europe, Sub-Sahara Africa/Russia. The year-over-year improvements for the nine months ended was largely due to higher fall-through on margins for intervention services and drilling tools along with artificial lift, primarily in the North America region.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Depreciation and Amortization</w:t>
      </w:r>
    </w:p>
    <w:p>
      <w:pPr>
        <w:spacing w:after="0" w:line="2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Depreciation and amortization was $88 million and $265 million in the three and nine months ended September 30, 2022, compared to $112 million and $337 million in the three and nine months ended September 30, 2021, respectively. The year-over-year decrease was primarily from a lower asset base.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Share-based Compensation Expense</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record share-based compensation expense in “Selling, General and Administrative” on the accompanying Condensed Consolidated Statements of Operations. We recognized $5 million and $18 million in the three and nine months ended September 30, 2022, compared to $4 million and $13 million in the three and nine months ended September 30, 2021, respectively. The year-over-year increase was due to additional awards granted.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Adjustments</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Other adjustments was a net charge of zero and $25 million in the three and nine months ended September 30, 2022, respectively and is primarily driven by restructuring charges, see “Note 4 – Restructuring Charges” for details. Other adjustments were a net credit of $8 million and $16 million in both the three and nine months ended September 30, 2021, respectively, primarily driven by gains on asset sales in both periods.</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4" w:name="page25"/>
    <w:bookmarkEnd w:id="24"/>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September 30, 2022, we had cash and cash equivalents of $933 million and $210 million in restricted cash, compared to $951 million of cash and cash equivalents and $162 million in restricted cash at December 31, 2021. Our letters of credit under various uncommitted bi-lateral facilities increased restricted cash since December 31, 2021 due to a requirement from a new multi-year contract.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cash flows provided by (used in) each type of business activity in the periods presented:</w:t>
      </w:r>
    </w:p>
    <w:p>
      <w:pPr>
        <w:spacing w:after="0" w:line="10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7120" w:type="dxa"/>
            <w:vAlign w:val="bottom"/>
          </w:tcPr>
          <w:p>
            <w:pPr>
              <w:spacing w:after="0"/>
              <w:rPr>
                <w:sz w:val="17"/>
                <w:szCs w:val="17"/>
                <w:color w:val="auto"/>
              </w:rPr>
            </w:pPr>
          </w:p>
        </w:tc>
        <w:tc>
          <w:tcPr>
            <w:tcW w:w="250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2"/>
        </w:trPr>
        <w:tc>
          <w:tcPr>
            <w:tcW w:w="7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25"/>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r>
      <w:tr>
        <w:trPr>
          <w:trHeight w:val="218"/>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640"/>
              <w:spacing w:after="0"/>
              <w:rPr>
                <w:sz w:val="20"/>
                <w:szCs w:val="20"/>
                <w:color w:val="auto"/>
              </w:rPr>
            </w:pPr>
            <w:r>
              <w:rPr>
                <w:rFonts w:ascii="Arial" w:cs="Arial" w:eastAsia="Arial" w:hAnsi="Arial"/>
                <w:sz w:val="18"/>
                <w:szCs w:val="18"/>
                <w:color w:val="auto"/>
                <w:w w:val="93"/>
              </w:rPr>
              <w:t>(22)</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(89)</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provided by operating activities was $156 million for the nine months ended September 30, 2022. The primary sources of cash provided by operating activities were from higher operating income and lower cash interest.</w:t>
      </w:r>
    </w:p>
    <w:p>
      <w:pPr>
        <w:spacing w:after="0" w:line="2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Cash provided by operating activities was $234 million for the nine months ended September 30, 2021. The primary sources of cash provided by operating activities were driven by higher operating income and lower accounts payable spend, partially offset by interest payments.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used in investing activities was $22 million for the nine months ended September 30, 2022. The primary investing activity was cash used for capital expenditures of $83 million, partially offset by proceeds from the sale of assets of $55 million.</w:t>
      </w:r>
    </w:p>
    <w:p>
      <w:pPr>
        <w:spacing w:after="0" w:line="20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Cash used in investing activities was $2 million for the nine months ended September 30, 2021. During the nine months ended September 30, 2021, the primary uses of cash were capital expenditures of $44 million for property, plant and equipment, offset by proceeds of $39 million from asset dispositions.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used in financing activities was $89 million for the nine months ended September 30, 2022 and $65 million for the nine months ended September 30, 2021.</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nine months ended September 30, 2022, the primary uses of cash were for repayments of long-term debt of $62 million, which included the $50 million on early redemption of our Exit Notes and finance lease payments, and the remaining financing cash uses were primarily for dividends paid to noncontrolling interests.</w:t>
      </w:r>
    </w:p>
    <w:p>
      <w:pPr>
        <w:spacing w:after="0" w:line="21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During the nine months ended September 30, 2021, the primary uses of cash were repayments of long-term debt of $510 million which consisted primarily of the repayment of our 2024 Senior Secured Notes and finance lease obligations, a $22 million bond redemption premium payment for the early redemption of our 2024 Senior Secured Notes, and $20 million primarily for dividends paid to noncontrolling interests. The primary sources of cash were net proceeds of $491 million, net of commitments fees and debt issuance costs, from the issuance of the 2028 Senior Secured Notes. See “Note 7 – Borrowings and Other Obligations” to our Condensed Consolidated Financial Statements for further details on the debt financing.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sources of available liquidity include cash generated by our operations, cash and cash equivalent balances, and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our recent refinancing transactions, we expect to have sufficient cash from operations and cash on hand to fund our cash requirements (discussed below and in “Note 7 – Borrowings and Other Debt Obligations” and “Note 12 – Subsequent Events”) and financial obligations, both in the short-term and long-term.</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LC Agreement</w:t>
      </w:r>
    </w:p>
    <w:p>
      <w:pPr>
        <w:spacing w:after="0" w:line="1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had a senior secured letter of credit agreement (the “LC Agreement”) in an aggregate amount of $215 million maturing on May 29, 2024, which was used by the Company and certain of its subsidiaries for the issuance of bid and performance letters of credit.</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September 30, 2022, we had approximately $163 million in outstanding letters of credit under the LC Agreement and availability of $52 million.</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October 17, 2022, we amended the LC Agreement, the details of which are found in “Note 12 – Subsequent Events”.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credit ratings at September 30, 2022 were maintained since December 31, 2021.</w:t>
      </w:r>
    </w:p>
    <w:p>
      <w:pPr>
        <w:spacing w:after="0" w:line="244" w:lineRule="exact"/>
        <w:rPr>
          <w:sz w:val="20"/>
          <w:szCs w:val="20"/>
          <w:color w:val="auto"/>
        </w:rPr>
      </w:pPr>
    </w:p>
    <w:p>
      <w:pPr>
        <w:ind w:left="640" w:hanging="316"/>
        <w:spacing w:after="0" w:line="25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Moody’s Investors Service corporate family rating is at B2, our senior unsecured notes rating is at B3, and our senior secured notes and LC Agreement ratings are at Ba3. The outlook is stable.</w:t>
      </w:r>
    </w:p>
    <w:p>
      <w:pPr>
        <w:ind w:left="64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 and Poor’s corporate family and senior unsecured notes ratings are at B-, and our senior secured notes and LC Agreement ratings are B+. The outlook is stable.</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cash requirements will continue to include payments for capital expenditures, payments for short-term working capital needs, interest payments on our long-term debt, repayment on finance leases, operating costs associated with our business and restructuring payments. As business activity continues to rise, we expect to continue to utilize cash on capital assets and working capital growth. Our cash requirements also include personnel costs including awards under our employee incentive programs and other amounts to settle litigation related matters.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At September 30, 2022, our outstanding debt included $250 million in aggregate principal amount for our Exit Notes due 2024, $500 million in aggregate principal amount for our 2028 Senior Secured Notes and $1.6 billion in aggregate principal amount of the 2030 Senior Notes. On August 10, 2022, we redeemed $50 million in principal plus related unpaid interest of our Exit Notes. On October 18, 2022, we issued a notice to redeem $125 million in principal amount of our Exit Notes on November 17, 2022. The Exit Notes will be redeemed at 103% of the principal amount, plus accrued and unpaid interest. Please see “Note 7 – Borrowings and Other Debt Obligations” and “Note 12 – Subsequent Events” for additional details.</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capital spending for 2022 is currently projected to be between $120 million to $130 million. Capital expenditures are expected to be used primarily to support the ongoing activities and commitments in our core business. We expect to make $213 million in interest payments in 2022 and approximately $198 million in interest payments annually until the maturity of our long-term debt (excluding finance leases). Our payments on operating leases and operating purchase obligations in 2022 are expected to be approximately $74 million and $177 million, respectively.</w:t>
      </w:r>
    </w:p>
    <w:p>
      <w:pPr>
        <w:spacing w:after="0" w:line="20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Cash and cash equivalents and restricted cash are held by subsidiaries outside of Ireland. At September 30, 2022 we had approximately $163 million of our cash and cash equivalents that cannot be immediately repatriated from various countries due to country central bank controls or other regulations. Based on the nature of our structure, other than the restrictions noted above, we foresee we will be able to redeploy cash with minimal to no incremental tax.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Receivables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may experience delayed customer payments and payment defaults due to, among other reasons, reductions in our customers’ cash flow from operations, our customers’ inability to access credit markets, as well as unsettled political conditions.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 Factoring and Monetization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for cash proceeds net of discount and hold-back. The programs we factor under are uncommitted and thus we cannot assure they will be available as a source of liquidity. Our factoring transactions were recognized as sales, and the proceeds are included as operating cash flows in our Condensed Consolidated Statements of Cash Flows.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and nine months ended September 30, 2022, we sold accounts receivable balances of $12 million and $38 million, and received cash proceeds of $11 million and $34 million, respectively. During the three and nine months ended September 30, 2021, we sold accounts receivable balances of $15 million and $55 million, and received cash proceeds of $12 million and $46 million, respectively.</w:t>
      </w:r>
    </w:p>
    <w:p>
      <w:pPr>
        <w:spacing w:after="0" w:line="21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Additionally, during the three months ended June 30, 2022, we entered into a short-term monetization transaction on accounts receivable balances of $77 million. We received net cash proceeds of $59 million in the three months ended June 30, 2022 and $16 million in the three months ended September 30, 2022. The proceeds are included as operating cash flows in our Condensed Consolidated Statements of Cash Flows.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Weatherford International plc, the ultimate parent of the Weatherford group, guarantees the obligations of its subsidiaries – Weatherford International Ltd., a Bermuda exempted company (“Weatherford Bermuda”), and Weatherford International, LLC, a Delaware limited liability company (“Weatherford Delaware”).</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Exit Notes, 2028 Senior Secured Notes and 2030 Senior Notes were issued by Weatherford Bermuda and guaranteed by Weatherford International plc and Weatherford Delaware and other subsidiary guarantors party thereto. Our LC Agreement and as subsequently amended in “Note 12 – Subsequent Events” was issued by Weatherford Bermuda and Weatherford Delaware and guaranteed by Weatherford International plc and other subsidiary guarantors party thereto.</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Letters of Credit and Surety Bonds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September 30, 2022, we had $357 million of letters of credit outstanding, consisting of the $163 million under the LC Agreement and another $194 million under various uncommitted bi-lateral facilities (of which there was $194 million in cash collateral held and recorded in “Restricted Cash” on the Condensed Consolidated Balance Sheets). Our letters of credit under various uncommitted bi-lateral facilities increased “Restricted Cash” since December 31, 2021 due to a requirement from a new multi-year contract.</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utilize surety bonds as part of our customary business practice in Latin America. As of September 30, 2022, we had surety bonds outstanding of $287 million. Any of our outstanding letters of credit or surety bonds could be called by the beneficiaries should we breach certain contractual or performance obligations. If the beneficiaries were to call the letters of credit under our LC Agreement or surety bonds, our available liquidity would be reduced by the amount called.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7" w:name="page28"/>
    <w:bookmarkEnd w:id="27"/>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the filing of this report, and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Risk Factors”, sets forth certain risks and uncertainties relating to our forward-looking statements that may cause actual results to be materially different from our present expectations or projections:</w:t>
      </w:r>
    </w:p>
    <w:p>
      <w:pPr>
        <w:spacing w:after="0" w:line="183" w:lineRule="exact"/>
        <w:rPr>
          <w:sz w:val="20"/>
          <w:szCs w:val="20"/>
          <w:color w:val="auto"/>
        </w:rPr>
      </w:pPr>
    </w:p>
    <w:p>
      <w:pPr>
        <w:ind w:left="640" w:right="140" w:hanging="316"/>
        <w:spacing w:after="0" w:line="25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w:t>
      </w: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global economic repercussions related to U.S. and global inflationary pressures and potential recessionary concerns;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and sanctions, including but not limited to those related to the Russia Ukraine Conflict, and environmental and tax and accounting laws, rules and regulations;</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and the administration of, treaties, laws, and regulations, including in response to issues related to the Russia Ukraine Conflict and the potential for such issues to exacerbate other risks we face, including those related to the other risks and uncertainties listed or referenced in this Forward-Looking Statements section and in the Risk Factors section below;</w:t>
      </w:r>
    </w:p>
    <w:p>
      <w:pPr>
        <w:spacing w:after="0" w:line="2"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cybersecurity issues, as we may experience a higher rate of cybersecurity attacks, intrusions or incidents in the current environment of remote connectivity, as well as increased geopolitical conflicts and tensions;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and respond to, climate change, ESG and other “sustainability” initiatives and future legislative and regulatory measures both globally and in the specific geographic regions in which we and our customers operate;</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effectively and timely address the need to conduct our operations and provision of services to our customers more sustainably and with a lower carbon footprint;</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the COVID-19 pandemic, their impact on the global economy and the business of our company, customers, suppliers and other partners;</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the COVID-19 pandemic, including vaccination requirements and the associated availability of vaccines, restrictions on business operations or social distancing requirements, and the duration and efficacy of such restrictions;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5" w:lineRule="exact"/>
        <w:rPr>
          <w:rFonts w:ascii="Arial" w:cs="Arial" w:eastAsia="Arial" w:hAnsi="Arial"/>
          <w:sz w:val="18"/>
          <w:szCs w:val="18"/>
          <w:color w:val="auto"/>
        </w:rPr>
      </w:pPr>
    </w:p>
    <w:p>
      <w:pPr>
        <w:jc w:val="both"/>
        <w:ind w:left="640" w:hanging="316"/>
        <w:spacing w:after="0" w:line="294" w:lineRule="auto"/>
        <w:tabs>
          <w:tab w:leader="none" w:pos="635"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to capital markets on terms that are commercially acceptable to the Company;</w:t>
      </w:r>
    </w:p>
    <w:p>
      <w:pPr>
        <w:spacing w:after="0" w:line="5"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232"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8" w:name="page29"/>
    <w:bookmarkEnd w:id="28"/>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should underlying assumptions prove incorrect, our actual results, performance or achievements may vary materially from those described in this report as anticipated, believed, estimated, expected, intended, planned or projected.</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than the change in fair value of our debt as discussed in “Note 7 – Borrowings and Other Debt Obligations” in the Notes to Condensed Consolidated Financial Statements, our exposure to market risk has not changed materially since December 31, 2021.</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Evaluation of Disclosure Controls and Procedures. </w:t>
      </w:r>
      <w:r>
        <w:rPr>
          <w:rFonts w:ascii="Arial" w:cs="Arial" w:eastAsia="Arial" w:hAnsi="Arial"/>
          <w:sz w:val="15"/>
          <w:szCs w:val="15"/>
          <w:color w:val="auto"/>
        </w:rPr>
        <w:t>Disclosure controls and procedures (as defined in Rules 13a-15(e) and 15d-15(e) under the Exchange</w:t>
      </w:r>
      <w:r>
        <w:rPr>
          <w:rFonts w:ascii="Arial" w:cs="Arial" w:eastAsia="Arial" w:hAnsi="Arial"/>
          <w:sz w:val="15"/>
          <w:szCs w:val="15"/>
          <w:i w:val="1"/>
          <w:iCs w:val="1"/>
          <w:color w:val="auto"/>
        </w:rPr>
        <w:t xml:space="preserve"> </w:t>
      </w:r>
      <w:r>
        <w:rPr>
          <w:rFonts w:ascii="Arial" w:cs="Arial" w:eastAsia="Arial" w:hAnsi="Arial"/>
          <w:sz w:val="15"/>
          <w:szCs w:val="15"/>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management, under the supervision and with the participation of our CEO and CFO, evaluated the effectiveness of the design and operation of our disclosure controls and procedures at September 30, 2022. Based on that evaluation, our CEO and CFO concluded that our disclosure controls and procedures were effective as of September 30, 2022.</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and nine months ended September 30, 2022 that has materially affected, or is reasonably likely to materially affect, our internal control over financial reporting.</w:t>
      </w: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 – Other Information</w:t>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8 – Disputes, Litigation and Legal Contingencies” in our Notes to Condensed Consolidated Financial Statements for details regarding our ongoing disputes and litigation.</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2021 Annual Report, Part I, under the heading “Item 1A. Risk Factors” and our Form 10-Q for the three months ended March 31, 2022 and June 30, 2022, as well as other information included and incorporated by reference in this report. As of September 30, 2022, there have been no material changes in our assessment of our risk factors from the aforementioned.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4. Mine Safety Disclosures.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4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29" w:name="page30"/>
    <w:bookmarkEnd w:id="29"/>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5. Other Information.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exhibits designated with a dagger (†) are filed herewith or double dagger (††) are furnished herewith.</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7"/>
              </w:rPr>
              <w:t>Exhibit Number</w:t>
            </w:r>
          </w:p>
        </w:tc>
        <w:tc>
          <w:tcPr>
            <w:tcW w:w="54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Description</w:t>
            </w:r>
          </w:p>
        </w:tc>
        <w:tc>
          <w:tcPr>
            <w:tcW w:w="23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Original Filed Exhibit</w:t>
            </w:r>
          </w:p>
        </w:tc>
        <w:tc>
          <w:tcPr>
            <w:tcW w:w="21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File Number</w:t>
            </w:r>
          </w:p>
        </w:tc>
        <w:tc>
          <w:tcPr>
            <w:tcW w:w="0" w:type="dxa"/>
            <w:vAlign w:val="bottom"/>
          </w:tcPr>
          <w:p>
            <w:pPr>
              <w:spacing w:after="0"/>
              <w:rPr>
                <w:sz w:val="1"/>
                <w:szCs w:val="1"/>
                <w:color w:val="auto"/>
              </w:rPr>
            </w:pPr>
          </w:p>
        </w:tc>
      </w:tr>
      <w:tr>
        <w:trPr>
          <w:trHeight w:val="179"/>
        </w:trPr>
        <w:tc>
          <w:tcPr>
            <w:tcW w:w="1360" w:type="dxa"/>
            <w:vAlign w:val="bottom"/>
            <w:tcBorders>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15"/>
                <w:szCs w:val="15"/>
                <w:color w:val="auto"/>
              </w:rPr>
            </w:pPr>
          </w:p>
        </w:tc>
        <w:tc>
          <w:tcPr>
            <w:tcW w:w="4740" w:type="dxa"/>
            <w:vAlign w:val="bottom"/>
            <w:tcBorders>
              <w:bottom w:val="single" w:sz="8" w:color="0000FF"/>
            </w:tcBorders>
            <w:gridSpan w:val="3"/>
            <w:shd w:val="clear" w:color="auto" w:fill="CCEEFF"/>
          </w:tcPr>
          <w:p>
            <w:pPr>
              <w:spacing w:after="0" w:line="179" w:lineRule="exact"/>
              <w:rPr>
                <w:sz w:val="20"/>
                <w:szCs w:val="20"/>
                <w:color w:val="auto"/>
              </w:rPr>
            </w:pPr>
            <w:r>
              <w:rPr>
                <w:rFonts w:ascii="Arial" w:cs="Arial" w:eastAsia="Arial" w:hAnsi="Arial"/>
                <w:sz w:val="18"/>
                <w:szCs w:val="18"/>
                <w:color w:val="0000FF"/>
                <w:w w:val="91"/>
              </w:rPr>
              <w:t>Certification of Chief Executive Officer pursuant to Section 302 of</w:t>
            </w:r>
          </w:p>
        </w:tc>
        <w:tc>
          <w:tcPr>
            <w:tcW w:w="560" w:type="dxa"/>
            <w:vAlign w:val="bottom"/>
            <w:tcBorders>
              <w:bottom w:val="single" w:sz="8" w:color="CCEEFF"/>
            </w:tcBorders>
            <w:gridSpan w:val="2"/>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98"/>
        </w:trPr>
        <w:tc>
          <w:tcPr>
            <w:tcW w:w="13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8"/>
                <w:szCs w:val="8"/>
                <w:color w:val="auto"/>
              </w:rPr>
            </w:pPr>
          </w:p>
        </w:tc>
        <w:tc>
          <w:tcPr>
            <w:tcW w:w="5300" w:type="dxa"/>
            <w:vAlign w:val="bottom"/>
            <w:gridSpan w:val="5"/>
            <w:vMerge w:val="restart"/>
            <w:shd w:val="clear" w:color="auto" w:fill="CCEEFF"/>
          </w:tcPr>
          <w:p>
            <w:pPr>
              <w:spacing w:after="0" w:line="152" w:lineRule="exact"/>
              <w:rPr>
                <w:sz w:val="20"/>
                <w:szCs w:val="20"/>
                <w:color w:val="auto"/>
              </w:rPr>
            </w:pPr>
            <w:r>
              <w:rPr>
                <w:rFonts w:ascii="Arial" w:cs="Arial" w:eastAsia="Arial" w:hAnsi="Arial"/>
                <w:sz w:val="17"/>
                <w:szCs w:val="17"/>
                <w:color w:val="0000FF"/>
              </w:rPr>
              <w:t>the Sarbanes-Oxley Act of 2002.</w:t>
            </w:r>
          </w:p>
        </w:tc>
        <w:tc>
          <w:tcPr>
            <w:tcW w:w="238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300" w:type="dxa"/>
            <w:vAlign w:val="bottom"/>
            <w:gridSpan w:val="5"/>
            <w:vMerge w:val="continue"/>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360" w:type="dxa"/>
            <w:vAlign w:val="bottom"/>
          </w:tcPr>
          <w:p>
            <w:pPr>
              <w:ind w:left="20"/>
              <w:spacing w:after="0" w:line="18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6"/>
                <w:szCs w:val="16"/>
                <w:color w:val="auto"/>
              </w:rPr>
            </w:pPr>
          </w:p>
        </w:tc>
        <w:tc>
          <w:tcPr>
            <w:tcW w:w="5300" w:type="dxa"/>
            <w:vAlign w:val="bottom"/>
            <w:gridSpan w:val="5"/>
          </w:tcPr>
          <w:p>
            <w:pPr>
              <w:spacing w:after="0" w:line="186" w:lineRule="exact"/>
              <w:rPr>
                <w:sz w:val="20"/>
                <w:szCs w:val="20"/>
                <w:color w:val="auto"/>
              </w:rPr>
            </w:pPr>
            <w:r>
              <w:rPr>
                <w:rFonts w:ascii="Arial" w:cs="Arial" w:eastAsia="Arial" w:hAnsi="Arial"/>
                <w:sz w:val="18"/>
                <w:szCs w:val="18"/>
                <w:color w:val="0000FF"/>
                <w:w w:val="97"/>
              </w:rPr>
              <w:t>Certification of Chief Financial Officer pursuant to Section 302 of the</w:t>
            </w:r>
          </w:p>
        </w:tc>
        <w:tc>
          <w:tcPr>
            <w:tcW w:w="2380" w:type="dxa"/>
            <w:vAlign w:val="bottom"/>
          </w:tcPr>
          <w:p>
            <w:pPr>
              <w:spacing w:after="0"/>
              <w:rPr>
                <w:sz w:val="16"/>
                <w:szCs w:val="16"/>
                <w:color w:val="auto"/>
              </w:rPr>
            </w:pPr>
          </w:p>
        </w:tc>
        <w:tc>
          <w:tcPr>
            <w:tcW w:w="2100" w:type="dxa"/>
            <w:vAlign w:val="bottom"/>
            <w:vMerge w:val="restart"/>
          </w:tcPr>
          <w:p>
            <w:pPr>
              <w:ind w:left="34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4940" w:type="dxa"/>
            <w:vAlign w:val="bottom"/>
            <w:tcBorders>
              <w:top w:val="single" w:sz="8" w:color="0000FF"/>
            </w:tcBorders>
            <w:gridSpan w:val="4"/>
            <w:vMerge w:val="restart"/>
          </w:tcPr>
          <w:p>
            <w:pPr>
              <w:spacing w:after="0" w:line="152" w:lineRule="exact"/>
              <w:rPr>
                <w:sz w:val="20"/>
                <w:szCs w:val="20"/>
                <w:color w:val="auto"/>
              </w:rPr>
            </w:pPr>
            <w:r>
              <w:rPr>
                <w:rFonts w:ascii="Arial" w:cs="Arial" w:eastAsia="Arial" w:hAnsi="Arial"/>
                <w:sz w:val="17"/>
                <w:szCs w:val="17"/>
                <w:color w:val="0000FF"/>
              </w:rPr>
              <w:t>Sarbanes-Oxley Act of 2002.</w:t>
            </w:r>
          </w:p>
        </w:tc>
        <w:tc>
          <w:tcPr>
            <w:tcW w:w="36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940" w:type="dxa"/>
            <w:vAlign w:val="bottom"/>
            <w:gridSpan w:val="4"/>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tcBorders>
              <w:bottom w:val="single" w:sz="8" w:color="CCEEFF"/>
            </w:tcBorders>
            <w:shd w:val="clear" w:color="auto" w:fill="CCEEFF"/>
          </w:tcPr>
          <w:p>
            <w:pPr>
              <w:ind w:left="20"/>
              <w:spacing w:after="0" w:line="186"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16"/>
                <w:szCs w:val="16"/>
                <w:color w:val="auto"/>
              </w:rPr>
            </w:pPr>
          </w:p>
        </w:tc>
        <w:tc>
          <w:tcPr>
            <w:tcW w:w="4740" w:type="dxa"/>
            <w:vAlign w:val="bottom"/>
            <w:tcBorders>
              <w:bottom w:val="single" w:sz="8" w:color="0000FF"/>
            </w:tcBorders>
            <w:gridSpan w:val="3"/>
            <w:shd w:val="clear" w:color="auto" w:fill="CCEEFF"/>
          </w:tcPr>
          <w:p>
            <w:pPr>
              <w:spacing w:after="0" w:line="186" w:lineRule="exact"/>
              <w:rPr>
                <w:sz w:val="20"/>
                <w:szCs w:val="20"/>
                <w:color w:val="auto"/>
              </w:rPr>
            </w:pPr>
            <w:r>
              <w:rPr>
                <w:rFonts w:ascii="Arial" w:cs="Arial" w:eastAsia="Arial" w:hAnsi="Arial"/>
                <w:sz w:val="18"/>
                <w:szCs w:val="18"/>
                <w:color w:val="0000FF"/>
                <w:w w:val="91"/>
              </w:rPr>
              <w:t>Certification of Chief Executive Officer pursuant to Section 906 of</w:t>
            </w:r>
          </w:p>
        </w:tc>
        <w:tc>
          <w:tcPr>
            <w:tcW w:w="560" w:type="dxa"/>
            <w:vAlign w:val="bottom"/>
            <w:tcBorders>
              <w:bottom w:val="single" w:sz="8" w:color="CCEEFF"/>
            </w:tcBorders>
            <w:gridSpan w:val="2"/>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98"/>
        </w:trPr>
        <w:tc>
          <w:tcPr>
            <w:tcW w:w="136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8"/>
                <w:szCs w:val="8"/>
                <w:color w:val="auto"/>
              </w:rPr>
            </w:pPr>
          </w:p>
        </w:tc>
        <w:tc>
          <w:tcPr>
            <w:tcW w:w="5300" w:type="dxa"/>
            <w:vAlign w:val="bottom"/>
            <w:gridSpan w:val="5"/>
            <w:vMerge w:val="restart"/>
            <w:shd w:val="clear" w:color="auto" w:fill="CCEEFF"/>
          </w:tcPr>
          <w:p>
            <w:pPr>
              <w:spacing w:after="0" w:line="152" w:lineRule="exact"/>
              <w:rPr>
                <w:sz w:val="20"/>
                <w:szCs w:val="20"/>
                <w:color w:val="auto"/>
              </w:rPr>
            </w:pPr>
            <w:r>
              <w:rPr>
                <w:rFonts w:ascii="Arial" w:cs="Arial" w:eastAsia="Arial" w:hAnsi="Arial"/>
                <w:sz w:val="17"/>
                <w:szCs w:val="17"/>
                <w:color w:val="0000FF"/>
              </w:rPr>
              <w:t>the Sarbanes-Oxley Act of 2002.</w:t>
            </w:r>
          </w:p>
        </w:tc>
        <w:tc>
          <w:tcPr>
            <w:tcW w:w="238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300" w:type="dxa"/>
            <w:vAlign w:val="bottom"/>
            <w:gridSpan w:val="5"/>
            <w:vMerge w:val="continue"/>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tcPr>
          <w:p>
            <w:pPr>
              <w:ind w:left="20"/>
              <w:spacing w:after="0" w:line="186"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6"/>
                <w:szCs w:val="16"/>
                <w:color w:val="auto"/>
              </w:rPr>
            </w:pPr>
          </w:p>
        </w:tc>
        <w:tc>
          <w:tcPr>
            <w:tcW w:w="5300" w:type="dxa"/>
            <w:vAlign w:val="bottom"/>
            <w:gridSpan w:val="5"/>
          </w:tcPr>
          <w:p>
            <w:pPr>
              <w:spacing w:after="0" w:line="186" w:lineRule="exact"/>
              <w:rPr>
                <w:sz w:val="20"/>
                <w:szCs w:val="20"/>
                <w:color w:val="auto"/>
              </w:rPr>
            </w:pPr>
            <w:r>
              <w:rPr>
                <w:rFonts w:ascii="Arial" w:cs="Arial" w:eastAsia="Arial" w:hAnsi="Arial"/>
                <w:sz w:val="18"/>
                <w:szCs w:val="18"/>
                <w:color w:val="0000FF"/>
                <w:w w:val="97"/>
              </w:rPr>
              <w:t>Certification of Chief Financial Officer pursuant to Section 906 of the</w:t>
            </w:r>
          </w:p>
        </w:tc>
        <w:tc>
          <w:tcPr>
            <w:tcW w:w="2380" w:type="dxa"/>
            <w:vAlign w:val="bottom"/>
          </w:tcPr>
          <w:p>
            <w:pPr>
              <w:spacing w:after="0"/>
              <w:rPr>
                <w:sz w:val="16"/>
                <w:szCs w:val="16"/>
                <w:color w:val="auto"/>
              </w:rPr>
            </w:pPr>
          </w:p>
        </w:tc>
        <w:tc>
          <w:tcPr>
            <w:tcW w:w="2100" w:type="dxa"/>
            <w:vAlign w:val="bottom"/>
            <w:vMerge w:val="restart"/>
          </w:tcPr>
          <w:p>
            <w:pPr>
              <w:ind w:left="340"/>
              <w:spacing w:after="0"/>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4940" w:type="dxa"/>
            <w:vAlign w:val="bottom"/>
            <w:tcBorders>
              <w:top w:val="single" w:sz="8" w:color="0000FF"/>
            </w:tcBorders>
            <w:gridSpan w:val="4"/>
            <w:vMerge w:val="restart"/>
          </w:tcPr>
          <w:p>
            <w:pPr>
              <w:spacing w:after="0" w:line="152" w:lineRule="exact"/>
              <w:rPr>
                <w:sz w:val="20"/>
                <w:szCs w:val="20"/>
                <w:color w:val="auto"/>
              </w:rPr>
            </w:pPr>
            <w:r>
              <w:rPr>
                <w:rFonts w:ascii="Arial" w:cs="Arial" w:eastAsia="Arial" w:hAnsi="Arial"/>
                <w:sz w:val="17"/>
                <w:szCs w:val="17"/>
                <w:color w:val="0000FF"/>
              </w:rPr>
              <w:t>Sarbanes-Oxley Act of 2002.</w:t>
            </w:r>
          </w:p>
        </w:tc>
        <w:tc>
          <w:tcPr>
            <w:tcW w:w="36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940" w:type="dxa"/>
            <w:vAlign w:val="bottom"/>
            <w:gridSpan w:val="4"/>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3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†101.INS</w:t>
            </w:r>
          </w:p>
        </w:tc>
        <w:tc>
          <w:tcPr>
            <w:tcW w:w="9880" w:type="dxa"/>
            <w:vAlign w:val="bottom"/>
            <w:gridSpan w:val="8"/>
            <w:shd w:val="clear" w:color="auto" w:fill="CCEEFF"/>
          </w:tcPr>
          <w:p>
            <w:pPr>
              <w:ind w:left="100"/>
              <w:spacing w:after="0" w:line="173"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8"/>
        </w:trPr>
        <w:tc>
          <w:tcPr>
            <w:tcW w:w="1360" w:type="dxa"/>
            <w:vAlign w:val="bottom"/>
            <w:shd w:val="clear" w:color="auto" w:fill="CCEEFF"/>
          </w:tcPr>
          <w:p>
            <w:pPr>
              <w:spacing w:after="0"/>
              <w:rPr>
                <w:sz w:val="20"/>
                <w:szCs w:val="20"/>
                <w:color w:val="auto"/>
              </w:rPr>
            </w:pPr>
          </w:p>
        </w:tc>
        <w:tc>
          <w:tcPr>
            <w:tcW w:w="54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within the inline XBRL document</w:t>
            </w:r>
          </w:p>
        </w:tc>
        <w:tc>
          <w:tcPr>
            <w:tcW w:w="23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60" w:type="dxa"/>
            <w:vAlign w:val="bottom"/>
          </w:tcPr>
          <w:p>
            <w:pPr>
              <w:ind w:left="20"/>
              <w:spacing w:after="0"/>
              <w:rPr>
                <w:sz w:val="20"/>
                <w:szCs w:val="20"/>
                <w:color w:val="auto"/>
              </w:rPr>
            </w:pPr>
            <w:r>
              <w:rPr>
                <w:rFonts w:ascii="Arial" w:cs="Arial" w:eastAsia="Arial" w:hAnsi="Arial"/>
                <w:sz w:val="18"/>
                <w:szCs w:val="18"/>
                <w:color w:val="auto"/>
              </w:rPr>
              <w:t>†101.SCH</w:t>
            </w:r>
          </w:p>
        </w:tc>
        <w:tc>
          <w:tcPr>
            <w:tcW w:w="5400" w:type="dxa"/>
            <w:vAlign w:val="bottom"/>
            <w:gridSpan w:val="6"/>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2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54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23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60" w:type="dxa"/>
            <w:vAlign w:val="bottom"/>
          </w:tcPr>
          <w:p>
            <w:pPr>
              <w:ind w:left="20"/>
              <w:spacing w:after="0"/>
              <w:rPr>
                <w:sz w:val="20"/>
                <w:szCs w:val="20"/>
                <w:color w:val="auto"/>
              </w:rPr>
            </w:pPr>
            <w:r>
              <w:rPr>
                <w:rFonts w:ascii="Arial" w:cs="Arial" w:eastAsia="Arial" w:hAnsi="Arial"/>
                <w:sz w:val="18"/>
                <w:szCs w:val="18"/>
                <w:color w:val="auto"/>
              </w:rPr>
              <w:t>†101.DEF</w:t>
            </w:r>
          </w:p>
        </w:tc>
        <w:tc>
          <w:tcPr>
            <w:tcW w:w="5400" w:type="dxa"/>
            <w:vAlign w:val="bottom"/>
            <w:gridSpan w:val="6"/>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2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54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23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360" w:type="dxa"/>
            <w:vAlign w:val="bottom"/>
          </w:tcPr>
          <w:p>
            <w:pPr>
              <w:ind w:left="20"/>
              <w:spacing w:after="0"/>
              <w:rPr>
                <w:sz w:val="20"/>
                <w:szCs w:val="20"/>
                <w:color w:val="auto"/>
              </w:rPr>
            </w:pPr>
            <w:r>
              <w:rPr>
                <w:rFonts w:ascii="Arial" w:cs="Arial" w:eastAsia="Arial" w:hAnsi="Arial"/>
                <w:sz w:val="18"/>
                <w:szCs w:val="18"/>
                <w:color w:val="auto"/>
              </w:rPr>
              <w:t>†101.PRE</w:t>
            </w:r>
          </w:p>
        </w:tc>
        <w:tc>
          <w:tcPr>
            <w:tcW w:w="5400" w:type="dxa"/>
            <w:vAlign w:val="bottom"/>
            <w:gridSpan w:val="6"/>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2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460" w:hanging="1436"/>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2"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0" w:name="page31"/>
    <w:bookmarkEnd w:id="30"/>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Weatherford International plc</w:t>
      </w:r>
    </w:p>
    <w:p>
      <w:pPr>
        <w:spacing w:after="0" w:line="283" w:lineRule="exact"/>
        <w:rPr>
          <w:sz w:val="20"/>
          <w:szCs w:val="20"/>
          <w:color w:val="auto"/>
        </w:rPr>
      </w:pPr>
    </w:p>
    <w:p>
      <w:pPr>
        <w:ind w:left="520"/>
        <w:spacing w:after="0"/>
        <w:tabs>
          <w:tab w:leader="none" w:pos="7120" w:val="left"/>
        </w:tabs>
        <w:rPr>
          <w:sz w:val="20"/>
          <w:szCs w:val="20"/>
          <w:color w:val="auto"/>
        </w:rPr>
      </w:pPr>
      <w:r>
        <w:rPr>
          <w:rFonts w:ascii="Arial" w:cs="Arial" w:eastAsia="Arial" w:hAnsi="Arial"/>
          <w:sz w:val="18"/>
          <w:szCs w:val="18"/>
          <w:color w:val="auto"/>
        </w:rPr>
        <w:t>Date: October 26, 2022</w:t>
      </w:r>
      <w:r>
        <w:rPr>
          <w:sz w:val="20"/>
          <w:szCs w:val="20"/>
          <w:color w:val="auto"/>
        </w:rPr>
        <w:tab/>
      </w:r>
      <w:r>
        <w:rPr>
          <w:rFonts w:ascii="Arial" w:cs="Arial" w:eastAsia="Arial" w:hAnsi="Arial"/>
          <w:sz w:val="15"/>
          <w:szCs w:val="15"/>
          <w:color w:val="auto"/>
        </w:rPr>
        <w:t>By: /s/ Desmond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10795</wp:posOffset>
            </wp:positionV>
            <wp:extent cx="2493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3645" cy="8255"/>
                    </a:xfrm>
                    <a:prstGeom prst="rect">
                      <a:avLst/>
                    </a:prstGeom>
                    <a:noFill/>
                  </pic:spPr>
                </pic:pic>
              </a:graphicData>
            </a:graphic>
          </wp:anchor>
        </w:drawing>
      </w:r>
    </w:p>
    <w:p>
      <w:pPr>
        <w:spacing w:after="0" w:line="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Desmond J. Mills</w:t>
      </w:r>
    </w:p>
    <w:p>
      <w:pPr>
        <w:jc w:val="right"/>
        <w:spacing w:after="0" w:line="237" w:lineRule="auto"/>
        <w:rPr>
          <w:sz w:val="20"/>
          <w:szCs w:val="20"/>
          <w:color w:val="auto"/>
        </w:rPr>
      </w:pPr>
      <w:r>
        <w:rPr>
          <w:rFonts w:ascii="Arial" w:cs="Arial" w:eastAsia="Arial" w:hAnsi="Arial"/>
          <w:sz w:val="18"/>
          <w:szCs w:val="18"/>
          <w:color w:val="auto"/>
        </w:rPr>
        <w:t>Interim Chief Financial Officer, Senior Vice President</w:t>
      </w:r>
    </w:p>
    <w:p>
      <w:pPr>
        <w:ind w:left="7440"/>
        <w:spacing w:after="0"/>
        <w:rPr>
          <w:sz w:val="20"/>
          <w:szCs w:val="20"/>
          <w:color w:val="auto"/>
        </w:rPr>
      </w:pPr>
      <w:r>
        <w:rPr>
          <w:rFonts w:ascii="Arial" w:cs="Arial" w:eastAsia="Arial" w:hAnsi="Arial"/>
          <w:sz w:val="18"/>
          <w:szCs w:val="18"/>
          <w:color w:val="auto"/>
        </w:rPr>
        <w:t>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72"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1" w:lineRule="exact"/>
        <w:rPr>
          <w:rFonts w:ascii="Arial" w:cs="Arial" w:eastAsia="Arial" w:hAnsi="Arial"/>
          <w:sz w:val="18"/>
          <w:szCs w:val="18"/>
          <w:color w:val="auto"/>
        </w:rPr>
      </w:pPr>
    </w:p>
    <w:p>
      <w:pPr>
        <w:ind w:left="320" w:hanging="314"/>
        <w:spacing w:after="0" w:line="365" w:lineRule="auto"/>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hanging="314"/>
        <w:spacing w:after="0" w:line="264"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320" w:hanging="314"/>
        <w:spacing w:after="0" w:line="294"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 October 26, 2022</w:t>
      </w:r>
    </w:p>
    <w:p>
      <w:pPr>
        <w:spacing w:after="0" w:line="2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44450</wp:posOffset>
            </wp:positionV>
            <wp:extent cx="35166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Girishchandra K. Saligram</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Desmond J. Mills, certify that:</w:t>
      </w:r>
    </w:p>
    <w:p>
      <w:pPr>
        <w:spacing w:after="0" w:line="111"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111" w:lineRule="exact"/>
        <w:rPr>
          <w:rFonts w:ascii="Arial" w:cs="Arial" w:eastAsia="Arial" w:hAnsi="Arial"/>
          <w:sz w:val="18"/>
          <w:szCs w:val="18"/>
          <w:color w:val="auto"/>
        </w:rPr>
      </w:pPr>
    </w:p>
    <w:p>
      <w:pPr>
        <w:ind w:left="320" w:hanging="314"/>
        <w:spacing w:after="0" w:line="365"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5"/>
          <w:szCs w:val="15"/>
          <w:color w:val="auto"/>
        </w:rPr>
      </w:pPr>
    </w:p>
    <w:p>
      <w:pPr>
        <w:ind w:left="320" w:hanging="314"/>
        <w:spacing w:after="0" w:line="264"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320" w:hanging="314"/>
        <w:spacing w:after="0" w:line="294"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Date: October 26, 2022</w:t>
      </w:r>
    </w:p>
    <w:p>
      <w:pPr>
        <w:spacing w:after="0" w:line="28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Desmond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44450</wp:posOffset>
            </wp:positionV>
            <wp:extent cx="28943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Desmond J. Mills</w:t>
      </w:r>
    </w:p>
    <w:p>
      <w:pPr>
        <w:spacing w:after="0" w:line="1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Interim Chief Financial Officer, Senior Vice</w:t>
      </w:r>
    </w:p>
    <w:p>
      <w:pPr>
        <w:spacing w:after="0" w:line="7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Accounting Officer</w:t>
      </w:r>
    </w:p>
    <w:p>
      <w:pPr>
        <w:sectPr>
          <w:pgSz w:w="11900" w:h="16838" w:orient="portrait"/>
          <w:cols w:equalWidth="0" w:num="1">
            <w:col w:w="11240"/>
          </w:cols>
          <w:pgMar w:left="320" w:top="876"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In connection with the quarterly report on Form 10-Q of Weatherford International plc (the "Company") for the period ended September 30, 2022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163" w:lineRule="exact"/>
        <w:rPr>
          <w:sz w:val="20"/>
          <w:szCs w:val="20"/>
          <w:color w:val="auto"/>
        </w:rPr>
      </w:pPr>
    </w:p>
    <w:p>
      <w:pPr>
        <w:ind w:left="1280" w:hanging="320"/>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1280" w:hanging="320"/>
        <w:spacing w:after="0" w:line="264" w:lineRule="auto"/>
        <w:tabs>
          <w:tab w:leader="none" w:pos="1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10795</wp:posOffset>
            </wp:positionV>
            <wp:extent cx="2607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Girishchandra K. Saligram</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October 26, 2022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6"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September 30, 2022 as filed with the Securities and Exchange Commission on the date hereof (the "Report"), I, Desmond J. Mills, Interim Chief Financial Officer, Senior Vice President and Chief Accounting Officer of the Company, certify, pursuant to 18 U.S.C. Section 1350, as adopted pursuant to Section 906 of the Sarbanes-Oxley Act of 2002, that:</w:t>
      </w:r>
    </w:p>
    <w:p>
      <w:pPr>
        <w:spacing w:after="0" w:line="217" w:lineRule="exact"/>
        <w:rPr>
          <w:sz w:val="20"/>
          <w:szCs w:val="20"/>
          <w:color w:val="auto"/>
        </w:rPr>
      </w:pPr>
    </w:p>
    <w:p>
      <w:pPr>
        <w:ind w:left="1280" w:hanging="32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4" w:lineRule="exact"/>
        <w:rPr>
          <w:rFonts w:ascii="Arial" w:cs="Arial" w:eastAsia="Arial" w:hAnsi="Arial"/>
          <w:sz w:val="18"/>
          <w:szCs w:val="18"/>
          <w:color w:val="auto"/>
        </w:rPr>
      </w:pPr>
    </w:p>
    <w:p>
      <w:pPr>
        <w:ind w:left="1280" w:hanging="320"/>
        <w:spacing w:after="0" w:line="264" w:lineRule="auto"/>
        <w:tabs>
          <w:tab w:leader="none" w:pos="12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Desmond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44450</wp:posOffset>
            </wp:positionV>
            <wp:extent cx="3458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Desmond J. Mills</w:t>
      </w:r>
    </w:p>
    <w:p>
      <w:pPr>
        <w:ind w:left="840"/>
        <w:spacing w:after="0" w:line="237" w:lineRule="auto"/>
        <w:rPr>
          <w:sz w:val="20"/>
          <w:szCs w:val="20"/>
          <w:color w:val="auto"/>
        </w:rPr>
      </w:pPr>
      <w:r>
        <w:rPr>
          <w:rFonts w:ascii="Arial" w:cs="Arial" w:eastAsia="Arial" w:hAnsi="Arial"/>
          <w:sz w:val="18"/>
          <w:szCs w:val="18"/>
          <w:color w:val="auto"/>
        </w:rPr>
        <w:t>Interim Chief Financial Officer, Senior Vice President and Chief</w:t>
      </w:r>
    </w:p>
    <w:p>
      <w:pPr>
        <w:ind w:left="440"/>
        <w:spacing w:after="0"/>
        <w:rPr>
          <w:sz w:val="20"/>
          <w:szCs w:val="20"/>
          <w:color w:val="auto"/>
        </w:rPr>
      </w:pPr>
      <w:r>
        <w:rPr>
          <w:rFonts w:ascii="Arial" w:cs="Arial" w:eastAsia="Arial" w:hAnsi="Arial"/>
          <w:sz w:val="18"/>
          <w:szCs w:val="18"/>
          <w:color w:val="auto"/>
        </w:rPr>
        <w:t>Title: Accounting Officer</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October 26, 2022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876"/>
    </w:lvl>
  </w:abstractNum>
  <w:abstractNum w:abstractNumId="7">
    <w:nsid w:val="1190CDE7"/>
    <w:multiLevelType w:val="hybridMultilevel"/>
    <w:lvl w:ilvl="0">
      <w:lvlJc w:val="left"/>
      <w:lvlText w:val="%1"/>
      <w:numFmt w:val="decimal"/>
      <w:start w:val="832"/>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2022-10-26T16:01:44Z</dcterms:created>
  <dcterms:modified xsi:type="dcterms:W3CDTF">2022-10-26T16:01:44Z</dcterms:modified>
</cp:coreProperties>
</file>