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U.S. Securities and Exchange Commission on September 1,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UNDER</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44"/>
        </w:rPr>
        <w:t>Weatherford International plc</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280"/>
        <w:gridCol w:w="1126"/>
        <w:gridCol w:w="1135"/>
        <w:gridCol w:w="318"/>
        <w:gridCol w:w="318"/>
        <w:gridCol w:w="318"/>
        <w:gridCol w:w="1165"/>
        <w:gridCol w:w="1132"/>
        <w:gridCol w:w="1077"/>
        <w:gridCol w:w="318"/>
        <w:gridCol w:w="318"/>
        <w:gridCol w:w="318"/>
        <w:gridCol w:w="401"/>
        <w:gridCol w:w="401"/>
        <w:gridCol w:w="58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528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2000 Saint James Place, Houston, Texas 77056</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98-0606750</w:t>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Assumed awards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NCS Multistage Holdings, Inc. Amended and Restated 2017 Equity Incentive Plan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Scott C. Weatherholt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General Counsel and Chief Compliance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2000 Saint James Place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77056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(713) 836-4000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(Telephone number, including area code, of agent for service) </w:t>
      </w:r>
    </w:p>
    <w:p>
      <w:pPr>
        <w:pStyle w:val="TextBody"/>
        <w:bidi w:val="0"/>
        <w:spacing w:lineRule="auto" w:line="288" w:before="240" w:after="283"/>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Jonathan B. Newton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Heath C. Trisdale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King &amp; Spalding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Louisiana St., Suite 4100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(713) 751-3200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030"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109"/>
        <w:gridCol w:w="109"/>
        <w:gridCol w:w="109"/>
        <w:gridCol w:w="109"/>
        <w:gridCol w:w="109"/>
        <w:gridCol w:w="109"/>
        <w:gridCol w:w="789"/>
        <w:gridCol w:w="789"/>
        <w:gridCol w:w="792"/>
        <w:gridCol w:w="109"/>
        <w:gridCol w:w="10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On September 1, 2026 (the “</w:t>
      </w:r>
      <w:r>
        <w:rPr>
          <w:rFonts w:ascii="Times New Roman;serif" w:hAnsi="Times New Roman;serif"/>
          <w:b w:val="false"/>
          <w:color w:val="000000"/>
          <w:sz w:val="20"/>
          <w:u w:val="single"/>
        </w:rPr>
        <w:t>Closing Date</w:t>
      </w:r>
      <w:r>
        <w:rPr>
          <w:color w:val="000000"/>
        </w:rPr>
        <w:t>”</w:t>
      </w:r>
      <w:r>
        <w:rPr>
          <w:rFonts w:ascii="Times New Roman;serif" w:hAnsi="Times New Roman;serif"/>
          <w:b w:val="false"/>
          <w:color w:val="000000"/>
          <w:sz w:val="20"/>
        </w:rPr>
        <w:t>), Weatherford International plc, an Irish public limited company (“</w:t>
      </w:r>
      <w:r>
        <w:rPr>
          <w:rFonts w:ascii="Times New Roman;serif" w:hAnsi="Times New Roman;serif"/>
          <w:b w:val="false"/>
          <w:color w:val="000000"/>
          <w:sz w:val="20"/>
          <w:u w:val="single"/>
        </w:rPr>
        <w:t>Weatherford</w:t>
      </w:r>
      <w:r>
        <w:rPr>
          <w:color w:val="000000"/>
        </w:rPr>
        <w:t>”</w:t>
      </w:r>
      <w:r>
        <w:rPr>
          <w:rFonts w:ascii="Times New Roman;serif" w:hAnsi="Times New Roman;serif"/>
          <w:b w:val="false"/>
          <w:color w:val="000000"/>
          <w:sz w:val="20"/>
        </w:rPr>
        <w:t>) acquired NCS Multistage Holdings, Inc., a Delaware corporation (“</w:t>
      </w:r>
      <w:r>
        <w:rPr>
          <w:rFonts w:ascii="Times New Roman;serif" w:hAnsi="Times New Roman;serif"/>
          <w:b w:val="false"/>
          <w:color w:val="000000"/>
          <w:sz w:val="20"/>
          <w:u w:val="single"/>
        </w:rPr>
        <w:t>NCS</w:t>
      </w:r>
      <w:r>
        <w:rPr>
          <w:color w:val="000000"/>
        </w:rPr>
        <w:t>”</w:t>
      </w:r>
      <w:r>
        <w:rPr>
          <w:rFonts w:ascii="Times New Roman;serif" w:hAnsi="Times New Roman;serif"/>
          <w:b w:val="false"/>
          <w:color w:val="000000"/>
          <w:sz w:val="20"/>
        </w:rPr>
        <w:t>), pursuant to that certain Agreement and Plan of Merger, dated as of May 31, 2026 (the “</w:t>
      </w:r>
      <w:r>
        <w:rPr>
          <w:rFonts w:ascii="Times New Roman;serif" w:hAnsi="Times New Roman;serif"/>
          <w:b w:val="false"/>
          <w:color w:val="000000"/>
          <w:sz w:val="20"/>
          <w:u w:val="single"/>
        </w:rPr>
        <w:t>Merger Agreement</w:t>
      </w:r>
      <w:r>
        <w:rPr>
          <w:color w:val="000000"/>
        </w:rPr>
        <w:t>”</w:t>
      </w:r>
      <w:r>
        <w:rPr>
          <w:rFonts w:ascii="Times New Roman;serif" w:hAnsi="Times New Roman;serif"/>
          <w:b w:val="false"/>
          <w:color w:val="000000"/>
          <w:sz w:val="20"/>
        </w:rPr>
        <w:t>), by and among Weatherford, NCS, and Trinity Bell Sub, Inc., a Delaware corporation and wholly owned subsidiary of Weatherford (such transaction, the “</w:t>
      </w:r>
      <w:r>
        <w:rPr>
          <w:rFonts w:ascii="Times New Roman;serif" w:hAnsi="Times New Roman;serif"/>
          <w:b w:val="false"/>
          <w:color w:val="000000"/>
          <w:sz w:val="20"/>
          <w:u w:val="single"/>
        </w:rPr>
        <w:t>Merger</w:t>
      </w:r>
      <w:r>
        <w:rPr>
          <w:color w:val="000000"/>
        </w:rPr>
        <w:t>”</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Pursuant to the terms of the Merger Agreement, at the effective time of the Merger (the “</w:t>
      </w:r>
      <w:r>
        <w:rPr>
          <w:rFonts w:ascii="Times New Roman;serif" w:hAnsi="Times New Roman;serif"/>
          <w:b w:val="false"/>
          <w:color w:val="000000"/>
          <w:sz w:val="20"/>
          <w:u w:val="single"/>
        </w:rPr>
        <w:t>Effective Time</w:t>
      </w:r>
      <w:r>
        <w:rPr>
          <w:color w:val="000000"/>
        </w:rPr>
        <w:t>”</w:t>
      </w:r>
      <w:r>
        <w:rPr>
          <w:rFonts w:ascii="Times New Roman;serif" w:hAnsi="Times New Roman;serif"/>
          <w:b w:val="false"/>
          <w:color w:val="000000"/>
          <w:sz w:val="20"/>
        </w:rPr>
        <w:t>), Weatherford assumed each restricted stock unit of NCS (each, a “</w:t>
      </w:r>
      <w:r>
        <w:rPr>
          <w:rFonts w:ascii="Times New Roman;serif" w:hAnsi="Times New Roman;serif"/>
          <w:b w:val="false"/>
          <w:color w:val="000000"/>
          <w:sz w:val="20"/>
          <w:u w:val="single"/>
        </w:rPr>
        <w:t>NCS RSU</w:t>
      </w:r>
      <w:r>
        <w:rPr>
          <w:color w:val="000000"/>
        </w:rPr>
        <w:t>”</w:t>
      </w:r>
      <w:r>
        <w:rPr>
          <w:rFonts w:ascii="Times New Roman;serif" w:hAnsi="Times New Roman;serif"/>
          <w:b w:val="false"/>
          <w:color w:val="000000"/>
          <w:sz w:val="20"/>
        </w:rPr>
        <w:t>) and each equivalent stock unit of NCS (each, a “</w:t>
      </w:r>
      <w:r>
        <w:rPr>
          <w:rFonts w:ascii="Times New Roman;serif" w:hAnsi="Times New Roman;serif"/>
          <w:b w:val="false"/>
          <w:color w:val="000000"/>
          <w:sz w:val="20"/>
          <w:u w:val="single"/>
        </w:rPr>
        <w:t>NCS ESU</w:t>
      </w:r>
      <w:r>
        <w:rPr>
          <w:color w:val="000000"/>
        </w:rPr>
        <w:t xml:space="preserve">” </w:t>
      </w:r>
      <w:r>
        <w:rPr>
          <w:rFonts w:ascii="Times New Roman;serif" w:hAnsi="Times New Roman;serif"/>
          <w:b w:val="false"/>
          <w:color w:val="000000"/>
          <w:sz w:val="20"/>
        </w:rPr>
        <w:t>and, together with the NCS RSUs, the “</w:t>
      </w:r>
      <w:r>
        <w:rPr>
          <w:rFonts w:ascii="Times New Roman;serif" w:hAnsi="Times New Roman;serif"/>
          <w:b w:val="false"/>
          <w:color w:val="000000"/>
          <w:sz w:val="20"/>
          <w:u w:val="single"/>
        </w:rPr>
        <w:t>Assumed RSUs</w:t>
      </w:r>
      <w:r>
        <w:rPr>
          <w:color w:val="000000"/>
        </w:rPr>
        <w:t>”</w:t>
      </w:r>
      <w:r>
        <w:rPr>
          <w:rFonts w:ascii="Times New Roman;serif" w:hAnsi="Times New Roman;serif"/>
          <w:b w:val="false"/>
          <w:color w:val="000000"/>
          <w:sz w:val="20"/>
        </w:rPr>
        <w:t xml:space="preserve">) (other than each NCS RSU granted to a non-employee director of the NCS) that was outstanding immediately prior to closing, whether or not vested. Each Assumed RSU continues to have, and be subject to, the same terms and conditions, including vesting and forfeiture restrictions, provided that (a) with respect to each NCS ESU, the Max Value Cap (as defined in the applicable award agreement) ceased to apply to such NCS ESU, and (b) each Assumed RSU was converted into an award covering a number of ordinary shares, par value $0.001 per share, of Weatherford (“Ordinary Shares”) equal to the product of the number of shares of common stock of NCS subject to the Assumed RSU immediately prior to the Effective Time, multiplied by the Share Consideration Exchange Ratio (as defined in the Merger Agreement), rounded down to the nearest whole share. </w:t>
      </w:r>
    </w:p>
    <w:p>
      <w:pPr>
        <w:pStyle w:val="TextBody"/>
        <w:bidi w:val="0"/>
        <w:spacing w:lineRule="auto" w:line="288" w:before="200" w:after="283"/>
        <w:ind w:left="0" w:right="0" w:firstLine="360"/>
        <w:jc w:val="left"/>
        <w:rPr/>
      </w:pPr>
      <w:r>
        <w:rPr>
          <w:rFonts w:ascii="Times New Roman;serif" w:hAnsi="Times New Roman;serif"/>
          <w:b w:val="false"/>
          <w:color w:val="000000"/>
          <w:sz w:val="20"/>
        </w:rPr>
        <w:t>Additionally, Weatherford assumed each performance stock unit of the NCS that was outstanding immediately prior to closing, whether or not vested (each, an “</w:t>
      </w:r>
      <w:r>
        <w:rPr>
          <w:rFonts w:ascii="Times New Roman;serif" w:hAnsi="Times New Roman;serif"/>
          <w:b w:val="false"/>
          <w:color w:val="000000"/>
          <w:sz w:val="20"/>
          <w:u w:val="single"/>
        </w:rPr>
        <w:t>Assumed PSU</w:t>
      </w:r>
      <w:r>
        <w:rPr>
          <w:color w:val="000000"/>
        </w:rPr>
        <w:t>”</w:t>
      </w:r>
      <w:r>
        <w:rPr>
          <w:rFonts w:ascii="Times New Roman;serif" w:hAnsi="Times New Roman;serif"/>
          <w:b w:val="false"/>
          <w:color w:val="000000"/>
          <w:sz w:val="20"/>
        </w:rPr>
        <w:t xml:space="preserve">). Each Assumed PSU continues to have, and be subject to, the same terms and conditions, including vesting and forfeiture restrictions, except that (a) the performance goals were deemed satisfied at the greater of target and actual level of achievement as of the date of the Merger Agreement, as determined by the NCS’s board of directors, and (b) each Assumed PSU was converted into an award covering a number of Ordinary Shares equal to the product of the number of shares of common stock of NCS subject to the Assumed PSU immediately prior to the Effective Time (with performance determined in accordance with clause (a)), multiplied by the Share Consideration Exchange Ratio, rounded down to the nearest whole share.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At the Effective Time, among other things, Weatherford assumed or became successor to all of NCS’s obligations under the NCS Multistage Holdings, Inc. Amended and Restated 2017 Equity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including the share reserves remaining available for issuance with respect to outstanding and future awards under the Plan.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This Registration Statement on Form S-8 (this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is being filed by Weatherford to register (i) 104,501 aggregate Ordinary Shares issuable under the Plan pursuant to the settlement of the Assumed RSUs and (ii) 70,937 aggregate Ordinary Shares issuable under the Plan pursuant to the settlement of the Assumed PSUs.</w:t>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information specified in Item 1 and Item 2 of Part I of Form S-8 is omitted from this Registration Statement in accordance with the provisions of Rule 428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 Such documents are not required to be, and are not, filed with the U.S. Securities and Exchange Commission (the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either as part of this Registration Statement or as a prospectus or prospectus supplement, pursuant to Rule 424 under the Securities Act.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documents filed by Weatherford with the SEC are incorporated by reference into this Registration Statement:</w:t>
      </w:r>
    </w:p>
    <w:p>
      <w:pPr>
        <w:pStyle w:val="TextBody"/>
        <w:bidi w:val="0"/>
        <w:spacing w:before="0" w:after="0"/>
        <w:jc w:val="left"/>
        <w:rPr/>
      </w:pPr>
      <w:r>
        <w:rPr/>
      </w:r>
    </w:p>
    <w:p>
      <w:pPr>
        <w:pStyle w:val="TextBody"/>
        <w:bidi w:val="0"/>
        <w:spacing w:lineRule="auto" w:line="240" w:before="0" w:after="120"/>
        <w:ind w:left="0" w:right="0" w:hanging="360"/>
        <w:jc w:val="left"/>
        <w:rPr/>
      </w:pPr>
      <w:r>
        <w:rPr>
          <w:rFonts w:ascii="Times New Roman;serif" w:hAnsi="Times New Roman;serif"/>
          <w:b w:val="false"/>
          <w:color w:val="000000"/>
          <w:sz w:val="20"/>
        </w:rPr>
        <w:t>(i)</w:t>
      </w:r>
      <w:hyperlink r:id="rId2">
        <w:r>
          <w:rPr>
            <w:rStyle w:val="InternetLink"/>
            <w:rFonts w:ascii="Times New Roman;serif" w:hAnsi="Times New Roman;serif"/>
            <w:b w:val="false"/>
            <w:color w:val="0000FF"/>
            <w:sz w:val="20"/>
            <w:u w:val="single"/>
          </w:rPr>
          <w:t>Weatherford’s Annual Report on Form 10-K for the fiscal year ended December 31, 2025</w:t>
        </w:r>
      </w:hyperlink>
      <w:r>
        <w:rPr>
          <w:color w:val="000000"/>
        </w:rPr>
        <w:t xml:space="preserve"> </w:t>
      </w:r>
      <w:r>
        <w:rPr>
          <w:rFonts w:ascii="Times New Roman;serif" w:hAnsi="Times New Roman;serif"/>
          <w:b w:val="false"/>
          <w:color w:val="000000"/>
          <w:sz w:val="20"/>
        </w:rPr>
        <w:t>(the “2025 Form 10-K”), filed with the SEC on February 4, 2026;</w:t>
      </w:r>
    </w:p>
    <w:p>
      <w:pPr>
        <w:pStyle w:val="TextBody"/>
        <w:bidi w:val="0"/>
        <w:spacing w:lineRule="auto" w:line="240" w:before="0" w:after="120"/>
        <w:ind w:left="0" w:right="0" w:hanging="360"/>
        <w:jc w:val="left"/>
        <w:rPr/>
      </w:pPr>
      <w:r>
        <w:rPr>
          <w:rFonts w:ascii="Times New Roman;serif" w:hAnsi="Times New Roman;serif"/>
          <w:b w:val="false"/>
          <w:color w:val="000000"/>
          <w:sz w:val="20"/>
        </w:rPr>
        <w:t>(ii)</w:t>
      </w:r>
      <w:hyperlink r:id="rId3">
        <w:r>
          <w:rPr>
            <w:rStyle w:val="InternetLink"/>
            <w:rFonts w:ascii="Times New Roman;serif" w:hAnsi="Times New Roman;serif"/>
            <w:b w:val="false"/>
            <w:color w:val="0000FF"/>
            <w:sz w:val="20"/>
            <w:u w:val="single"/>
          </w:rPr>
          <w:t>Weatherford’s Definitive Proxy Statement on Schedule 14A, filed with the SEC on April 21, 2026</w:t>
        </w:r>
      </w:hyperlink>
      <w:r>
        <w:rPr>
          <w:color w:val="000000"/>
        </w:rPr>
        <w:t xml:space="preserve"> </w:t>
      </w:r>
      <w:r>
        <w:rPr>
          <w:rFonts w:ascii="Times New Roman;serif" w:hAnsi="Times New Roman;serif"/>
          <w:b w:val="false"/>
          <w:color w:val="000000"/>
          <w:sz w:val="20"/>
        </w:rPr>
        <w:t>(solely with respect to those portions that were incorporated by reference into the 2025 Form 10-K);</w:t>
      </w:r>
    </w:p>
    <w:p>
      <w:pPr>
        <w:pStyle w:val="TextBody"/>
        <w:bidi w:val="0"/>
        <w:spacing w:lineRule="auto" w:line="240" w:before="0" w:after="120"/>
        <w:ind w:left="0" w:right="0" w:hanging="360"/>
        <w:jc w:val="left"/>
        <w:rPr/>
      </w:pPr>
      <w:r>
        <w:rPr>
          <w:rFonts w:ascii="Times New Roman;serif" w:hAnsi="Times New Roman;serif"/>
          <w:b w:val="false"/>
          <w:color w:val="000000"/>
          <w:sz w:val="20"/>
        </w:rPr>
        <w:t>(iii)</w:t>
      </w:r>
      <w:hyperlink r:id="rId4">
        <w:r>
          <w:rPr>
            <w:rStyle w:val="InternetLink"/>
          </w:rPr>
          <w:t>Weatherford</w:t>
        </w:r>
      </w:hyperlink>
      <w:hyperlink r:id="rId5">
        <w:r>
          <w:rPr>
            <w:rStyle w:val="InternetLink"/>
          </w:rPr>
          <w:t>’</w:t>
        </w:r>
      </w:hyperlink>
      <w:hyperlink r:id="rId6">
        <w:r>
          <w:rPr>
            <w:rStyle w:val="InternetLink"/>
          </w:rPr>
          <w:t xml:space="preserve">s Definitive Proxy Statement on Schedule 14A filed with the SEC on </w:t>
        </w:r>
      </w:hyperlink>
      <w:hyperlink r:id="rId7">
        <w:r>
          <w:rPr>
            <w:rStyle w:val="InternetLink"/>
          </w:rPr>
          <w:t xml:space="preserve">July </w:t>
        </w:r>
      </w:hyperlink>
      <w:hyperlink r:id="rId8">
        <w:r>
          <w:rPr>
            <w:rStyle w:val="InternetLink"/>
          </w:rPr>
          <w:t>13</w:t>
        </w:r>
      </w:hyperlink>
      <w:hyperlink r:id="rId9">
        <w:r>
          <w:rPr>
            <w:rStyle w:val="InternetLink"/>
          </w:rPr>
          <w:t>, 2026</w:t>
        </w:r>
      </w:hyperlink>
      <w:r>
        <w:rPr>
          <w:rFonts w:ascii="Times New Roman;serif" w:hAnsi="Times New Roman;serif"/>
          <w:b w:val="false"/>
          <w:color w:val="000000"/>
          <w:sz w:val="20"/>
        </w:rPr>
        <w:t>;</w:t>
      </w:r>
    </w:p>
    <w:p>
      <w:pPr>
        <w:pStyle w:val="TextBody"/>
        <w:bidi w:val="0"/>
        <w:spacing w:lineRule="auto" w:line="240" w:before="0" w:after="120"/>
        <w:ind w:left="0" w:right="0" w:hanging="360"/>
        <w:jc w:val="left"/>
        <w:rPr/>
      </w:pPr>
      <w:r>
        <w:rPr>
          <w:rFonts w:ascii="Times New Roman;serif" w:hAnsi="Times New Roman;serif"/>
          <w:b w:val="false"/>
          <w:color w:val="000000"/>
          <w:sz w:val="20"/>
        </w:rPr>
        <w:t xml:space="preserve">(iv)Weatherford’s </w:t>
      </w:r>
      <w:hyperlink r:id="rId10">
        <w:r>
          <w:rPr>
            <w:rStyle w:val="InternetLink"/>
            <w:rFonts w:ascii="Times New Roman;serif" w:hAnsi="Times New Roman;serif"/>
            <w:b w:val="false"/>
            <w:color w:val="0000FF"/>
            <w:sz w:val="20"/>
            <w:u w:val="single"/>
          </w:rPr>
          <w:t>Quarterly Reports on Form 10-Q for the quarter ended March 31, 2026</w:t>
        </w:r>
      </w:hyperlink>
      <w:r>
        <w:rPr>
          <w:rFonts w:ascii="Times New Roman;serif" w:hAnsi="Times New Roman;serif"/>
          <w:b w:val="false"/>
          <w:color w:val="000000"/>
          <w:sz w:val="20"/>
        </w:rPr>
        <w:t>, filed with the SEC on April 22, 2026, and</w:t>
      </w:r>
      <w:hyperlink r:id="rId11">
        <w:r>
          <w:rPr>
            <w:rStyle w:val="InternetLink"/>
            <w:color w:val="0000FF"/>
            <w:u w:val="single"/>
          </w:rPr>
          <w:t xml:space="preserve"> </w:t>
        </w:r>
      </w:hyperlink>
      <w:hyperlink r:id="rId12">
        <w:r>
          <w:rPr>
            <w:rStyle w:val="InternetLink"/>
            <w:rFonts w:ascii="Times New Roman;serif" w:hAnsi="Times New Roman;serif"/>
            <w:b w:val="false"/>
            <w:color w:val="0000FF"/>
            <w:sz w:val="20"/>
            <w:u w:val="single"/>
          </w:rPr>
          <w:t>for the quarter ended June 30, 2026, filed with the SEC on July 22, 2026</w:t>
        </w:r>
      </w:hyperlink>
      <w:r>
        <w:rPr>
          <w:rFonts w:ascii="Times New Roman;serif" w:hAnsi="Times New Roman;serif"/>
          <w:b w:val="false"/>
          <w:color w:val="000000"/>
          <w:sz w:val="20"/>
        </w:rPr>
        <w:t>;</w:t>
      </w:r>
    </w:p>
    <w:p>
      <w:pPr>
        <w:pStyle w:val="TextBody"/>
        <w:bidi w:val="0"/>
        <w:spacing w:lineRule="auto" w:line="240" w:before="0" w:after="120"/>
        <w:ind w:left="0" w:right="0" w:hanging="360"/>
        <w:jc w:val="left"/>
        <w:rPr/>
      </w:pPr>
      <w:r>
        <w:rPr>
          <w:rFonts w:ascii="Times New Roman;serif" w:hAnsi="Times New Roman;serif"/>
          <w:b w:val="false"/>
          <w:color w:val="000000"/>
          <w:sz w:val="20"/>
        </w:rPr>
        <w:t xml:space="preserve">(v)Weatherford’s Current Reports on Form 8-K filed with the SEC on </w:t>
      </w:r>
      <w:hyperlink r:id="rId13">
        <w:r>
          <w:rPr>
            <w:rStyle w:val="InternetLink"/>
            <w:rFonts w:ascii="Times New Roman;serif" w:hAnsi="Times New Roman;serif"/>
            <w:b w:val="false"/>
            <w:color w:val="0000FF"/>
            <w:sz w:val="20"/>
            <w:u w:val="single"/>
          </w:rPr>
          <w:t>January 27, 2026</w:t>
        </w:r>
      </w:hyperlink>
      <w:r>
        <w:rPr>
          <w:rFonts w:ascii="Times New Roman;serif" w:hAnsi="Times New Roman;serif"/>
          <w:b w:val="false"/>
          <w:color w:val="000000"/>
          <w:sz w:val="20"/>
        </w:rPr>
        <w:t xml:space="preserve">, </w:t>
      </w:r>
      <w:hyperlink r:id="rId14">
        <w:r>
          <w:rPr>
            <w:rStyle w:val="InternetLink"/>
            <w:rFonts w:ascii="Times New Roman;serif" w:hAnsi="Times New Roman;serif"/>
            <w:b w:val="false"/>
            <w:color w:val="0000FF"/>
            <w:sz w:val="20"/>
            <w:u w:val="single"/>
          </w:rPr>
          <w:t>April 2,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June 11, 2026</w:t>
        </w:r>
      </w:hyperlink>
      <w:r>
        <w:rPr>
          <w:rFonts w:ascii="Times New Roman;serif" w:hAnsi="Times New Roman;serif"/>
          <w:b w:val="false"/>
          <w:color w:val="000000"/>
          <w:sz w:val="20"/>
        </w:rPr>
        <w:t xml:space="preserve">, and on </w:t>
      </w:r>
      <w:hyperlink r:id="rId17">
        <w:r>
          <w:rPr>
            <w:rStyle w:val="InternetLink"/>
          </w:rPr>
          <w:t>September 1, 202</w:t>
        </w:r>
      </w:hyperlink>
      <w:hyperlink r:id="rId18">
        <w:r>
          <w:rPr>
            <w:rStyle w:val="InternetLink"/>
          </w:rPr>
          <w:t>6</w:t>
        </w:r>
      </w:hyperlink>
      <w:r>
        <w:rPr>
          <w:color w:val="000000"/>
        </w:rPr>
        <w:t xml:space="preserve"> </w:t>
      </w:r>
      <w:r>
        <w:rPr>
          <w:rFonts w:ascii="Times New Roman;serif" w:hAnsi="Times New Roman;serif"/>
          <w:b w:val="false"/>
          <w:color w:val="000000"/>
          <w:sz w:val="20"/>
        </w:rPr>
        <w:t>(other than any portions thereof deemed furnished and not filed); and</w:t>
      </w:r>
    </w:p>
    <w:p>
      <w:pPr>
        <w:pStyle w:val="TextBody"/>
        <w:bidi w:val="0"/>
        <w:spacing w:lineRule="auto" w:line="240" w:before="0" w:after="120"/>
        <w:ind w:left="0" w:right="0" w:hanging="360"/>
        <w:jc w:val="left"/>
        <w:rPr/>
      </w:pPr>
      <w:r>
        <w:rPr>
          <w:rFonts w:ascii="Times New Roman;serif" w:hAnsi="Times New Roman;serif"/>
          <w:b w:val="false"/>
          <w:color w:val="000000"/>
          <w:sz w:val="20"/>
        </w:rPr>
        <w:t xml:space="preserve">(vi)The description of Weatherford’s Ordinary Shares contained in its </w:t>
      </w:r>
      <w:hyperlink r:id="rId19">
        <w:r>
          <w:rPr>
            <w:rStyle w:val="InternetLink"/>
            <w:rFonts w:ascii="Times New Roman;serif" w:hAnsi="Times New Roman;serif"/>
            <w:b w:val="false"/>
            <w:color w:val="0000FF"/>
            <w:sz w:val="20"/>
            <w:u w:val="single"/>
          </w:rPr>
          <w:t>Registration Statement on Form 10, filed with the SEC on March 29, 2021</w:t>
        </w:r>
      </w:hyperlink>
      <w:r>
        <w:rPr>
          <w:rFonts w:ascii="Times New Roman;serif" w:hAnsi="Times New Roman;serif"/>
          <w:b w:val="false"/>
          <w:color w:val="000000"/>
          <w:sz w:val="20"/>
        </w:rPr>
        <w:t xml:space="preserve">, as updated by </w:t>
      </w:r>
      <w:hyperlink r:id="rId20">
        <w:r>
          <w:rPr>
            <w:rStyle w:val="InternetLink"/>
            <w:rFonts w:ascii="Times New Roman;serif" w:hAnsi="Times New Roman;serif"/>
            <w:b w:val="false"/>
            <w:color w:val="0000FF"/>
            <w:sz w:val="20"/>
            <w:u w:val="single"/>
          </w:rPr>
          <w:t>Exhibit 4.1 to the 2025 Form 10-K</w:t>
        </w:r>
      </w:hyperlink>
      <w:r>
        <w:rPr>
          <w:rFonts w:ascii="Times New Roman;serif" w:hAnsi="Times New Roman;serif"/>
          <w:b w:val="false"/>
          <w:color w:val="000000"/>
          <w:sz w:val="20"/>
        </w:rPr>
        <w:t>, and any amendment or report filed with the SEC for the purpose of updating such description.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all documents subsequently filed by Weatherford with the SEC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Weatherford discloses under Items 2.02 or 7.01 of any Current Report on Form 8-K or 8-K/A that it may from time to time furnish to the SEC or any other document or information deemed to have been furnished and not filed with the SEC will be incorporated by reference into, or otherwise included in, this Registration Statement.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Weatherford’s memorandum and articles of association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Weatherford and Weatherford International Ltd., an indirect, wholly owned subsidiary of Weatherford,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permitted by Irish law, Weatherford has also taken out directors’ and officers’ liability insurance.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146"/>
        <w:gridCol w:w="128"/>
        <w:gridCol w:w="128"/>
        <w:gridCol w:w="128"/>
        <w:gridCol w:w="128"/>
        <w:gridCol w:w="128"/>
        <w:gridCol w:w="128"/>
        <w:gridCol w:w="128"/>
        <w:gridCol w:w="128"/>
        <w:gridCol w:w="109"/>
        <w:gridCol w:w="109"/>
        <w:gridCol w:w="109"/>
        <w:gridCol w:w="109"/>
        <w:gridCol w:w="109"/>
        <w:gridCol w:w="109"/>
        <w:gridCol w:w="109"/>
        <w:gridCol w:w="109"/>
        <w:gridCol w:w="109"/>
        <w:gridCol w:w="854"/>
        <w:gridCol w:w="854"/>
        <w:gridCol w:w="854"/>
        <w:gridCol w:w="854"/>
        <w:gridCol w:w="854"/>
        <w:gridCol w:w="854"/>
        <w:gridCol w:w="854"/>
        <w:gridCol w:w="854"/>
        <w:gridCol w:w="1222"/>
      </w:tblGrid>
      <w:tr>
        <w:trPr/>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17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E32E1"/>
                  <w:sz w:val="20"/>
                  <w:u w:val="single"/>
                </w:rPr>
                <w:t>Amended and Restated Memorandum and Articles of Association of Weatherford</w:t>
              </w:r>
            </w:hyperlink>
            <w:hyperlink r:id="rId22">
              <w:r>
                <w:rPr>
                  <w:rStyle w:val="InternetLink"/>
                  <w:color w:val="0E32E1"/>
                </w:rPr>
                <w:t xml:space="preserve"> </w:t>
              </w:r>
            </w:hyperlink>
            <w:hyperlink r:id="rId23">
              <w:r>
                <w:rPr>
                  <w:rStyle w:val="InternetLink"/>
                  <w:rFonts w:ascii="Times New Roman;serif" w:hAnsi="Times New Roman;serif"/>
                  <w:b w:val="false"/>
                  <w:color w:val="000000"/>
                  <w:sz w:val="20"/>
                </w:rPr>
                <w:t>(incorporated by reference from Exhibit 3.1 to Weatherford’s Current Report on Form 8-K filed with the SEC on December 18, 2019)</w:t>
              </w:r>
            </w:hyperlink>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51opinion-formsx8ncslega.htm">
              <w:r>
                <w:rPr>
                  <w:rStyle w:val="InternetLink"/>
                  <w:rFonts w:ascii="Times New Roman;serif" w:hAnsi="Times New Roman;serif"/>
                  <w:b w:val="false"/>
                  <w:color w:val="0E32E1"/>
                  <w:sz w:val="20"/>
                  <w:u w:val="single"/>
                </w:rPr>
                <w:t>Opinion of Matheson LLP</w:t>
              </w:r>
            </w:hyperlink>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231consentofkpmgtos-8.htm">
              <w:r>
                <w:rPr>
                  <w:rStyle w:val="InternetLink"/>
                  <w:rFonts w:ascii="Times New Roman;serif" w:hAnsi="Times New Roman;serif"/>
                  <w:b w:val="false"/>
                  <w:color w:val="0E32E1"/>
                  <w:sz w:val="20"/>
                  <w:u w:val="single"/>
                </w:rPr>
                <w:t>Consent of KPMG LLP, independent registered public accounting firm for Weatherford</w:t>
              </w:r>
            </w:hyperlink>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51opinion-formsx8ncslega.htm">
              <w:r>
                <w:rPr>
                  <w:rStyle w:val="InternetLink"/>
                  <w:rFonts w:ascii="Times New Roman;serif" w:hAnsi="Times New Roman;serif"/>
                  <w:b w:val="false"/>
                  <w:color w:val="0E32E1"/>
                  <w:sz w:val="20"/>
                  <w:u w:val="single"/>
                </w:rPr>
                <w:t xml:space="preserve">Consent of Matheson LLP </w:t>
              </w:r>
            </w:hyperlink>
            <w:hyperlink w:anchor="ex51opinion-formsx8ncslega.htm">
              <w:r>
                <w:rPr>
                  <w:rStyle w:val="InternetLink"/>
                  <w:rFonts w:ascii="Times New Roman;serif" w:hAnsi="Times New Roman;serif"/>
                  <w:b w:val="false"/>
                  <w:color w:val="000000"/>
                  <w:sz w:val="20"/>
                </w:rPr>
                <w:t xml:space="preserve">(included in Exhibit 5.1 to this Registration Statement) </w:t>
              </w:r>
            </w:hyperlink>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bb5dafe17d44a4ca20f91a1976fbaa9_40">
              <w:r>
                <w:rPr>
                  <w:rStyle w:val="InternetLink"/>
                  <w:rFonts w:ascii="Times New Roman;serif" w:hAnsi="Times New Roman;serif"/>
                  <w:b w:val="false"/>
                  <w:color w:val="0E32E1"/>
                  <w:sz w:val="20"/>
                  <w:u w:val="single"/>
                </w:rPr>
                <w:t>Power of Attorney</w:t>
              </w:r>
            </w:hyperlink>
            <w:r>
              <w:rPr>
                <w:color w:val="000000"/>
              </w:rPr>
              <w:t xml:space="preserve"> </w:t>
            </w:r>
            <w:r>
              <w:rPr>
                <w:rFonts w:ascii="Times New Roman;serif" w:hAnsi="Times New Roman;serif"/>
                <w:b w:val="false"/>
                <w:color w:val="000000"/>
                <w:sz w:val="20"/>
              </w:rPr>
              <w:t>(included on the signature page hereto)</w:t>
            </w:r>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1ncsm2017equityincenti.htm">
              <w:r>
                <w:rPr>
                  <w:rStyle w:val="InternetLink"/>
                  <w:rFonts w:ascii="Times New Roman;serif" w:hAnsi="Times New Roman;serif"/>
                  <w:b w:val="false"/>
                  <w:color w:val="000080"/>
                  <w:sz w:val="20"/>
                  <w:u w:val="single"/>
                </w:rPr>
                <w:t xml:space="preserve">NCS </w:t>
              </w:r>
            </w:hyperlink>
            <w:hyperlink w:anchor="ex991ncsm2017equityincenti.htm">
              <w:r>
                <w:rPr>
                  <w:rStyle w:val="InternetLink"/>
                  <w:rFonts w:ascii="Times New Roman;serif" w:hAnsi="Times New Roman;serif"/>
                  <w:b w:val="false"/>
                  <w:color w:val="000080"/>
                  <w:sz w:val="20"/>
                  <w:u w:val="single"/>
                </w:rPr>
                <w:t>Multistage Holdings, Inc. Amended and Restated 2017 Equity Incentive Plan</w:t>
              </w:r>
            </w:hyperlink>
          </w:p>
        </w:tc>
      </w:tr>
      <w:tr>
        <w:trPr/>
        <w:tc>
          <w:tcPr>
            <w:tcW w:w="11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filingfeess.htm">
              <w:r>
                <w:rPr>
                  <w:rStyle w:val="InternetLink"/>
                  <w:rFonts w:ascii="Times New Roman;serif" w:hAnsi="Times New Roman;serif"/>
                  <w:b w:val="false"/>
                  <w:color w:val="0E32E1"/>
                  <w:sz w:val="20"/>
                  <w:u w:val="single"/>
                </w:rPr>
                <w:t>Filing Fee Table</w:t>
              </w:r>
            </w:hyperlink>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table in the effective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pPr>
      <w:r>
        <w:rPr>
          <w:rFonts w:ascii="Times New Roman;serif" w:hAnsi="Times New Roman;serif"/>
          <w:b w:val="false"/>
          <w:i/>
          <w:color w:val="000000"/>
          <w:sz w:val="20"/>
        </w:rPr>
        <w:t>provided, however,</w:t>
      </w:r>
      <w:r>
        <w:rPr>
          <w:color w:val="000000"/>
        </w:rPr>
        <w:t> </w:t>
      </w:r>
      <w:r>
        <w:rPr>
          <w:rFonts w:ascii="Times New Roman;serif" w:hAnsi="Times New Roman;serif"/>
          <w:b w:val="false"/>
          <w:color w:val="000000"/>
          <w:sz w:val="20"/>
        </w:rPr>
        <w:t>that paragraphs (a)(i) and (a)(ii) do not apply if the information required to be included in a post-effective amendment by those paragraphs is contained in reports filed with or furnished to the SEC by the undersigned registrant pursuant to Section 13 or Section 15(d) of the Exchange Act that are incorporated by reference in the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 Houston, Texas, on September 1, 2026.</w:t>
      </w:r>
    </w:p>
    <w:tbl>
      <w:tblPr>
        <w:tblW w:w="53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6"/>
        <w:gridCol w:w="126"/>
        <w:gridCol w:w="126"/>
        <w:gridCol w:w="126"/>
        <w:gridCol w:w="126"/>
        <w:gridCol w:w="126"/>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148"/>
        <w:gridCol w:w="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24"/>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14"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1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w:t>
              <w:br/>
              <w:t>and Chief Compliance Officer</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333"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each of the undersigned officers and directors of the registrant has made, constituted, and appointed, and does hereby make, constitute, and appoint, Scott C. Weatherholt and Beth Ann Dranguet, and each of them acting individually, as his or her true and lawful attorneys-in-fact and agents, each with full power to act alone, with full powers of substitution and resubstitution, for him/her and in his/her name, place and stead, in any and all capacities, to sign any and all amendments to this Registration Statement (including any post-effective amendments), and to file the same, with all exhibits thereto and other documents in connection therewith, with the SEC, granting unto said attorneys-in-fact and agents full power and authority to do and perform each and every act and thing requisite and necessary to be done in connection therewith, as fully for all intents and purposes as he/she might or could do in person, hereby ratifying and confirming all that said attorneys-in-fact and agents, or any of them or their substitute or resubstitute, may lawfully do or cause to be done by virtue hereof.</w:t>
      </w:r>
    </w:p>
    <w:p>
      <w:pPr>
        <w:pStyle w:val="TextBody"/>
        <w:bidi w:val="0"/>
        <w:spacing w:before="0" w:after="0"/>
        <w:ind w:left="0" w:right="0" w:firstLine="400"/>
        <w:jc w:val="left"/>
        <w:rPr/>
      </w:pPr>
      <w:r>
        <w:rPr/>
      </w:r>
    </w:p>
    <w:p>
      <w:pPr>
        <w:pStyle w:val="TextBody"/>
        <w:bidi w:val="0"/>
        <w:spacing w:lineRule="auto" w:line="333"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tbl>
      <w:tblPr>
        <w:tblW w:w="9201" w:type="dxa"/>
        <w:jc w:val="left"/>
        <w:tblInd w:w="0" w:type="dxa"/>
        <w:tblLayout w:type="fixed"/>
        <w:tblCellMar>
          <w:top w:w="28" w:type="dxa"/>
          <w:left w:w="28" w:type="dxa"/>
          <w:bottom w:w="28" w:type="dxa"/>
          <w:right w:w="28" w:type="dxa"/>
        </w:tblCellMar>
      </w:tblPr>
      <w:tblGrid>
        <w:gridCol w:w="902"/>
        <w:gridCol w:w="792"/>
        <w:gridCol w:w="795"/>
        <w:gridCol w:w="109"/>
        <w:gridCol w:w="109"/>
        <w:gridCol w:w="109"/>
        <w:gridCol w:w="1458"/>
        <w:gridCol w:w="1458"/>
        <w:gridCol w:w="1478"/>
        <w:gridCol w:w="109"/>
        <w:gridCol w:w="109"/>
        <w:gridCol w:w="109"/>
        <w:gridCol w:w="486"/>
        <w:gridCol w:w="486"/>
        <w:gridCol w:w="692"/>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President, Chief Executive Officer and Director</w:t>
              <w:b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Vice President and Chief Financial Officer</w:t>
              <w:b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Desmond J.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Vice President and Chief Accounting Officer</w:t>
              <w:b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Desmond J.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Charles M. Sledge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 Sledge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Steven Beringhause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Beringhause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Benjamin C. Duster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Duster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Neal P.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P.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Jacqueline Mutschler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Jacqueline Mutschler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 OF AUTHORIZED REPRESENTATIVE OF THE REGISTRANT</w:t>
      </w:r>
    </w:p>
    <w:tbl>
      <w:tblPr>
        <w:tblW w:w="6372" w:type="dxa"/>
        <w:jc w:val="left"/>
        <w:tblInd w:w="0" w:type="dxa"/>
        <w:tblLayout w:type="fixed"/>
        <w:tblCellMar>
          <w:top w:w="28" w:type="dxa"/>
          <w:left w:w="28" w:type="dxa"/>
          <w:bottom w:w="28" w:type="dxa"/>
          <w:right w:w="28" w:type="dxa"/>
        </w:tblCellMar>
      </w:tblPr>
      <w:tblGrid>
        <w:gridCol w:w="744"/>
        <w:gridCol w:w="653"/>
        <w:gridCol w:w="657"/>
        <w:gridCol w:w="884"/>
        <w:gridCol w:w="884"/>
        <w:gridCol w:w="886"/>
        <w:gridCol w:w="486"/>
        <w:gridCol w:w="486"/>
        <w:gridCol w:w="692"/>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c>
          <w:tcPr>
            <w:tcW w:w="26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U.S. Representative</w:t>
            </w:r>
          </w:p>
        </w:tc>
        <w:tc>
          <w:tcPr>
            <w:tcW w:w="16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c>
          <w:tcPr>
            <w:tcW w:w="2654" w:type="dxa"/>
            <w:gridSpan w:val="3"/>
            <w:vMerge w:val="continue"/>
            <w:tcBorders/>
            <w:tcMar>
              <w:top w:w="0" w:type="dxa"/>
              <w:left w:w="0" w:type="dxa"/>
              <w:bottom w:w="0" w:type="dxa"/>
              <w:right w:w="0" w:type="dxa"/>
            </w:tcMar>
            <w:vAlign w:val="center"/>
          </w:tcPr>
          <w:p>
            <w:pPr>
              <w:pStyle w:val="Normal"/>
              <w:bidi w:val="0"/>
              <w:jc w:val="left"/>
              <w:rPr/>
            </w:pPr>
            <w:r>
              <w:rPr/>
            </w:r>
          </w:p>
        </w:tc>
        <w:tc>
          <w:tcPr>
            <w:tcW w:w="16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s.htm"/>
      <w:bookmarkStart w:id="1" w:name="ksexfilingfeess"/>
      <w:bookmarkStart w:id="2" w:name="exfilingfeess.htm"/>
      <w:bookmarkStart w:id="3" w:name="ksexfilingfeess"/>
      <w:bookmarkEnd w:id="2"/>
      <w:bookmarkEnd w:id="3"/>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Weatherford International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33"/>
        <w:gridCol w:w="1294"/>
        <w:gridCol w:w="1203"/>
        <w:gridCol w:w="1218"/>
        <w:gridCol w:w="1704"/>
        <w:gridCol w:w="1127"/>
        <w:gridCol w:w="1427"/>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33" w:type="dxa"/>
            <w:tcBorders/>
            <w:shd w:fill="E7E7E2" w:val="clear"/>
            <w:vAlign w:val="center"/>
          </w:tcPr>
          <w:p>
            <w:pPr>
              <w:pStyle w:val="TableContents"/>
              <w:bidi w:val="0"/>
              <w:spacing w:before="0" w:after="283"/>
              <w:jc w:val="left"/>
              <w:rPr/>
            </w:pPr>
            <w:r>
              <w:rPr/>
              <w:t xml:space="preserve">Ordinary shares, nominal value of $0.001 per share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175,438 </w:t>
            </w:r>
          </w:p>
        </w:tc>
        <w:tc>
          <w:tcPr>
            <w:tcW w:w="1218" w:type="dxa"/>
            <w:tcBorders/>
            <w:shd w:fill="E7E7E2" w:val="clear"/>
            <w:vAlign w:val="center"/>
          </w:tcPr>
          <w:p>
            <w:pPr>
              <w:pStyle w:val="TableContents"/>
              <w:bidi w:val="0"/>
              <w:spacing w:before="0" w:after="283"/>
              <w:jc w:val="right"/>
              <w:rPr/>
            </w:pPr>
            <w:r>
              <w:rPr/>
              <w:t xml:space="preserve">$ 90.245 </w:t>
            </w:r>
          </w:p>
        </w:tc>
        <w:tc>
          <w:tcPr>
            <w:tcW w:w="1704" w:type="dxa"/>
            <w:tcBorders/>
            <w:shd w:fill="E7E7E2" w:val="clear"/>
            <w:vAlign w:val="center"/>
          </w:tcPr>
          <w:p>
            <w:pPr>
              <w:pStyle w:val="TableContents"/>
              <w:bidi w:val="0"/>
              <w:spacing w:before="0" w:after="283"/>
              <w:jc w:val="right"/>
              <w:rPr/>
            </w:pPr>
            <w:r>
              <w:rPr/>
              <w:t xml:space="preserve">$ 15,832,402.31 </w:t>
            </w:r>
          </w:p>
        </w:tc>
        <w:tc>
          <w:tcPr>
            <w:tcW w:w="1127"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$ 2,186.45 </w:t>
            </w:r>
          </w:p>
        </w:tc>
      </w:tr>
      <w:tr>
        <w:trPr/>
        <w:tc>
          <w:tcPr>
            <w:tcW w:w="4729" w:type="dxa"/>
            <w:gridSpan w:val="5"/>
            <w:tcBorders/>
            <w:vAlign w:val="center"/>
          </w:tcPr>
          <w:p>
            <w:pPr>
              <w:pStyle w:val="TableContents"/>
              <w:bidi w:val="0"/>
              <w:spacing w:before="0" w:after="0"/>
              <w:ind w:left="0" w:right="0" w:hanging="0"/>
              <w:jc w:val="right"/>
              <w:rPr/>
            </w:pPr>
            <w:r>
              <w:rPr/>
              <w:t>Total Offering Amounts:</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0"/>
              <w:ind w:left="0" w:right="0" w:hanging="0"/>
              <w:jc w:val="right"/>
              <w:rPr/>
            </w:pPr>
            <w:bookmarkStart w:id="4" w:name="MaxAggtOfferingPrice"/>
            <w:bookmarkEnd w:id="4"/>
            <w:r>
              <w:rPr/>
              <w:t xml:space="preserve">$ 15,832,402.31 </w:t>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$ 2,186.45 </w:t>
            </w:r>
          </w:p>
        </w:tc>
      </w:tr>
      <w:tr>
        <w:trPr/>
        <w:tc>
          <w:tcPr>
            <w:tcW w:w="4729" w:type="dxa"/>
            <w:gridSpan w:val="5"/>
            <w:tcBorders/>
            <w:vAlign w:val="center"/>
          </w:tcPr>
          <w:p>
            <w:pPr>
              <w:pStyle w:val="TableContents"/>
              <w:bidi w:val="0"/>
              <w:spacing w:before="0" w:after="0"/>
              <w:ind w:left="0" w:right="0" w:hanging="0"/>
              <w:jc w:val="right"/>
              <w:rPr/>
            </w:pPr>
            <w:r>
              <w:rPr/>
              <w:t xml:space="preserve">Total Fee Offsets: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6" w:name="TotalOffsetAmt"/>
            <w:bookmarkEnd w:id="6"/>
            <w:r>
              <w:rPr/>
              <w:t xml:space="preserve">$ 992.87 </w:t>
            </w:r>
          </w:p>
        </w:tc>
      </w:tr>
      <w:tr>
        <w:trPr/>
        <w:tc>
          <w:tcPr>
            <w:tcW w:w="4729" w:type="dxa"/>
            <w:gridSpan w:val="5"/>
            <w:tcBorders/>
            <w:vAlign w:val="center"/>
          </w:tcPr>
          <w:p>
            <w:pPr>
              <w:pStyle w:val="TableContents"/>
              <w:bidi w:val="0"/>
              <w:spacing w:before="0" w:after="0"/>
              <w:ind w:left="0" w:right="0" w:hanging="0"/>
              <w:jc w:val="right"/>
              <w:rPr/>
            </w:pPr>
            <w:r>
              <w:rPr/>
              <w:t xml:space="preserve">Net Fee Due: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7" w:name="NetFeeAmt"/>
            <w:bookmarkEnd w:id="7"/>
            <w:r>
              <w:rPr/>
              <w:t xml:space="preserve">$ 1,193.58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On September 1, 2026, Weatherford International plc ("Weatherford") completed its acquisition of NCS Multistage Holdings, Inc. ("NCS"). The "Amount Registered" represents the aggregate number of the registrant's ordinary shares which may be issuable upon the grant, vesting or settlement of certain NCS equity awards that were assumed by Weatherford in connection with its acquisition of NCS. Pursuant to Rule 416 under the Securities Act of 1933, such number includes an additional indeterminate number of additional ordinary shares that may become issuable by reason of any share split, share dividend, recapitalization, or similar capital adjustment. The "Proposed Maximum Offering Price Per Unit" and "Maximum Aggregate Offering Price" have been estimated solely for purposes of calculating the amount of the registration fee pursuant to Rues 457(c) and 457(h) under the Securities Act, on the basis of the average of the high and low prices for an ordinary share as reported by the Nasdaq Global Select Market on August 27,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482"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961"/>
        <w:gridCol w:w="1186"/>
        <w:gridCol w:w="1186"/>
        <w:gridCol w:w="1186"/>
        <w:gridCol w:w="1546"/>
        <w:gridCol w:w="9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54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9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48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NCS Multistage Holdings, Inc. </w:t>
            </w:r>
          </w:p>
        </w:tc>
        <w:tc>
          <w:tcPr>
            <w:tcW w:w="691" w:type="dxa"/>
            <w:tcBorders/>
            <w:shd w:fill="E7E7E2" w:val="clear"/>
            <w:vAlign w:val="center"/>
          </w:tcPr>
          <w:p>
            <w:pPr>
              <w:pStyle w:val="TableContents"/>
              <w:bidi w:val="0"/>
              <w:spacing w:before="0" w:after="283"/>
              <w:jc w:val="left"/>
              <w:rPr/>
            </w:pPr>
            <w:r>
              <w:rPr/>
              <w:t xml:space="preserve">S-8 </w:t>
            </w:r>
          </w:p>
        </w:tc>
        <w:tc>
          <w:tcPr>
            <w:tcW w:w="961" w:type="dxa"/>
            <w:tcBorders/>
            <w:shd w:fill="E7E7E2" w:val="clear"/>
            <w:vAlign w:val="center"/>
          </w:tcPr>
          <w:p>
            <w:pPr>
              <w:pStyle w:val="TableContents"/>
              <w:bidi w:val="0"/>
              <w:spacing w:before="0" w:after="283"/>
              <w:jc w:val="left"/>
              <w:rPr/>
            </w:pPr>
            <w:r>
              <w:rPr/>
              <w:t xml:space="preserve">333-289196 </w:t>
            </w:r>
          </w:p>
        </w:tc>
        <w:tc>
          <w:tcPr>
            <w:tcW w:w="706" w:type="dxa"/>
            <w:tcBorders/>
            <w:shd w:fill="E7E7E2" w:val="clear"/>
            <w:vAlign w:val="center"/>
          </w:tcPr>
          <w:p>
            <w:pPr>
              <w:pStyle w:val="TableContents"/>
              <w:bidi w:val="0"/>
              <w:spacing w:before="0" w:after="283"/>
              <w:jc w:val="left"/>
              <w:rPr/>
            </w:pPr>
            <w:r>
              <w:rPr/>
              <w:t xml:space="preserve">08/01/2025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right"/>
              <w:rPr/>
            </w:pPr>
            <w:r>
              <w:rPr/>
              <w:t xml:space="preserve">$ 992.87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$0.01 per share </w:t>
            </w:r>
          </w:p>
        </w:tc>
        <w:tc>
          <w:tcPr>
            <w:tcW w:w="1186" w:type="dxa"/>
            <w:tcBorders/>
            <w:shd w:fill="E7E7E2" w:val="clear"/>
            <w:vAlign w:val="center"/>
          </w:tcPr>
          <w:p>
            <w:pPr>
              <w:pStyle w:val="TableContents"/>
              <w:bidi w:val="0"/>
              <w:spacing w:before="0" w:after="283"/>
              <w:jc w:val="right"/>
              <w:rPr/>
            </w:pPr>
            <w:r>
              <w:rPr/>
              <w:t xml:space="preserve">212,836 </w:t>
            </w:r>
          </w:p>
        </w:tc>
        <w:tc>
          <w:tcPr>
            <w:tcW w:w="1546" w:type="dxa"/>
            <w:tcBorders/>
            <w:shd w:fill="E7E7E2" w:val="clear"/>
            <w:vAlign w:val="center"/>
          </w:tcPr>
          <w:p>
            <w:pPr>
              <w:pStyle w:val="TableContents"/>
              <w:bidi w:val="0"/>
              <w:spacing w:before="0" w:after="283"/>
              <w:jc w:val="right"/>
              <w:rPr/>
            </w:pPr>
            <w:r>
              <w:rPr/>
              <w:t xml:space="preserve">$ 6,485,112.92 </w:t>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NCS Multistage Holdings, Inc. </w:t>
            </w:r>
          </w:p>
        </w:tc>
        <w:tc>
          <w:tcPr>
            <w:tcW w:w="691" w:type="dxa"/>
            <w:tcBorders/>
            <w:shd w:fill="E7E7E2" w:val="clear"/>
            <w:vAlign w:val="center"/>
          </w:tcPr>
          <w:p>
            <w:pPr>
              <w:pStyle w:val="TableContents"/>
              <w:bidi w:val="0"/>
              <w:spacing w:before="0" w:after="283"/>
              <w:jc w:val="left"/>
              <w:rPr/>
            </w:pPr>
            <w:r>
              <w:rPr/>
              <w:t xml:space="preserve">S-8 </w:t>
            </w:r>
          </w:p>
        </w:tc>
        <w:tc>
          <w:tcPr>
            <w:tcW w:w="961" w:type="dxa"/>
            <w:tcBorders/>
            <w:shd w:fill="E7E7E2" w:val="clear"/>
            <w:vAlign w:val="center"/>
          </w:tcPr>
          <w:p>
            <w:pPr>
              <w:pStyle w:val="TableContents"/>
              <w:bidi w:val="0"/>
              <w:spacing w:before="0" w:after="283"/>
              <w:jc w:val="left"/>
              <w:rPr/>
            </w:pPr>
            <w:r>
              <w:rPr/>
              <w:t xml:space="preserve">333-289196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08/01/2025 </w:t>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right"/>
              <w:rPr/>
            </w:pPr>
            <w:r>
              <w:rPr/>
              <w:t xml:space="preserve">$ 992.87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On August 1, 2025, NCS registered 250,000 shares of its common stock on a registration statement on Form S-8 (file No. 333-289196) to be issuable under the NCS Multistage Holdings, Inc. Amended and Restated 2017 Equity Incentive Plan (the "NCS Plan"). A registration fee of $1,116.24 was paid in connection with the filing. Of the 250,000 shares registered, 212,836 shares were not issued pursuant to the NCS Plan. On September 1, 2026, in connection with Weatherford's acquisition of NCS and prior to the filing of this registration statement, NCS filed a post-effective amendment to its Form S-8 removing from registration all registered but unsold securities. Pursuant to Rule 457(p), the unused portion of the NCS registration fee previously paid which may be used by Weatherford as an offset against this filing is $992.87.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drawing>
          <wp:inline distT="0" distB="0" distL="0" distR="0">
            <wp:extent cx="3200400" cy="12858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4"/>
                    <a:stretch>
                      <a:fillRect/>
                    </a:stretch>
                  </pic:blipFill>
                  <pic:spPr bwMode="auto">
                    <a:xfrm>
                      <a:off x="0" y="0"/>
                      <a:ext cx="3200400" cy="12858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700" w:type="dxa"/>
        <w:jc w:val="left"/>
        <w:tblInd w:w="0" w:type="dxa"/>
        <w:tblLayout w:type="fixed"/>
        <w:tblCellMar>
          <w:top w:w="28" w:type="dxa"/>
          <w:left w:w="28" w:type="dxa"/>
          <w:bottom w:w="28" w:type="dxa"/>
          <w:right w:w="28" w:type="dxa"/>
        </w:tblCellMar>
      </w:tblPr>
      <w:tblGrid>
        <w:gridCol w:w="864"/>
        <w:gridCol w:w="759"/>
        <w:gridCol w:w="1077"/>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Weatherford International plc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 Sir John Rogerson's Quay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Dublin 2</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D02R296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Ireland</w:t>
            </w:r>
          </w:p>
        </w:tc>
      </w:tr>
    </w:tbl>
    <w:p>
      <w:pPr>
        <w:pStyle w:val="TextBody"/>
        <w:bidi w:val="0"/>
        <w:spacing w:before="0" w:after="0"/>
        <w:jc w:val="both"/>
        <w:rPr/>
      </w:pPr>
      <w:r>
        <w:rPr/>
      </w:r>
    </w:p>
    <w:tbl>
      <w:tblPr>
        <w:tblW w:w="3942" w:type="dxa"/>
        <w:jc w:val="left"/>
        <w:tblInd w:w="0" w:type="dxa"/>
        <w:tblLayout w:type="fixed"/>
        <w:tblCellMar>
          <w:top w:w="28" w:type="dxa"/>
          <w:left w:w="28" w:type="dxa"/>
          <w:bottom w:w="28" w:type="dxa"/>
          <w:right w:w="28" w:type="dxa"/>
        </w:tblCellMar>
      </w:tblPr>
      <w:tblGrid>
        <w:gridCol w:w="656"/>
        <w:gridCol w:w="575"/>
        <w:gridCol w:w="584"/>
        <w:gridCol w:w="109"/>
        <w:gridCol w:w="109"/>
        <w:gridCol w:w="109"/>
        <w:gridCol w:w="527"/>
        <w:gridCol w:w="527"/>
        <w:gridCol w:w="746"/>
      </w:tblGrid>
      <w:tr>
        <w:trPr/>
        <w:tc>
          <w:tcPr>
            <w:tcW w:w="6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Our 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1 September 2026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FB/AON/661725-69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Dear Addressee</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Registration Statement on Form S-8 of Weatherford International plc</w:t>
      </w:r>
    </w:p>
    <w:p>
      <w:pPr>
        <w:pStyle w:val="TextBody"/>
        <w:bidi w:val="0"/>
        <w:spacing w:before="0" w:after="0"/>
        <w:jc w:val="both"/>
        <w:rPr/>
      </w:pPr>
      <w:r>
        <w:rPr/>
      </w:r>
    </w:p>
    <w:p>
      <w:pPr>
        <w:pStyle w:val="TextBody"/>
        <w:bidi w:val="0"/>
        <w:spacing w:lineRule="auto" w:line="333" w:before="0" w:after="240"/>
        <w:ind w:left="0" w:right="0" w:hanging="709"/>
        <w:jc w:val="both"/>
        <w:rPr/>
      </w:pPr>
      <w:r>
        <w:rPr>
          <w:rFonts w:ascii="Arial;sans-serif" w:hAnsi="Arial;sans-serif"/>
          <w:b w:val="false"/>
          <w:color w:val="000000"/>
          <w:sz w:val="22"/>
        </w:rPr>
        <w:t>1</w:t>
      </w:r>
      <w:r>
        <w:rPr>
          <w:rFonts w:ascii="Arial;sans-serif" w:hAnsi="Arial;sans-serif"/>
          <w:b/>
          <w:color w:val="000000"/>
          <w:sz w:val="22"/>
        </w:rPr>
        <w:t>Introduction</w:t>
      </w:r>
    </w:p>
    <w:p>
      <w:pPr>
        <w:pStyle w:val="TextBody"/>
        <w:bidi w:val="0"/>
        <w:spacing w:lineRule="auto" w:line="333" w:before="0" w:after="240"/>
        <w:jc w:val="both"/>
        <w:rPr/>
      </w:pPr>
      <w:r>
        <w:rPr>
          <w:rFonts w:ascii="Arial;sans-serif" w:hAnsi="Arial;sans-serif"/>
          <w:b w:val="false"/>
          <w:color w:val="000000"/>
          <w:sz w:val="20"/>
        </w:rPr>
        <w:t>We act as legal advisers to Weatherford International plc, a public limited company incorporated under the laws of Ireland with company number 540406 (the “</w:t>
      </w:r>
      <w:r>
        <w:rPr>
          <w:rFonts w:ascii="Arial;sans-serif" w:hAnsi="Arial;sans-serif"/>
          <w:b/>
          <w:color w:val="000000"/>
          <w:sz w:val="20"/>
        </w:rPr>
        <w:t>Company</w:t>
      </w:r>
      <w:r>
        <w:rPr>
          <w:color w:val="000000"/>
        </w:rPr>
        <w:t>”</w:t>
      </w:r>
      <w:r>
        <w:rPr>
          <w:rFonts w:ascii="Arial;sans-serif" w:hAnsi="Arial;sans-serif"/>
          <w:b w:val="false"/>
          <w:color w:val="000000"/>
          <w:sz w:val="20"/>
        </w:rPr>
        <w:t>), which has asked us to give this Opinion as to certain matters of Irish law in connection with the filing by the Company, on the date hereof, of a registration statement on Form S-8 (the “</w:t>
      </w:r>
      <w:r>
        <w:rPr>
          <w:rFonts w:ascii="Arial;sans-serif" w:hAnsi="Arial;sans-serif"/>
          <w:b/>
          <w:color w:val="000000"/>
          <w:sz w:val="20"/>
        </w:rPr>
        <w:t>Registration Statement</w:t>
      </w:r>
      <w:r>
        <w:rPr>
          <w:color w:val="000000"/>
        </w:rPr>
        <w:t>”</w:t>
      </w:r>
      <w:r>
        <w:rPr>
          <w:rFonts w:ascii="Arial;sans-serif" w:hAnsi="Arial;sans-serif"/>
          <w:b w:val="false"/>
          <w:color w:val="000000"/>
          <w:sz w:val="20"/>
        </w:rPr>
        <w:t>) with the U.S. Securities and Exchange Commission (the “</w:t>
      </w:r>
      <w:r>
        <w:rPr>
          <w:rFonts w:ascii="Arial;sans-serif" w:hAnsi="Arial;sans-serif"/>
          <w:b/>
          <w:color w:val="000000"/>
          <w:sz w:val="20"/>
        </w:rPr>
        <w:t>Commission</w:t>
      </w:r>
      <w:r>
        <w:rPr>
          <w:color w:val="000000"/>
        </w:rPr>
        <w:t>”</w:t>
      </w:r>
      <w:r>
        <w:rPr>
          <w:rFonts w:ascii="Arial;sans-serif" w:hAnsi="Arial;sans-serif"/>
          <w:b w:val="false"/>
          <w:color w:val="000000"/>
          <w:sz w:val="20"/>
        </w:rPr>
        <w:t>) under the U.S. Securities Act of 1933, as amended (the “</w:t>
      </w:r>
      <w:r>
        <w:rPr>
          <w:rFonts w:ascii="Arial;sans-serif" w:hAnsi="Arial;sans-serif"/>
          <w:b/>
          <w:color w:val="000000"/>
          <w:sz w:val="20"/>
        </w:rPr>
        <w:t>Securities Act</w:t>
      </w:r>
      <w:r>
        <w:rPr>
          <w:color w:val="000000"/>
        </w:rPr>
        <w:t>”</w:t>
      </w:r>
      <w:r>
        <w:rPr>
          <w:rFonts w:ascii="Arial;sans-serif" w:hAnsi="Arial;sans-serif"/>
          <w:b w:val="false"/>
          <w:color w:val="000000"/>
          <w:sz w:val="20"/>
        </w:rPr>
        <w:t>).</w:t>
      </w:r>
    </w:p>
    <w:p>
      <w:pPr>
        <w:pStyle w:val="TextBody"/>
        <w:bidi w:val="0"/>
        <w:spacing w:lineRule="auto" w:line="333" w:before="0" w:after="240"/>
        <w:jc w:val="both"/>
        <w:rPr/>
      </w:pPr>
      <w:r>
        <w:rPr>
          <w:rFonts w:ascii="Arial;sans-serif" w:hAnsi="Arial;sans-serif"/>
          <w:b w:val="false"/>
          <w:color w:val="000000"/>
          <w:sz w:val="20"/>
        </w:rPr>
        <w:t>Pursuant to the Registration Statement, the Company proposes to register (i) 104,501 ordinary shares of US$0.001 each (nominal value) in the capital of the Company issuable under the Assumed Plan (as defined below) pursuant to the vesting of Assumed RSUs (as defined in the Merger Agreement (as defined below)) and (ii) 70,937 ordinary shares of US$0.001 each (nominal value) in the capital of the Company issuable under the Assumed Plan pursuant to the vesting of Assumed PSUs (as defined in the Merger Agreement) (the Assumed RSUs and the Assumed PSUs together being, the “</w:t>
      </w:r>
      <w:r>
        <w:rPr>
          <w:rFonts w:ascii="Arial;sans-serif" w:hAnsi="Arial;sans-serif"/>
          <w:b/>
          <w:color w:val="000000"/>
          <w:sz w:val="20"/>
        </w:rPr>
        <w:t>Assumed Awards</w:t>
      </w:r>
      <w:r>
        <w:rPr>
          <w:color w:val="000000"/>
        </w:rPr>
        <w:t>”</w:t>
      </w:r>
      <w:r>
        <w:rPr>
          <w:rFonts w:ascii="Arial;sans-serif" w:hAnsi="Arial;sans-serif"/>
          <w:b w:val="false"/>
          <w:color w:val="000000"/>
          <w:sz w:val="20"/>
        </w:rPr>
        <w:t>, and such ordinary shares issuable thereunder being, the “</w:t>
      </w:r>
      <w:r>
        <w:rPr>
          <w:rFonts w:ascii="Arial;sans-serif" w:hAnsi="Arial;sans-serif"/>
          <w:b/>
          <w:color w:val="000000"/>
          <w:sz w:val="20"/>
        </w:rPr>
        <w:t>Assumed</w:t>
      </w:r>
      <w:r>
        <w:rPr>
          <w:color w:val="000000"/>
        </w:rPr>
        <w:t xml:space="preserve"> </w:t>
      </w:r>
      <w:r>
        <w:rPr>
          <w:rFonts w:ascii="Arial;sans-serif" w:hAnsi="Arial;sans-serif"/>
          <w:b/>
          <w:color w:val="000000"/>
          <w:sz w:val="20"/>
        </w:rPr>
        <w:t>Plan Shares</w:t>
      </w:r>
      <w:r>
        <w:rPr>
          <w:color w:val="000000"/>
        </w:rPr>
        <w:t>”</w:t>
      </w:r>
      <w:r>
        <w:rPr>
          <w:rFonts w:ascii="Arial;sans-serif" w:hAnsi="Arial;sans-serif"/>
          <w:b w:val="false"/>
          <w:color w:val="000000"/>
          <w:sz w:val="20"/>
        </w:rPr>
        <w:t>).</w:t>
      </w:r>
    </w:p>
    <w:p>
      <w:pPr>
        <w:pStyle w:val="TextBody"/>
        <w:bidi w:val="0"/>
        <w:spacing w:lineRule="auto" w:line="333" w:before="0" w:after="240"/>
        <w:jc w:val="both"/>
        <w:rPr/>
      </w:pPr>
      <w:r>
        <w:rPr>
          <w:rFonts w:ascii="Arial;sans-serif" w:hAnsi="Arial;sans-serif"/>
          <w:b w:val="false"/>
          <w:color w:val="000000"/>
          <w:sz w:val="20"/>
        </w:rPr>
        <w:t>In this Opinion, the “</w:t>
      </w:r>
      <w:r>
        <w:rPr>
          <w:rFonts w:ascii="Arial;sans-serif" w:hAnsi="Arial;sans-serif"/>
          <w:b/>
          <w:color w:val="000000"/>
          <w:sz w:val="20"/>
        </w:rPr>
        <w:t>Merger Agreement</w:t>
      </w:r>
      <w:r>
        <w:rPr>
          <w:color w:val="000000"/>
        </w:rPr>
        <w:t xml:space="preserve">” </w:t>
      </w:r>
      <w:r>
        <w:rPr>
          <w:rFonts w:ascii="Arial;sans-serif" w:hAnsi="Arial;sans-serif"/>
          <w:b w:val="false"/>
          <w:color w:val="000000"/>
          <w:sz w:val="20"/>
        </w:rPr>
        <w:t>means the State of Delaware law governed Agreement and Plan of Merger dated 31 May 2026 made by and among the Company, Trinity Bell Sub, Inc. (“</w:t>
      </w:r>
      <w:r>
        <w:rPr>
          <w:rFonts w:ascii="Arial;sans-serif" w:hAnsi="Arial;sans-serif"/>
          <w:b/>
          <w:color w:val="000000"/>
          <w:sz w:val="20"/>
        </w:rPr>
        <w:t>Merger Sub</w:t>
      </w:r>
      <w:r>
        <w:rPr>
          <w:color w:val="000000"/>
        </w:rPr>
        <w:t>”</w:t>
      </w:r>
      <w:r>
        <w:rPr>
          <w:rFonts w:ascii="Arial;sans-serif" w:hAnsi="Arial;sans-serif"/>
          <w:b w:val="false"/>
          <w:color w:val="000000"/>
          <w:sz w:val="20"/>
        </w:rPr>
        <w:t>) and NCS Multistage Holdings, Inc. (“</w:t>
      </w:r>
      <w:r>
        <w:rPr>
          <w:rFonts w:ascii="Arial;sans-serif" w:hAnsi="Arial;sans-serif"/>
          <w:b/>
          <w:color w:val="000000"/>
          <w:sz w:val="20"/>
        </w:rPr>
        <w:t>NCS</w:t>
      </w:r>
      <w:r>
        <w:rPr>
          <w:color w:val="000000"/>
        </w:rPr>
        <w:t>”</w:t>
      </w:r>
      <w:r>
        <w:rPr>
          <w:rFonts w:ascii="Arial;sans-serif" w:hAnsi="Arial;sans-serif"/>
          <w:b w:val="false"/>
          <w:color w:val="000000"/>
          <w:sz w:val="20"/>
        </w:rPr>
        <w:t>), and the “</w:t>
      </w:r>
      <w:r>
        <w:rPr>
          <w:rFonts w:ascii="Arial;sans-serif" w:hAnsi="Arial;sans-serif"/>
          <w:b/>
          <w:color w:val="000000"/>
          <w:sz w:val="20"/>
        </w:rPr>
        <w:t>Merger</w:t>
      </w:r>
      <w:r>
        <w:rPr>
          <w:color w:val="000000"/>
        </w:rPr>
        <w:t xml:space="preserve">” </w:t>
      </w:r>
      <w:r>
        <w:rPr>
          <w:rFonts w:ascii="Arial;sans-serif" w:hAnsi="Arial;sans-serif"/>
          <w:b w:val="false"/>
          <w:color w:val="000000"/>
          <w:sz w:val="20"/>
        </w:rPr>
        <w:t>means the merger of Merger Sub with and into NCS (with NCS surviving the Merger) pursuant to the Merger Agreement.</w:t>
      </w:r>
    </w:p>
    <w:p>
      <w:pPr>
        <w:pStyle w:val="TextBody"/>
        <w:bidi w:val="0"/>
        <w:spacing w:before="0" w:after="240"/>
        <w:jc w:val="both"/>
        <w:rPr/>
      </w:pPr>
      <w:r>
        <w:rPr/>
      </w:r>
    </w:p>
    <w:p>
      <w:pPr>
        <w:pStyle w:val="TextBody"/>
        <w:bidi w:val="0"/>
        <w:spacing w:before="0" w:after="0"/>
        <w:jc w:val="right"/>
        <w:rPr/>
      </w:pPr>
      <w:r>
        <w:rPr/>
        <w:drawing>
          <wp:inline distT="0" distB="0" distL="0" distR="0">
            <wp:extent cx="2809875" cy="33337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25"/>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362835"/>
                <wp:effectExtent l="0" t="0" r="0" b="0"/>
                <wp:wrapNone/>
                <wp:docPr id="13" name="Frame11"/>
                <a:graphic xmlns:a="http://schemas.openxmlformats.org/drawingml/2006/main">
                  <a:graphicData uri="http://schemas.microsoft.com/office/word/2010/wordprocessingShape">
                    <wps:wsp>
                      <wps:cNvSpPr txBox="1"/>
                      <wps:spPr>
                        <a:xfrm>
                          <a:off x="0" y="0"/>
                          <a:ext cx="6480175" cy="236283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4933950" cy="12477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26"/>
                                          <a:stretch>
                                            <a:fillRect/>
                                          </a:stretch>
                                        </pic:blipFill>
                                        <pic:spPr bwMode="auto">
                                          <a:xfrm>
                                            <a:off x="0" y="0"/>
                                            <a:ext cx="4933950" cy="12477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0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4933950" cy="124777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27"/>
                                    <a:stretch>
                                      <a:fillRect/>
                                    </a:stretch>
                                  </pic:blipFill>
                                  <pic:spPr bwMode="auto">
                                    <a:xfrm>
                                      <a:off x="0" y="0"/>
                                      <a:ext cx="4933950" cy="12477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333" w:before="0" w:after="240"/>
        <w:jc w:val="both"/>
        <w:rPr/>
      </w:pPr>
      <w:r>
        <w:rPr>
          <w:rFonts w:ascii="Arial;sans-serif" w:hAnsi="Arial;sans-serif"/>
          <w:b w:val="false"/>
          <w:color w:val="000000"/>
          <w:sz w:val="20"/>
        </w:rPr>
        <w:t>In this Opinion, the “</w:t>
      </w:r>
      <w:r>
        <w:rPr>
          <w:rFonts w:ascii="Arial;sans-serif" w:hAnsi="Arial;sans-serif"/>
          <w:b/>
          <w:color w:val="000000"/>
          <w:sz w:val="20"/>
        </w:rPr>
        <w:t>Assumed Plan</w:t>
      </w:r>
      <w:r>
        <w:rPr>
          <w:color w:val="000000"/>
        </w:rPr>
        <w:t xml:space="preserve">” </w:t>
      </w:r>
      <w:r>
        <w:rPr>
          <w:rFonts w:ascii="Arial;sans-serif" w:hAnsi="Arial;sans-serif"/>
          <w:b w:val="false"/>
          <w:color w:val="000000"/>
          <w:sz w:val="20"/>
        </w:rPr>
        <w:t>means the NCS Multistage Holdings, Inc. Amended and Restated 2017 Equity Incentive Plan, which was assumed by the Company at the effective time of the Merger. The Assumed Plan is governed by the laws of the State of Delaware.</w:t>
      </w:r>
    </w:p>
    <w:p>
      <w:pPr>
        <w:pStyle w:val="TextBody"/>
        <w:bidi w:val="0"/>
        <w:spacing w:lineRule="auto" w:line="333" w:before="0" w:after="240"/>
        <w:ind w:left="0" w:right="0" w:hanging="709"/>
        <w:jc w:val="both"/>
        <w:rPr/>
      </w:pPr>
      <w:r>
        <w:rPr>
          <w:rFonts w:ascii="Arial;sans-serif" w:hAnsi="Arial;sans-serif"/>
          <w:b w:val="false"/>
          <w:color w:val="000000"/>
          <w:sz w:val="22"/>
        </w:rPr>
        <w:t>2</w:t>
      </w:r>
      <w:r>
        <w:rPr>
          <w:rFonts w:ascii="Arial;sans-serif" w:hAnsi="Arial;sans-serif"/>
          <w:b/>
          <w:color w:val="000000"/>
          <w:sz w:val="22"/>
        </w:rPr>
        <w:t>Basis of Opinion</w:t>
      </w:r>
    </w:p>
    <w:p>
      <w:pPr>
        <w:pStyle w:val="TextBody"/>
        <w:bidi w:val="0"/>
        <w:spacing w:lineRule="auto" w:line="333" w:before="0" w:after="240"/>
        <w:jc w:val="both"/>
        <w:rPr/>
      </w:pPr>
      <w:r>
        <w:rPr>
          <w:rFonts w:ascii="Arial;sans-serif" w:hAnsi="Arial;sans-serif"/>
          <w:b w:val="false"/>
          <w:color w:val="000000"/>
          <w:sz w:val="20"/>
        </w:rPr>
        <w:t xml:space="preserve">For the purpose of giving this Opinion, we have examined the documents and have conducted the searches listed in Schedule 1 </w:t>
      </w:r>
      <w:r>
        <w:rPr>
          <w:rFonts w:ascii="Arial;sans-serif" w:hAnsi="Arial;sans-serif"/>
          <w:b w:val="false"/>
          <w:i/>
          <w:color w:val="000000"/>
          <w:sz w:val="20"/>
        </w:rPr>
        <w:t>(Documents and Searches)</w:t>
      </w:r>
      <w:r>
        <w:rPr>
          <w:color w:val="000000"/>
        </w:rPr>
        <w:t xml:space="preserve"> </w:t>
      </w:r>
      <w:r>
        <w:rPr>
          <w:rFonts w:ascii="Arial;sans-serif" w:hAnsi="Arial;sans-serif"/>
          <w:b w:val="false"/>
          <w:color w:val="000000"/>
          <w:sz w:val="20"/>
        </w:rPr>
        <w:t>to this Opinion, together with such other materials as we have considered necessary or relevant as a basis for the opinions contained herein.</w:t>
      </w:r>
    </w:p>
    <w:p>
      <w:pPr>
        <w:pStyle w:val="TextBody"/>
        <w:bidi w:val="0"/>
        <w:spacing w:lineRule="auto" w:line="333" w:before="0" w:after="240"/>
        <w:jc w:val="both"/>
        <w:rPr/>
      </w:pPr>
      <w:r>
        <w:rPr>
          <w:rFonts w:ascii="Arial;sans-serif" w:hAnsi="Arial;sans-serif"/>
          <w:b w:val="false"/>
          <w:color w:val="000000"/>
          <w:sz w:val="20"/>
        </w:rPr>
        <w:t xml:space="preserve">This Opinion is strictly limited to the matters expressly stated under Section 3 </w:t>
      </w:r>
      <w:r>
        <w:rPr>
          <w:rFonts w:ascii="Arial;sans-serif" w:hAnsi="Arial;sans-serif"/>
          <w:b w:val="false"/>
          <w:i/>
          <w:color w:val="000000"/>
          <w:sz w:val="20"/>
        </w:rPr>
        <w:t>(Opinions)</w:t>
      </w:r>
      <w:r>
        <w:rPr>
          <w:rFonts w:ascii="Arial;sans-serif" w:hAnsi="Arial;sans-serif"/>
          <w:b w:val="false"/>
          <w:color w:val="000000"/>
          <w:sz w:val="20"/>
        </w:rPr>
        <w:t xml:space="preserve">,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 </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express no opinion and make no representation or warranty as to any matter of fact. 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or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expressed as of the date hereof and we assume no obligation to update the opinions contained herein.</w:t>
      </w:r>
    </w:p>
    <w:p>
      <w:pPr>
        <w:pStyle w:val="TextBody"/>
        <w:bidi w:val="0"/>
        <w:spacing w:lineRule="auto" w:line="333" w:before="0" w:after="240"/>
        <w:ind w:left="0" w:right="0" w:hanging="709"/>
        <w:jc w:val="both"/>
        <w:rPr/>
      </w:pPr>
      <w:r>
        <w:rPr>
          <w:rFonts w:ascii="Arial;sans-serif" w:hAnsi="Arial;sans-serif"/>
          <w:b w:val="false"/>
          <w:color w:val="000000"/>
          <w:sz w:val="22"/>
        </w:rPr>
        <w:t>3</w:t>
      </w:r>
      <w:r>
        <w:rPr>
          <w:rFonts w:ascii="Arial;sans-serif" w:hAnsi="Arial;sans-serif"/>
          <w:b/>
          <w:color w:val="000000"/>
          <w:sz w:val="22"/>
        </w:rPr>
        <w:t>Opinions</w:t>
      </w:r>
    </w:p>
    <w:p>
      <w:pPr>
        <w:pStyle w:val="TextBody"/>
        <w:bidi w:val="0"/>
        <w:spacing w:lineRule="auto" w:line="333" w:before="0" w:after="240"/>
        <w:jc w:val="both"/>
        <w:rPr/>
      </w:pPr>
      <w:r>
        <w:rPr>
          <w:rFonts w:ascii="Arial;sans-serif" w:hAnsi="Arial;sans-serif"/>
          <w:b w:val="false"/>
          <w:color w:val="000000"/>
          <w:sz w:val="20"/>
        </w:rPr>
        <w:t xml:space="preserve">Based upon, and subject to, the foregoing and the assumptions, qualifications and limitations set out in Schedule 2 </w:t>
      </w:r>
      <w:r>
        <w:rPr>
          <w:rFonts w:ascii="Arial;sans-serif" w:hAnsi="Arial;sans-serif"/>
          <w:b w:val="false"/>
          <w:i/>
          <w:color w:val="000000"/>
          <w:sz w:val="20"/>
        </w:rPr>
        <w:t>(Assumptions)</w:t>
      </w:r>
      <w:r>
        <w:rPr>
          <w:rFonts w:ascii="Arial;sans-serif" w:hAnsi="Arial;sans-serif"/>
          <w:b w:val="false"/>
          <w:color w:val="000000"/>
          <w:sz w:val="20"/>
        </w:rPr>
        <w:t xml:space="preserve">, Schedule 3 </w:t>
      </w:r>
      <w:r>
        <w:rPr>
          <w:rFonts w:ascii="Arial;sans-serif" w:hAnsi="Arial;sans-serif"/>
          <w:b w:val="false"/>
          <w:i/>
          <w:color w:val="000000"/>
          <w:sz w:val="20"/>
        </w:rPr>
        <w:t>(Qualifications)</w:t>
      </w:r>
      <w:r>
        <w:rPr>
          <w:color w:val="000000"/>
        </w:rPr>
        <w:t xml:space="preserve"> </w:t>
      </w:r>
      <w:r>
        <w:rPr>
          <w:rFonts w:ascii="Arial;sans-serif" w:hAnsi="Arial;sans-serif"/>
          <w:b w:val="false"/>
          <w:color w:val="000000"/>
          <w:sz w:val="20"/>
        </w:rPr>
        <w:t>and elsewhere in this Opinion, we are of the opinion that the Assumed Plan Shares, when allotted and issued in accordance with the terms and conditions of the Assumed Plan and the Assumed Awards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rFonts w:ascii="Arial;sans-serif" w:hAnsi="Arial;sans-serif"/>
          <w:b/>
          <w:color w:val="000000"/>
          <w:sz w:val="20"/>
        </w:rPr>
        <w:t>Non-assessable</w:t>
      </w:r>
      <w:r>
        <w:rPr>
          <w:color w:val="000000"/>
        </w:rPr>
        <w:t xml:space="preserve">” </w:t>
      </w:r>
      <w:r>
        <w:rPr>
          <w:rFonts w:ascii="Arial;sans-serif" w:hAnsi="Arial;sans-serif"/>
          <w:b w:val="false"/>
          <w:color w:val="000000"/>
          <w:sz w:val="20"/>
        </w:rPr>
        <w:t xml:space="preserve">is a phrase which </w:t>
      </w:r>
    </w:p>
    <w:p>
      <w:pPr>
        <w:pStyle w:val="TextBody"/>
        <w:bidi w:val="0"/>
        <w:spacing w:before="0" w:after="0"/>
        <w:jc w:val="right"/>
        <w:rPr/>
      </w:pPr>
      <w:r>
        <w:rPr/>
        <w:drawing>
          <wp:inline distT="0" distB="0" distL="0" distR="0">
            <wp:extent cx="2809875" cy="3333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28"/>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7"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has no defined meaning under Irish law, but, for the purposes of this Opinion, means the registered holders of the Assumed Plan Shares will not be subject, solely by virtue of their shareholdings, to calls for additional payments of capital on such shares. As a matter of Irish law, a share in an Irish incorporated company is only issued when it has been entered in the register of members of the relevant company.</w:t>
      </w:r>
    </w:p>
    <w:p>
      <w:pPr>
        <w:pStyle w:val="TextBody"/>
        <w:bidi w:val="0"/>
        <w:spacing w:lineRule="auto" w:line="333" w:before="0" w:after="240"/>
        <w:ind w:left="0" w:right="0" w:hanging="709"/>
        <w:jc w:val="both"/>
        <w:rPr/>
      </w:pPr>
      <w:r>
        <w:rPr>
          <w:rFonts w:ascii="Arial;sans-serif" w:hAnsi="Arial;sans-serif"/>
          <w:b w:val="false"/>
          <w:color w:val="000000"/>
          <w:sz w:val="22"/>
        </w:rPr>
        <w:t>4</w:t>
      </w:r>
      <w:r>
        <w:rPr>
          <w:rFonts w:ascii="Arial;sans-serif" w:hAnsi="Arial;sans-serif"/>
          <w:b/>
          <w:color w:val="000000"/>
          <w:sz w:val="22"/>
        </w:rPr>
        <w:t>Reliance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pStyle w:val="TextBody"/>
        <w:bidi w:val="0"/>
        <w:spacing w:lineRule="auto" w:line="333" w:before="0" w:after="240"/>
        <w:ind w:left="0" w:right="0" w:hanging="709"/>
        <w:jc w:val="both"/>
        <w:rPr/>
      </w:pPr>
      <w:r>
        <w:rPr>
          <w:rFonts w:ascii="Arial;sans-serif" w:hAnsi="Arial;sans-serif"/>
          <w:b w:val="false"/>
          <w:color w:val="000000"/>
          <w:sz w:val="22"/>
        </w:rPr>
        <w:t>5</w:t>
      </w:r>
      <w:r>
        <w:rPr>
          <w:rFonts w:ascii="Arial;sans-serif" w:hAnsi="Arial;sans-serif"/>
          <w:b/>
          <w:color w:val="000000"/>
          <w:sz w:val="22"/>
        </w:rPr>
        <w:t>Consent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hereby consent to the filing of this Opinion as Exhibit 5.1 to the Registration Statement and to the references to Matheson LLP therein. In giving such consent, we do not admit that we are included in the category of persons whose consent is required under section 7 of the Securities Act, or the rules and regulations of the Commission promulgated thereunder.</w:t>
      </w:r>
    </w:p>
    <w:p>
      <w:pPr>
        <w:pStyle w:val="TextBody"/>
        <w:bidi w:val="0"/>
        <w:spacing w:lineRule="auto" w:line="333" w:before="0" w:after="240"/>
        <w:ind w:left="0" w:right="0" w:hanging="709"/>
        <w:jc w:val="both"/>
        <w:rPr/>
      </w:pPr>
      <w:r>
        <w:rPr>
          <w:rFonts w:ascii="Arial;sans-serif" w:hAnsi="Arial;sans-serif"/>
          <w:b w:val="false"/>
          <w:color w:val="000000"/>
          <w:sz w:val="22"/>
        </w:rPr>
        <w:t>6</w:t>
      </w:r>
      <w:r>
        <w:rPr>
          <w:rFonts w:ascii="Arial;sans-serif" w:hAnsi="Arial;sans-serif"/>
          <w:b/>
          <w:color w:val="000000"/>
          <w:sz w:val="22"/>
        </w:rPr>
        <w:t>Governing Law</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and the opinions contained herein are governed by, and shall be construed in accordance with, the laws of Ireland.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Yours faithfully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Matheson LLP</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MATHESON LLP</w:t>
      </w:r>
    </w:p>
    <w:p>
      <w:pPr>
        <w:pStyle w:val="TextBody"/>
        <w:bidi w:val="0"/>
        <w:spacing w:before="0" w:after="240"/>
        <w:jc w:val="both"/>
        <w:rPr/>
      </w:pPr>
      <w:r>
        <w:rPr/>
      </w:r>
    </w:p>
    <w:p>
      <w:pPr>
        <w:pStyle w:val="TextBody"/>
        <w:bidi w:val="0"/>
        <w:spacing w:before="0" w:after="0"/>
        <w:jc w:val="right"/>
        <w:rPr/>
      </w:pPr>
      <w:r>
        <w:rPr/>
        <w:drawing>
          <wp:inline distT="0" distB="0" distL="0" distR="0">
            <wp:extent cx="2809875" cy="33337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29"/>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Documents and Searches</w:t>
      </w:r>
    </w:p>
    <w:p>
      <w:pPr>
        <w:pStyle w:val="TextBody"/>
        <w:bidi w:val="0"/>
        <w:spacing w:before="0" w:after="0"/>
        <w:jc w:val="center"/>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For the purpose of giving this Opinion, we have examined the documents and have conducted the searches listed below.</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1.The final form of the Registration Statement to which this Opinion is to be filed as an exhibit.</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2.A copy of the Merger Agreement attached as Annex A to the prospectus which forms part of the registration statement on Form S-4 filed by the Company on 17 July 2025 (Registration No. 333-297275).</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3.A copy of the Assumed Plan, attached as an exhibit to NCS Multistage Holdings, Inc’s current report on Form 10-K filed with the Commission on 5 March 2026.</w:t>
      </w:r>
    </w:p>
    <w:p>
      <w:pPr>
        <w:pStyle w:val="TextBody"/>
        <w:bidi w:val="0"/>
        <w:spacing w:lineRule="auto" w:line="333" w:before="0" w:after="240"/>
        <w:ind w:left="0" w:right="0" w:hanging="720"/>
        <w:jc w:val="both"/>
        <w:rPr/>
      </w:pPr>
      <w:r>
        <w:rPr>
          <w:rFonts w:ascii="Arial;sans-serif" w:hAnsi="Arial;sans-serif"/>
          <w:b w:val="false"/>
          <w:color w:val="000000"/>
          <w:sz w:val="20"/>
        </w:rPr>
        <w:t>4.A certificate issued by the secretary of the Company dated the date of this Opinion (the “</w:t>
      </w:r>
      <w:r>
        <w:rPr>
          <w:rFonts w:ascii="Arial;sans-serif" w:hAnsi="Arial;sans-serif"/>
          <w:b/>
          <w:color w:val="000000"/>
          <w:sz w:val="20"/>
        </w:rPr>
        <w:t>Corporate Certificate</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8"/>
        <w:jc w:val="both"/>
        <w:rPr>
          <w:rFonts w:ascii="Arial;sans-serif" w:hAnsi="Arial;sans-serif"/>
          <w:b w:val="false"/>
          <w:color w:val="000000"/>
          <w:sz w:val="20"/>
        </w:rPr>
      </w:pPr>
      <w:r>
        <w:rPr>
          <w:rFonts w:ascii="Arial;sans-serif" w:hAnsi="Arial;sans-serif"/>
          <w:b w:val="false"/>
          <w:color w:val="000000"/>
          <w:sz w:val="20"/>
        </w:rPr>
        <w:t>(a)attaching a copy of each of the following documents certified as being true, complete and correct by the secretary:</w:t>
      </w:r>
    </w:p>
    <w:p>
      <w:pPr>
        <w:pStyle w:val="TextBody"/>
        <w:bidi w:val="0"/>
        <w:spacing w:lineRule="auto" w:line="333" w:before="0" w:after="240"/>
        <w:ind w:left="0" w:right="0" w:hanging="709"/>
        <w:jc w:val="both"/>
        <w:rPr/>
      </w:pPr>
      <w:r>
        <w:rPr>
          <w:rFonts w:ascii="Arial;sans-serif" w:hAnsi="Arial;sans-serif"/>
          <w:b w:val="false"/>
          <w:color w:val="000000"/>
          <w:sz w:val="20"/>
        </w:rPr>
        <w:t>(i)the Company’s certificate of incorporation dated 3 March 2014, certificate of incorporation on change of name dated 20 March 2014 and certificate of incorporation on re-registration as a public limited company dated 29 May 2014 (the “</w:t>
      </w:r>
      <w:r>
        <w:rPr>
          <w:rFonts w:ascii="Arial;sans-serif" w:hAnsi="Arial;sans-serif"/>
          <w:b/>
          <w:color w:val="000000"/>
          <w:sz w:val="20"/>
        </w:rPr>
        <w:t>Certificates of Incorporation</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9"/>
        <w:jc w:val="both"/>
        <w:rPr/>
      </w:pPr>
      <w:r>
        <w:rPr>
          <w:rFonts w:ascii="Arial;sans-serif" w:hAnsi="Arial;sans-serif"/>
          <w:b w:val="false"/>
          <w:color w:val="000000"/>
          <w:sz w:val="20"/>
        </w:rPr>
        <w:t>(ii)the memorandum of association of the Company adopted on 10 December 2019 (the “</w:t>
      </w:r>
      <w:r>
        <w:rPr>
          <w:rFonts w:ascii="Arial;sans-serif" w:hAnsi="Arial;sans-serif"/>
          <w:b/>
          <w:color w:val="000000"/>
          <w:sz w:val="20"/>
        </w:rPr>
        <w:t>Memorandum of Association</w:t>
      </w:r>
      <w:r>
        <w:rPr>
          <w:color w:val="000000"/>
        </w:rPr>
        <w:t>”</w:t>
      </w:r>
      <w:r>
        <w:rPr>
          <w:rFonts w:ascii="Arial;sans-serif" w:hAnsi="Arial;sans-serif"/>
          <w:b w:val="false"/>
          <w:color w:val="000000"/>
          <w:sz w:val="20"/>
        </w:rPr>
        <w:t>) and the articles of association of the Company adopted on 10 December 2019 (the “</w:t>
      </w:r>
      <w:r>
        <w:rPr>
          <w:rFonts w:ascii="Arial;sans-serif" w:hAnsi="Arial;sans-serif"/>
          <w:b/>
          <w:color w:val="000000"/>
          <w:sz w:val="20"/>
        </w:rPr>
        <w:t>Articles of Association</w:t>
      </w:r>
      <w:r>
        <w:rPr>
          <w:color w:val="000000"/>
        </w:rPr>
        <w:t>”</w:t>
      </w:r>
      <w:r>
        <w:rPr>
          <w:rFonts w:ascii="Arial;sans-serif" w:hAnsi="Arial;sans-serif"/>
          <w:b w:val="false"/>
          <w:color w:val="000000"/>
          <w:sz w:val="20"/>
        </w:rPr>
        <w:t>, and together with the Certificates of Incorporation and the Memorandum of Association, the “</w:t>
      </w:r>
      <w:r>
        <w:rPr>
          <w:rFonts w:ascii="Arial;sans-serif" w:hAnsi="Arial;sans-serif"/>
          <w:b/>
          <w:color w:val="000000"/>
          <w:sz w:val="20"/>
        </w:rPr>
        <w:t>Constitutional Documents</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(iii)written resolutions of all the directors of the Company passed on 31 May 2026, pursuant to which the directors resolved, among other matters, to approve the entry by the Company into the Merger Agreement, the assumption of the Assumed Awards and the allotment and issue of the Assumed Plan Shares; and</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(iv)the minutes of the 2026 annual general meeting of the Company held on 11 June 2026; and</w:t>
      </w:r>
    </w:p>
    <w:p>
      <w:pPr>
        <w:pStyle w:val="TextBody"/>
        <w:bidi w:val="0"/>
        <w:spacing w:lineRule="auto" w:line="333" w:before="0" w:after="240"/>
        <w:ind w:left="0" w:right="0" w:hanging="708"/>
        <w:jc w:val="both"/>
        <w:rPr>
          <w:rFonts w:ascii="Arial;sans-serif" w:hAnsi="Arial;sans-serif"/>
          <w:b w:val="false"/>
          <w:color w:val="000000"/>
          <w:sz w:val="20"/>
        </w:rPr>
      </w:pPr>
      <w:r>
        <w:rPr>
          <w:rFonts w:ascii="Arial;sans-serif" w:hAnsi="Arial;sans-serif"/>
          <w:b w:val="false"/>
          <w:color w:val="000000"/>
          <w:sz w:val="20"/>
        </w:rPr>
        <w:t>(b)certifying certain other matters, as set out therein, on which we have relied for the purpose of this Opinion.</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5.Searches carried out by independent law researchers on our behalf against the Company on 31 August 2026: (a) in the Register of Winding-up Petitions maintained at the Central Office of the High Court of Ireland (the “Register of Winding-up Petitions”), (b) in the Judgments’ Office of the High Court of Ireland, and (c) on the file of the Company maintained by the Registrar of </w:t>
      </w:r>
    </w:p>
    <w:p>
      <w:pPr>
        <w:pStyle w:val="TextBody"/>
        <w:bidi w:val="0"/>
        <w:spacing w:before="0" w:after="0"/>
        <w:jc w:val="right"/>
        <w:rPr/>
      </w:pPr>
      <w:r>
        <w:rPr/>
        <w:drawing>
          <wp:inline distT="0" distB="0" distL="0" distR="0">
            <wp:extent cx="2809875" cy="3333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30"/>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Companies at the Irish Companies Registration Office (the “Companies Registration Office”) (together, the “Searches”).</w:t>
      </w:r>
    </w:p>
    <w:p>
      <w:pPr>
        <w:pStyle w:val="TextBody"/>
        <w:bidi w:val="0"/>
        <w:spacing w:before="0" w:after="0"/>
        <w:jc w:val="right"/>
        <w:rPr/>
      </w:pPr>
      <w:r>
        <w:rPr/>
        <w:drawing>
          <wp:inline distT="0" distB="0" distL="0" distR="0">
            <wp:extent cx="2809875" cy="33337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31"/>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3"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Assumptions</w:t>
      </w:r>
    </w:p>
    <w:p>
      <w:pPr>
        <w:pStyle w:val="TextBody"/>
        <w:bidi w:val="0"/>
        <w:spacing w:before="0" w:after="0"/>
        <w:jc w:val="center"/>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opinions contained herein are given on the basis of the assumptions set out in this Schedule.</w:t>
      </w:r>
    </w:p>
    <w:p>
      <w:pPr>
        <w:pStyle w:val="TextBody"/>
        <w:bidi w:val="0"/>
        <w:spacing w:lineRule="auto" w:line="333" w:before="0" w:after="240"/>
        <w:ind w:left="0" w:right="0" w:hanging="709"/>
        <w:jc w:val="both"/>
        <w:rPr/>
      </w:pPr>
      <w:r>
        <w:rPr>
          <w:rFonts w:ascii="Arial;sans-serif" w:hAnsi="Arial;sans-serif"/>
          <w:b w:val="false"/>
          <w:color w:val="000000"/>
          <w:sz w:val="22"/>
        </w:rPr>
        <w:t>1</w:t>
      </w:r>
      <w:r>
        <w:rPr>
          <w:rFonts w:ascii="Arial;sans-serif" w:hAnsi="Arial;sans-serif"/>
          <w:b/>
          <w:color w:val="000000"/>
          <w:sz w:val="22"/>
        </w:rPr>
        <w:t>Documents</w:t>
      </w:r>
    </w:p>
    <w:p>
      <w:pPr>
        <w:pStyle w:val="TextBody"/>
        <w:bidi w:val="0"/>
        <w:spacing w:lineRule="auto" w:line="333" w:before="0" w:after="240"/>
        <w:ind w:left="0" w:right="0" w:hanging="709"/>
        <w:jc w:val="both"/>
        <w:rPr/>
      </w:pPr>
      <w:r>
        <w:rPr>
          <w:rFonts w:ascii="Arial;sans-serif" w:hAnsi="Arial;sans-serif"/>
          <w:b w:val="false"/>
          <w:color w:val="000000"/>
          <w:sz w:val="20"/>
        </w:rPr>
        <w:t>1.1</w:t>
      </w:r>
      <w:r>
        <w:rPr>
          <w:rFonts w:ascii="Arial;sans-serif" w:hAnsi="Arial;sans-serif"/>
          <w:b/>
          <w:color w:val="000000"/>
          <w:sz w:val="20"/>
        </w:rPr>
        <w:t>Genuine Signatures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signatures (including, for the avoidance of doubt, electronic signatures), initials, seals and stamps contained in, or on, any document examined by us are genuine.</w:t>
      </w:r>
    </w:p>
    <w:p>
      <w:pPr>
        <w:pStyle w:val="TextBody"/>
        <w:bidi w:val="0"/>
        <w:spacing w:lineRule="auto" w:line="333" w:before="0" w:after="240"/>
        <w:ind w:left="0" w:right="0" w:hanging="709"/>
        <w:jc w:val="both"/>
        <w:rPr/>
      </w:pPr>
      <w:r>
        <w:rPr>
          <w:rFonts w:ascii="Arial;sans-serif" w:hAnsi="Arial;sans-serif"/>
          <w:b w:val="false"/>
          <w:color w:val="000000"/>
          <w:sz w:val="20"/>
        </w:rPr>
        <w:t>1.2</w:t>
      </w:r>
      <w:r>
        <w:rPr>
          <w:rFonts w:ascii="Arial;sans-serif" w:hAnsi="Arial;sans-serif"/>
          <w:b/>
          <w:color w:val="000000"/>
          <w:sz w:val="20"/>
        </w:rPr>
        <w:t>Authentic and Complete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pStyle w:val="TextBody"/>
        <w:bidi w:val="0"/>
        <w:spacing w:lineRule="auto" w:line="333" w:before="0" w:after="240"/>
        <w:ind w:left="0" w:right="0" w:hanging="709"/>
        <w:jc w:val="both"/>
        <w:rPr/>
      </w:pPr>
      <w:r>
        <w:rPr>
          <w:rFonts w:ascii="Arial;sans-serif" w:hAnsi="Arial;sans-serif"/>
          <w:b w:val="false"/>
          <w:color w:val="000000"/>
          <w:sz w:val="20"/>
        </w:rPr>
        <w:t>1.3</w:t>
      </w:r>
      <w:r>
        <w:rPr>
          <w:rFonts w:ascii="Arial;sans-serif" w:hAnsi="Arial;sans-serif"/>
          <w:b/>
          <w:color w:val="000000"/>
          <w:sz w:val="20"/>
        </w:rPr>
        <w:t>True and Accurate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contents of the documents (including the Corporate Certificate) and any other materials examined by us for the purposes of this Opinion are true and accurate as to factual matters, but we have made no independent investigation regarding such factual matters.</w:t>
      </w:r>
    </w:p>
    <w:p>
      <w:pPr>
        <w:pStyle w:val="TextBody"/>
        <w:bidi w:val="0"/>
        <w:spacing w:lineRule="auto" w:line="333" w:before="0" w:after="240"/>
        <w:ind w:left="0" w:right="0" w:hanging="709"/>
        <w:jc w:val="both"/>
        <w:rPr/>
      </w:pPr>
      <w:r>
        <w:rPr>
          <w:rFonts w:ascii="Arial;sans-serif" w:hAnsi="Arial;sans-serif"/>
          <w:b w:val="false"/>
          <w:color w:val="000000"/>
          <w:sz w:val="20"/>
        </w:rPr>
        <w:t>1.4</w:t>
      </w:r>
      <w:r>
        <w:rPr>
          <w:rFonts w:ascii="Arial;sans-serif" w:hAnsi="Arial;sans-serif"/>
          <w:b/>
          <w:color w:val="000000"/>
          <w:sz w:val="20"/>
        </w:rPr>
        <w:t>No Revocation or Amendment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documents dated on, or prior to, the date hereof and on which we have expressed reliance have not been revoked or amended and remain accurate.</w:t>
      </w:r>
    </w:p>
    <w:p>
      <w:pPr>
        <w:pStyle w:val="TextBody"/>
        <w:bidi w:val="0"/>
        <w:spacing w:lineRule="auto" w:line="333" w:before="0" w:after="240"/>
        <w:ind w:left="0" w:right="0" w:hanging="709"/>
        <w:jc w:val="both"/>
        <w:rPr/>
      </w:pPr>
      <w:r>
        <w:rPr>
          <w:rFonts w:ascii="Arial;sans-serif" w:hAnsi="Arial;sans-serif"/>
          <w:b w:val="false"/>
          <w:color w:val="000000"/>
          <w:sz w:val="20"/>
        </w:rPr>
        <w:t>1.5</w:t>
      </w:r>
      <w:r>
        <w:rPr>
          <w:rFonts w:ascii="Arial;sans-serif" w:hAnsi="Arial;sans-serif"/>
          <w:b/>
          <w:color w:val="000000"/>
          <w:sz w:val="20"/>
        </w:rPr>
        <w:t>Natural Persons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Each natural person who has executed any document examined by us for the purposes of this Opinion had the due personal legal capacity to do so.</w:t>
      </w:r>
    </w:p>
    <w:p>
      <w:pPr>
        <w:pStyle w:val="TextBody"/>
        <w:bidi w:val="0"/>
        <w:spacing w:lineRule="auto" w:line="333" w:before="0" w:after="240"/>
        <w:ind w:left="0" w:right="0" w:hanging="709"/>
        <w:jc w:val="both"/>
        <w:rPr/>
      </w:pPr>
      <w:r>
        <w:rPr>
          <w:rFonts w:ascii="Arial;sans-serif" w:hAnsi="Arial;sans-serif"/>
          <w:b w:val="false"/>
          <w:color w:val="000000"/>
          <w:sz w:val="20"/>
        </w:rPr>
        <w:t>1.6</w:t>
      </w:r>
      <w:r>
        <w:rPr>
          <w:rFonts w:ascii="Arial;sans-serif" w:hAnsi="Arial;sans-serif"/>
          <w:b/>
          <w:color w:val="000000"/>
          <w:sz w:val="20"/>
        </w:rPr>
        <w:t>Electronic Signatures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Any electronic signature inserted on a document was inserted by the signatory in question and not by another person and where attested by a witness was inserted in the physical presence of the witness. Each party to any document which has been executed using electronic signatures has consented to the execution of that document by way of electronic signature.</w:t>
      </w:r>
    </w:p>
    <w:p>
      <w:pPr>
        <w:pStyle w:val="TextBody"/>
        <w:bidi w:val="0"/>
        <w:spacing w:lineRule="auto" w:line="333" w:before="0" w:after="240"/>
        <w:ind w:left="0" w:right="0" w:hanging="709"/>
        <w:jc w:val="both"/>
        <w:rPr/>
      </w:pPr>
      <w:r>
        <w:rPr>
          <w:rFonts w:ascii="Arial;sans-serif" w:hAnsi="Arial;sans-serif"/>
          <w:b w:val="false"/>
          <w:color w:val="000000"/>
          <w:sz w:val="20"/>
        </w:rPr>
        <w:t>1.7</w:t>
      </w:r>
      <w:r>
        <w:rPr>
          <w:rFonts w:ascii="Arial;sans-serif" w:hAnsi="Arial;sans-serif"/>
          <w:b/>
          <w:color w:val="000000"/>
          <w:sz w:val="20"/>
        </w:rPr>
        <w:t>Merger Completed</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Merger has become effective and the transactions provided for therein have been consummated upon the terms and conditions of the Merger Agreement.</w:t>
      </w:r>
    </w:p>
    <w:p>
      <w:pPr>
        <w:pStyle w:val="TextBody"/>
        <w:bidi w:val="0"/>
        <w:spacing w:before="0" w:after="0"/>
        <w:jc w:val="right"/>
        <w:rPr/>
      </w:pPr>
      <w:r>
        <w:rPr/>
        <w:drawing>
          <wp:inline distT="0" distB="0" distL="0" distR="0">
            <wp:extent cx="2809875" cy="33337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32"/>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33" w:before="0" w:after="240"/>
        <w:ind w:left="0" w:right="0" w:hanging="709"/>
        <w:jc w:val="both"/>
        <w:rPr/>
      </w:pPr>
      <w:r>
        <w:rPr>
          <w:rFonts w:ascii="Arial;sans-serif" w:hAnsi="Arial;sans-serif"/>
          <w:b w:val="false"/>
          <w:color w:val="000000"/>
          <w:sz w:val="22"/>
        </w:rPr>
        <w:t>2</w:t>
      </w:r>
      <w:r>
        <w:rPr>
          <w:rFonts w:ascii="Arial;sans-serif" w:hAnsi="Arial;sans-serif"/>
          <w:b/>
          <w:color w:val="000000"/>
          <w:sz w:val="22"/>
        </w:rPr>
        <w:t>Corporate Authority</w:t>
      </w:r>
    </w:p>
    <w:p>
      <w:pPr>
        <w:pStyle w:val="TextBody"/>
        <w:bidi w:val="0"/>
        <w:spacing w:lineRule="auto" w:line="333" w:before="0" w:after="240"/>
        <w:ind w:left="0" w:right="0" w:hanging="709"/>
        <w:jc w:val="both"/>
        <w:rPr/>
      </w:pPr>
      <w:r>
        <w:rPr>
          <w:rFonts w:ascii="Arial;sans-serif" w:hAnsi="Arial;sans-serif"/>
          <w:b w:val="false"/>
          <w:color w:val="000000"/>
          <w:sz w:val="20"/>
        </w:rPr>
        <w:t>2.1</w:t>
      </w:r>
      <w:r>
        <w:rPr>
          <w:rFonts w:ascii="Arial;sans-serif" w:hAnsi="Arial;sans-serif"/>
          <w:b/>
          <w:color w:val="000000"/>
          <w:sz w:val="20"/>
        </w:rPr>
        <w:t>Constitutional Documents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have been no amendments to the Constitutional Documents or the other attachments to the Corporate Certificate.</w:t>
      </w:r>
    </w:p>
    <w:p>
      <w:pPr>
        <w:pStyle w:val="TextBody"/>
        <w:bidi w:val="0"/>
        <w:spacing w:lineRule="auto" w:line="333" w:before="0" w:after="240"/>
        <w:ind w:left="0" w:right="0" w:hanging="709"/>
        <w:jc w:val="both"/>
        <w:rPr/>
      </w:pPr>
      <w:r>
        <w:rPr>
          <w:rFonts w:ascii="Arial;sans-serif" w:hAnsi="Arial;sans-serif"/>
          <w:b w:val="false"/>
          <w:color w:val="000000"/>
          <w:sz w:val="20"/>
        </w:rPr>
        <w:t>2.2</w:t>
      </w:r>
      <w:r>
        <w:rPr>
          <w:rFonts w:ascii="Arial;sans-serif" w:hAnsi="Arial;sans-serif"/>
          <w:b/>
          <w:color w:val="000000"/>
          <w:sz w:val="20"/>
        </w:rPr>
        <w:t>Corporate Benefit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will derive a commercial benefit from the entry into the Merger Agreement commensurate with the obligations undertaken by it thereunder.</w:t>
      </w:r>
    </w:p>
    <w:p>
      <w:pPr>
        <w:pStyle w:val="TextBody"/>
        <w:bidi w:val="0"/>
        <w:spacing w:lineRule="auto" w:line="333" w:before="0" w:after="240"/>
        <w:ind w:left="0" w:right="0" w:hanging="709"/>
        <w:jc w:val="both"/>
        <w:rPr/>
      </w:pPr>
      <w:r>
        <w:rPr>
          <w:rFonts w:ascii="Arial;sans-serif" w:hAnsi="Arial;sans-serif"/>
          <w:b w:val="false"/>
          <w:color w:val="000000"/>
          <w:sz w:val="20"/>
        </w:rPr>
        <w:t>2.3</w:t>
      </w:r>
      <w:r>
        <w:rPr>
          <w:rFonts w:ascii="Arial;sans-serif" w:hAnsi="Arial;sans-serif"/>
          <w:b/>
          <w:color w:val="000000"/>
          <w:sz w:val="20"/>
        </w:rPr>
        <w:t>Good Faith, Best Interests of the Company and Purpose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In approving the assumption of the Assumed Plan and the Assumed Awards (and the allotment and issue of the Assumed Plan Shares thereunder), the directors of the Company have acted in good faith in the best interests of the Company for the benefit of its members as a whole, and for its legitimate business purposes.</w:t>
      </w:r>
    </w:p>
    <w:p>
      <w:pPr>
        <w:pStyle w:val="TextBody"/>
        <w:bidi w:val="0"/>
        <w:spacing w:lineRule="auto" w:line="333" w:before="0" w:after="240"/>
        <w:ind w:left="0" w:right="0" w:hanging="709"/>
        <w:jc w:val="both"/>
        <w:rPr/>
      </w:pPr>
      <w:r>
        <w:rPr>
          <w:rFonts w:ascii="Arial;sans-serif" w:hAnsi="Arial;sans-serif"/>
          <w:b w:val="false"/>
          <w:color w:val="000000"/>
          <w:sz w:val="20"/>
        </w:rPr>
        <w:t>2.4</w:t>
      </w:r>
      <w:r>
        <w:rPr>
          <w:rFonts w:ascii="Arial;sans-serif" w:hAnsi="Arial;sans-serif"/>
          <w:b/>
          <w:color w:val="000000"/>
          <w:sz w:val="20"/>
        </w:rPr>
        <w:t>Disclosure of Interests</w:t>
      </w:r>
    </w:p>
    <w:p>
      <w:pPr>
        <w:pStyle w:val="TextBody"/>
        <w:bidi w:val="0"/>
        <w:spacing w:lineRule="auto" w:line="333" w:before="0" w:after="240"/>
        <w:jc w:val="both"/>
        <w:rPr/>
      </w:pPr>
      <w:r>
        <w:rPr>
          <w:rFonts w:ascii="Arial;sans-serif" w:hAnsi="Arial;sans-serif"/>
          <w:b w:val="false"/>
          <w:color w:val="000000"/>
          <w:sz w:val="20"/>
        </w:rPr>
        <w:t>Each director of the Company who was party to the decision to assume the Assumed Plan and the Assumed Awards (and the allotment and issue of the Assumed Plan Shares thereunder) has disclosed any interest he or she may have in the relevant transaction in accordance with the provisions of the Companies Act 2014, as amended (the “</w:t>
      </w:r>
      <w:r>
        <w:rPr>
          <w:rFonts w:ascii="Arial;sans-serif" w:hAnsi="Arial;sans-serif"/>
          <w:b/>
          <w:color w:val="000000"/>
          <w:sz w:val="20"/>
        </w:rPr>
        <w:t>Companies Act</w:t>
      </w:r>
      <w:r>
        <w:rPr>
          <w:color w:val="000000"/>
        </w:rPr>
        <w:t>”</w:t>
      </w:r>
      <w:r>
        <w:rPr>
          <w:rFonts w:ascii="Arial;sans-serif" w:hAnsi="Arial;sans-serif"/>
          <w:b w:val="false"/>
          <w:color w:val="000000"/>
          <w:sz w:val="20"/>
        </w:rPr>
        <w:t>) and the Constitutional Documents.</w:t>
      </w:r>
    </w:p>
    <w:p>
      <w:pPr>
        <w:pStyle w:val="TextBody"/>
        <w:bidi w:val="0"/>
        <w:spacing w:lineRule="auto" w:line="333" w:before="0" w:after="240"/>
        <w:ind w:left="0" w:right="0" w:hanging="709"/>
        <w:jc w:val="both"/>
        <w:rPr/>
      </w:pPr>
      <w:r>
        <w:rPr>
          <w:rFonts w:ascii="Arial;sans-serif" w:hAnsi="Arial;sans-serif"/>
          <w:b w:val="false"/>
          <w:color w:val="000000"/>
          <w:sz w:val="20"/>
        </w:rPr>
        <w:t>2.5</w:t>
      </w:r>
      <w:r>
        <w:rPr>
          <w:rFonts w:ascii="Arial;sans-serif" w:hAnsi="Arial;sans-serif"/>
          <w:b/>
          <w:color w:val="000000"/>
          <w:sz w:val="20"/>
        </w:rPr>
        <w:t>No Financial Assistance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has not given, and will not give, any financial assistance (as contemplated by sections 82 and 1043 of the Companies Act) for the purpose of the acquisition of any Assumed Plan Shares, save as permitted by, or pursuant to an exemption from the application of, the said sections 82 and 1043.</w:t>
      </w:r>
    </w:p>
    <w:p>
      <w:pPr>
        <w:pStyle w:val="TextBody"/>
        <w:bidi w:val="0"/>
        <w:spacing w:lineRule="auto" w:line="333" w:before="0" w:after="240"/>
        <w:ind w:left="0" w:right="0" w:hanging="709"/>
        <w:jc w:val="both"/>
        <w:rPr/>
      </w:pPr>
      <w:r>
        <w:rPr>
          <w:rFonts w:ascii="Arial;sans-serif" w:hAnsi="Arial;sans-serif"/>
          <w:b w:val="false"/>
          <w:color w:val="000000"/>
          <w:sz w:val="22"/>
        </w:rPr>
        <w:t>3</w:t>
      </w:r>
      <w:r>
        <w:rPr>
          <w:rFonts w:ascii="Arial;sans-serif" w:hAnsi="Arial;sans-serif"/>
          <w:b/>
          <w:color w:val="000000"/>
          <w:sz w:val="22"/>
        </w:rPr>
        <w:t>Assumed Plan Shares</w:t>
      </w:r>
    </w:p>
    <w:p>
      <w:pPr>
        <w:pStyle w:val="TextBody"/>
        <w:bidi w:val="0"/>
        <w:spacing w:lineRule="auto" w:line="333" w:before="0" w:after="240"/>
        <w:ind w:left="0" w:right="0" w:hanging="709"/>
        <w:jc w:val="both"/>
        <w:rPr/>
      </w:pPr>
      <w:r>
        <w:rPr>
          <w:rFonts w:ascii="Arial;sans-serif" w:hAnsi="Arial;sans-serif"/>
          <w:b w:val="false"/>
          <w:color w:val="000000"/>
          <w:sz w:val="20"/>
        </w:rPr>
        <w:t>3.1</w:t>
      </w:r>
      <w:r>
        <w:rPr>
          <w:rFonts w:ascii="Arial;sans-serif" w:hAnsi="Arial;sans-serif"/>
          <w:b/>
          <w:color w:val="000000"/>
          <w:sz w:val="20"/>
        </w:rPr>
        <w:t>Consideration Received</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will have received the full consideration payable for any Assumed Plan Shares prior to, or simultaneous with, their allotment and issue, and no Assumed Plan Shares will be allotted for consideration that is less than its nominal value.</w:t>
      </w:r>
    </w:p>
    <w:p>
      <w:pPr>
        <w:pStyle w:val="TextBody"/>
        <w:bidi w:val="0"/>
        <w:spacing w:lineRule="auto" w:line="333" w:before="0" w:after="240"/>
        <w:ind w:left="0" w:right="0" w:hanging="709"/>
        <w:jc w:val="both"/>
        <w:rPr/>
      </w:pPr>
      <w:r>
        <w:rPr>
          <w:rFonts w:ascii="Arial;sans-serif" w:hAnsi="Arial;sans-serif"/>
          <w:b w:val="false"/>
          <w:color w:val="000000"/>
          <w:sz w:val="20"/>
        </w:rPr>
        <w:t>3.2</w:t>
      </w:r>
      <w:r>
        <w:rPr>
          <w:rFonts w:ascii="Arial;sans-serif" w:hAnsi="Arial;sans-serif"/>
          <w:b/>
          <w:color w:val="000000"/>
          <w:sz w:val="20"/>
        </w:rPr>
        <w:t>Authorised Share Capital</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Save for the allotment and issue of any Assumed Plan Shares, the Company will not take any action following the date of this Opinion which reduces the number of unissued ordinary shares in its authorised share capital to an amount less than the maximum number of Assumed Plan Shares which may be allotted and issued pursuant to the Assumed Awards.</w:t>
      </w:r>
    </w:p>
    <w:p>
      <w:pPr>
        <w:pStyle w:val="TextBody"/>
        <w:bidi w:val="0"/>
        <w:spacing w:before="0" w:after="0"/>
        <w:jc w:val="right"/>
        <w:rPr/>
      </w:pPr>
      <w:r>
        <w:rPr/>
        <w:drawing>
          <wp:inline distT="0" distB="0" distL="0" distR="0">
            <wp:extent cx="2809875" cy="3333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33"/>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33" w:before="0" w:after="240"/>
        <w:ind w:left="0" w:right="0" w:hanging="709"/>
        <w:jc w:val="both"/>
        <w:rPr/>
      </w:pPr>
      <w:r>
        <w:rPr>
          <w:rFonts w:ascii="Arial;sans-serif" w:hAnsi="Arial;sans-serif"/>
          <w:b w:val="false"/>
          <w:color w:val="000000"/>
          <w:sz w:val="20"/>
        </w:rPr>
        <w:t>3.3</w:t>
      </w:r>
      <w:r>
        <w:rPr>
          <w:rFonts w:ascii="Arial;sans-serif" w:hAnsi="Arial;sans-serif"/>
          <w:b/>
          <w:color w:val="000000"/>
          <w:sz w:val="20"/>
        </w:rPr>
        <w:t>Treasury Shares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To the extent any Assumed Plan Shares are being re-allotted off-market from treasury, the maximum and minimum prices of re-issue will have been determined in advance at a general meeting of the Company in accordance with the requirements of section 1078 of the Companies Act.</w:t>
      </w:r>
    </w:p>
    <w:p>
      <w:pPr>
        <w:pStyle w:val="TextBody"/>
        <w:bidi w:val="0"/>
        <w:spacing w:lineRule="auto" w:line="333" w:before="0" w:after="240"/>
        <w:ind w:left="0" w:right="0" w:hanging="709"/>
        <w:jc w:val="both"/>
        <w:rPr/>
      </w:pPr>
      <w:r>
        <w:rPr>
          <w:rFonts w:ascii="Arial;sans-serif" w:hAnsi="Arial;sans-serif"/>
          <w:b w:val="false"/>
          <w:color w:val="000000"/>
          <w:sz w:val="20"/>
        </w:rPr>
        <w:t>3.4</w:t>
      </w:r>
      <w:r>
        <w:rPr>
          <w:rFonts w:ascii="Arial;sans-serif" w:hAnsi="Arial;sans-serif"/>
          <w:b/>
          <w:color w:val="000000"/>
          <w:sz w:val="20"/>
        </w:rPr>
        <w:t>Good and Adequate Consideration</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No Assumed Plan Shares will be allotted and issued for consideration that: (a) consists of an undertaking given by any person that he, she or another should do work or perform services for the Company or any other person, (b) includes an undertaking which is to be or may be performed more than five years after the date of the allotment, or (c) is not considered good or adequate at law.</w:t>
      </w:r>
    </w:p>
    <w:p>
      <w:pPr>
        <w:pStyle w:val="TextBody"/>
        <w:bidi w:val="0"/>
        <w:spacing w:lineRule="auto" w:line="333" w:before="0" w:after="240"/>
        <w:ind w:left="0" w:right="0" w:hanging="709"/>
        <w:jc w:val="both"/>
        <w:rPr/>
      </w:pPr>
      <w:r>
        <w:rPr>
          <w:rFonts w:ascii="Arial;sans-serif" w:hAnsi="Arial;sans-serif"/>
          <w:b w:val="false"/>
          <w:color w:val="000000"/>
          <w:sz w:val="20"/>
        </w:rPr>
        <w:t>3.5</w:t>
      </w:r>
      <w:r>
        <w:rPr>
          <w:rFonts w:ascii="Arial;sans-serif" w:hAnsi="Arial;sans-serif"/>
          <w:b/>
          <w:color w:val="000000"/>
          <w:sz w:val="20"/>
        </w:rPr>
        <w:t>Section 1028 Report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No Assumed Plan Shares will be allotted or issued fully or partly paid-up otherwise than in cash unless the provisions of section 1028 of the Companies Act are complied with in full. Subject to certain exclusions, section 1028 requires that a valuation and report in respect of any non-cash consideration be prepared by an independent person and circulated to the proposed allottee(s).</w:t>
      </w:r>
    </w:p>
    <w:p>
      <w:pPr>
        <w:pStyle w:val="TextBody"/>
        <w:bidi w:val="0"/>
        <w:spacing w:lineRule="auto" w:line="333" w:before="0" w:after="240"/>
        <w:ind w:left="0" w:right="0" w:hanging="709"/>
        <w:jc w:val="both"/>
        <w:rPr/>
      </w:pPr>
      <w:r>
        <w:rPr>
          <w:rFonts w:ascii="Arial;sans-serif" w:hAnsi="Arial;sans-serif"/>
          <w:b w:val="false"/>
          <w:color w:val="000000"/>
          <w:sz w:val="20"/>
        </w:rPr>
        <w:t>3.6</w:t>
      </w:r>
      <w:r>
        <w:rPr>
          <w:rFonts w:ascii="Arial;sans-serif" w:hAnsi="Arial;sans-serif"/>
          <w:b/>
          <w:color w:val="000000"/>
          <w:sz w:val="20"/>
        </w:rPr>
        <w:t>Allottees of Shares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Each person to whom Assumed Plan Shares are to be allotted and issued pursuant to the Assumed Awards will have the due and requisite capacity to be allotted and issued Assumed Plan Shares, and to be registered in the register of members of the Company as the holder thereof. Each such person shall have agreed, or shall be deemed to have agreed, to become a member of the Company.</w:t>
      </w:r>
    </w:p>
    <w:p>
      <w:pPr>
        <w:pStyle w:val="TextBody"/>
        <w:bidi w:val="0"/>
        <w:spacing w:lineRule="auto" w:line="333" w:before="0" w:after="240"/>
        <w:ind w:left="0" w:right="0" w:hanging="709"/>
        <w:jc w:val="both"/>
        <w:rPr/>
      </w:pPr>
      <w:r>
        <w:rPr>
          <w:rFonts w:ascii="Arial;sans-serif" w:hAnsi="Arial;sans-serif"/>
          <w:b w:val="false"/>
          <w:color w:val="000000"/>
          <w:sz w:val="20"/>
        </w:rPr>
        <w:t>3.7</w:t>
      </w:r>
      <w:r>
        <w:rPr>
          <w:rFonts w:ascii="Arial;sans-serif" w:hAnsi="Arial;sans-serif"/>
          <w:b/>
          <w:color w:val="000000"/>
          <w:sz w:val="20"/>
        </w:rPr>
        <w:t>The Depository Trust Company</w:t>
      </w:r>
    </w:p>
    <w:p>
      <w:pPr>
        <w:pStyle w:val="TextBody"/>
        <w:bidi w:val="0"/>
        <w:spacing w:lineRule="auto" w:line="333" w:before="0" w:after="240"/>
        <w:jc w:val="both"/>
        <w:rPr/>
      </w:pPr>
      <w:r>
        <w:rPr>
          <w:rFonts w:ascii="Arial;sans-serif" w:hAnsi="Arial;sans-serif"/>
          <w:b w:val="false"/>
          <w:color w:val="000000"/>
          <w:sz w:val="20"/>
        </w:rPr>
        <w:t>To the extent any Assumed Plan Shares to be allotted and issued pursuant to the Assumed Awards are proposed to be issued directly to Cede &amp; Co., as the nominee of The Depository Trust Company (“</w:t>
      </w:r>
      <w:r>
        <w:rPr>
          <w:rFonts w:ascii="Arial;sans-serif" w:hAnsi="Arial;sans-serif"/>
          <w:b/>
          <w:color w:val="000000"/>
          <w:sz w:val="20"/>
        </w:rPr>
        <w:t>DTC</w:t>
      </w:r>
      <w:r>
        <w:rPr>
          <w:color w:val="000000"/>
        </w:rPr>
        <w:t>”</w:t>
      </w:r>
      <w:r>
        <w:rPr>
          <w:rFonts w:ascii="Arial;sans-serif" w:hAnsi="Arial;sans-serif"/>
          <w:b w:val="false"/>
          <w:color w:val="000000"/>
          <w:sz w:val="20"/>
        </w:rPr>
        <w:t>), the Company will have satisfied all requirements of DTC for acceptance of the Assumed Plan Shares as eligible for its depository and book entry transfer services.</w:t>
      </w:r>
    </w:p>
    <w:p>
      <w:pPr>
        <w:pStyle w:val="TextBody"/>
        <w:bidi w:val="0"/>
        <w:spacing w:lineRule="auto" w:line="333" w:before="0" w:after="240"/>
        <w:ind w:left="0" w:right="0" w:hanging="709"/>
        <w:jc w:val="both"/>
        <w:rPr/>
      </w:pPr>
      <w:r>
        <w:rPr>
          <w:rFonts w:ascii="Arial;sans-serif" w:hAnsi="Arial;sans-serif"/>
          <w:b w:val="false"/>
          <w:color w:val="000000"/>
          <w:sz w:val="22"/>
        </w:rPr>
        <w:t>4</w:t>
      </w:r>
      <w:r>
        <w:rPr>
          <w:rFonts w:ascii="Arial;sans-serif" w:hAnsi="Arial;sans-serif"/>
          <w:b/>
          <w:color w:val="000000"/>
          <w:sz w:val="22"/>
        </w:rPr>
        <w:t>Searches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No additional matters would have been disclosed by additional searches being carried out since that time.</w:t>
      </w:r>
    </w:p>
    <w:p>
      <w:pPr>
        <w:pStyle w:val="TextBody"/>
        <w:bidi w:val="0"/>
        <w:spacing w:before="0" w:after="0"/>
        <w:jc w:val="right"/>
        <w:rPr/>
      </w:pPr>
      <w:r>
        <w:rPr/>
        <w:drawing>
          <wp:inline distT="0" distB="0" distL="0" distR="0">
            <wp:extent cx="2809875" cy="3333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34"/>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33" w:before="0" w:after="240"/>
        <w:ind w:left="0" w:right="0" w:hanging="709"/>
        <w:jc w:val="both"/>
        <w:rPr/>
      </w:pPr>
      <w:r>
        <w:rPr>
          <w:rFonts w:ascii="Arial;sans-serif" w:hAnsi="Arial;sans-serif"/>
          <w:b w:val="false"/>
          <w:color w:val="000000"/>
          <w:sz w:val="22"/>
        </w:rPr>
        <w:t>5</w:t>
      </w:r>
      <w:r>
        <w:rPr>
          <w:rFonts w:ascii="Arial;sans-serif" w:hAnsi="Arial;sans-serif"/>
          <w:b/>
          <w:color w:val="000000"/>
          <w:sz w:val="22"/>
        </w:rPr>
        <w:t>Winding up</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has not, and at the time of the allotment and issue of any Assumed Plan Shares will not have, passed a voluntary winding-up resolution or a resolution to place the Company under court protection or to appoint a process adviser, and no petition has been, or will have been, presented to, and no order has been, or will have been, made by, a court for the winding-up of the Company or to place the Company under court protection or for the appointment of a process adviser.</w:t>
      </w:r>
    </w:p>
    <w:p>
      <w:pPr>
        <w:pStyle w:val="TextBody"/>
        <w:bidi w:val="0"/>
        <w:spacing w:lineRule="auto" w:line="333" w:before="0" w:after="240"/>
        <w:ind w:left="0" w:right="0" w:hanging="709"/>
        <w:jc w:val="both"/>
        <w:rPr/>
      </w:pPr>
      <w:r>
        <w:rPr>
          <w:rFonts w:ascii="Arial;sans-serif" w:hAnsi="Arial;sans-serif"/>
          <w:b w:val="false"/>
          <w:color w:val="000000"/>
          <w:sz w:val="22"/>
        </w:rPr>
        <w:t>6</w:t>
      </w:r>
      <w:r>
        <w:rPr>
          <w:rFonts w:ascii="Arial;sans-serif" w:hAnsi="Arial;sans-serif"/>
          <w:b/>
          <w:color w:val="000000"/>
          <w:sz w:val="22"/>
        </w:rPr>
        <w:t>Laws of Other Jurisdictions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obligations expressed to be assumed by each party to the Assumed Plan and all relevant documents referred to therein and/or relating to the Assumed Awards are legal, valid, binding and enforceable obligations under all applicable laws and in all applicable jurisdictions, other than, in the case of the Company, the laws of Ireland and the jurisdiction of Ireland.</w:t>
      </w:r>
    </w:p>
    <w:p>
      <w:pPr>
        <w:pStyle w:val="TextBody"/>
        <w:bidi w:val="0"/>
        <w:spacing w:lineRule="auto" w:line="333" w:before="0" w:after="240"/>
        <w:ind w:left="0" w:right="0" w:hanging="709"/>
        <w:jc w:val="both"/>
        <w:rPr/>
      </w:pPr>
      <w:r>
        <w:rPr>
          <w:rFonts w:ascii="Arial;sans-serif" w:hAnsi="Arial;sans-serif"/>
          <w:b w:val="false"/>
          <w:color w:val="000000"/>
          <w:sz w:val="22"/>
        </w:rPr>
        <w:t>7</w:t>
      </w:r>
      <w:r>
        <w:rPr>
          <w:rFonts w:ascii="Arial;sans-serif" w:hAnsi="Arial;sans-serif"/>
          <w:b/>
          <w:color w:val="000000"/>
          <w:sz w:val="22"/>
        </w:rPr>
        <w:t>General</w:t>
      </w:r>
    </w:p>
    <w:p>
      <w:pPr>
        <w:pStyle w:val="TextBody"/>
        <w:bidi w:val="0"/>
        <w:spacing w:lineRule="auto" w:line="333" w:before="0" w:after="240"/>
        <w:ind w:left="0" w:right="0" w:hanging="709"/>
        <w:jc w:val="both"/>
        <w:rPr/>
      </w:pPr>
      <w:r>
        <w:rPr>
          <w:rFonts w:ascii="Arial;sans-serif" w:hAnsi="Arial;sans-serif"/>
          <w:b w:val="false"/>
          <w:color w:val="000000"/>
          <w:sz w:val="20"/>
        </w:rPr>
        <w:t>7.1</w:t>
      </w:r>
      <w:r>
        <w:rPr>
          <w:rFonts w:ascii="Arial;sans-serif" w:hAnsi="Arial;sans-serif"/>
          <w:b/>
          <w:color w:val="000000"/>
          <w:sz w:val="20"/>
        </w:rPr>
        <w:t>Financial Restrictions and Sanctions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Assumed Plan and the Assumed Awards and the transactions contemplated thereby and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pStyle w:val="TextBody"/>
        <w:bidi w:val="0"/>
        <w:spacing w:lineRule="auto" w:line="333" w:before="0" w:after="240"/>
        <w:ind w:left="0" w:right="0" w:hanging="709"/>
        <w:jc w:val="both"/>
        <w:rPr/>
      </w:pPr>
      <w:r>
        <w:rPr>
          <w:rFonts w:ascii="Arial;sans-serif" w:hAnsi="Arial;sans-serif"/>
          <w:b w:val="false"/>
          <w:color w:val="000000"/>
          <w:sz w:val="20"/>
        </w:rPr>
        <w:t>7.2</w:t>
      </w:r>
      <w:r>
        <w:rPr>
          <w:rFonts w:ascii="Arial;sans-serif" w:hAnsi="Arial;sans-serif"/>
          <w:b/>
          <w:color w:val="000000"/>
          <w:sz w:val="20"/>
        </w:rPr>
        <w:t>No Bad Faith, Fraud, Coercion, Duress or Undue Influence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has been no bad faith, fraud, coercion, duress or undue influence on the part of any of the parties to any of the documents or other materials we have examined for the purpose of this Opinion (including the Company), or their respective directors, employees, agents and / or advisers.</w:t>
      </w:r>
    </w:p>
    <w:p>
      <w:pPr>
        <w:pStyle w:val="TextBody"/>
        <w:bidi w:val="0"/>
        <w:spacing w:before="0" w:after="0"/>
        <w:jc w:val="right"/>
        <w:rPr/>
      </w:pPr>
      <w:r>
        <w:rPr/>
        <w:drawing>
          <wp:inline distT="0" distB="0" distL="0" distR="0">
            <wp:extent cx="2809875" cy="33337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35"/>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Qualifications</w:t>
      </w:r>
    </w:p>
    <w:p>
      <w:pPr>
        <w:pStyle w:val="TextBody"/>
        <w:bidi w:val="0"/>
        <w:spacing w:before="0" w:after="0"/>
        <w:jc w:val="both"/>
        <w:rPr/>
      </w:pPr>
      <w:r>
        <w:rPr/>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The opinions contained herein are given subject to the qualifications set out in this Schedule.</w:t>
      </w:r>
    </w:p>
    <w:p>
      <w:pPr>
        <w:pStyle w:val="TextBody"/>
        <w:bidi w:val="0"/>
        <w:spacing w:lineRule="auto" w:line="333" w:before="0" w:after="240"/>
        <w:ind w:left="0" w:right="0" w:hanging="709"/>
        <w:jc w:val="both"/>
        <w:rPr/>
      </w:pPr>
      <w:r>
        <w:rPr>
          <w:rFonts w:ascii="Arial;sans-serif" w:hAnsi="Arial;sans-serif"/>
          <w:b w:val="false"/>
          <w:color w:val="000000"/>
          <w:sz w:val="22"/>
        </w:rPr>
        <w:t>1</w:t>
      </w:r>
      <w:r>
        <w:rPr>
          <w:rFonts w:ascii="Arial;sans-serif" w:hAnsi="Arial;sans-serif"/>
          <w:b/>
          <w:color w:val="000000"/>
          <w:sz w:val="22"/>
        </w:rPr>
        <w:t>Searches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are some potential limitations to the effectiveness of the Searches. These include:</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(a)A search in the Companies Registration Office will not reveal whether a petition has been presented to the Irish courts for the appointment of a liquidator or an examiner.</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(b)A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(c)A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ptos;sans-serif" w:hAnsi="Aptos;sans-serif"/>
          <w:b/>
          <w:color w:val="000000"/>
          <w:sz w:val="24"/>
        </w:rPr>
      </w:pPr>
      <w:r>
        <w:rPr>
          <w:rFonts w:ascii="Aptos;sans-serif" w:hAnsi="Aptos;sans-serif"/>
          <w:b/>
          <w:color w:val="000000"/>
          <w:sz w:val="24"/>
        </w:rPr>
        <w:t>Exhibit 23.1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21" w:before="0" w:after="160"/>
        <w:jc w:val="center"/>
        <w:rPr>
          <w:rFonts w:ascii="Aptos;sans-serif" w:hAnsi="Aptos;sans-serif"/>
          <w:b/>
          <w:color w:val="000000"/>
          <w:sz w:val="24"/>
        </w:rPr>
      </w:pPr>
      <w:r>
        <w:rPr>
          <w:rFonts w:ascii="Aptos;sans-serif" w:hAnsi="Aptos;sans-serif"/>
          <w:b/>
          <w:color w:val="000000"/>
          <w:sz w:val="24"/>
        </w:rPr>
        <w:t>CONSENT OF INDEPENDENT REGISTERED PUBLIC ACCOUNTING FIRM</w:t>
      </w:r>
    </w:p>
    <w:p>
      <w:pPr>
        <w:pStyle w:val="TextBody"/>
        <w:bidi w:val="0"/>
        <w:spacing w:lineRule="auto" w:line="321" w:before="0" w:after="40"/>
        <w:jc w:val="left"/>
        <w:rPr>
          <w:color w:val="000000"/>
        </w:rPr>
      </w:pPr>
      <w:r>
        <w:rPr>
          <w:color w:val="000000"/>
        </w:rPr>
        <w:t> </w:t>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We consent to the use of our reports dated February 4, 2026, with respect to the consolidated financial statements of Weatherford International plc, and the effectiveness of internal control over financial reporting, incorporated herein by reference.</w:t>
      </w:r>
    </w:p>
    <w:p>
      <w:pPr>
        <w:pStyle w:val="TextBody"/>
        <w:bidi w:val="0"/>
        <w:spacing w:lineRule="auto" w:line="321" w:before="0" w:after="40"/>
        <w:jc w:val="left"/>
        <w:rPr>
          <w:color w:val="000000"/>
        </w:rPr>
      </w:pPr>
      <w:r>
        <w:rPr>
          <w:color w:val="000000"/>
        </w:rPr>
        <w:t> </w:t>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/s/ KPMG LLP        </w:t>
      </w:r>
    </w:p>
    <w:p>
      <w:pPr>
        <w:pStyle w:val="TextBody"/>
        <w:bidi w:val="0"/>
        <w:spacing w:before="0" w:after="40"/>
        <w:jc w:val="left"/>
        <w:rPr/>
      </w:pPr>
      <w:r>
        <w:rPr/>
      </w:r>
    </w:p>
    <w:p>
      <w:pPr>
        <w:pStyle w:val="TextBody"/>
        <w:bidi w:val="0"/>
        <w:spacing w:lineRule="auto" w:line="288" w:before="0" w:after="0"/>
        <w:jc w:val="left"/>
        <w:rPr>
          <w:rFonts w:ascii="Aptos;sans-serif" w:hAnsi="Aptos;sans-serif"/>
          <w:b w:val="false"/>
          <w:color w:val="000000"/>
          <w:sz w:val="24"/>
        </w:rPr>
      </w:pPr>
      <w:r>
        <w:rPr>
          <w:rFonts w:ascii="Aptos;sans-serif" w:hAnsi="Aptos;sans-serif"/>
          <w:b w:val="false"/>
          <w:color w:val="000000"/>
          <w:sz w:val="24"/>
        </w:rPr>
        <w:t>Houston, Texas</w:t>
      </w:r>
    </w:p>
    <w:p>
      <w:pPr>
        <w:pStyle w:val="TextBody"/>
        <w:bidi w:val="0"/>
        <w:spacing w:lineRule="auto" w:line="288"/>
        <w:jc w:val="left"/>
        <w:rPr>
          <w:rFonts w:ascii="Aptos;sans-serif" w:hAnsi="Aptos;sans-serif"/>
          <w:b w:val="false"/>
          <w:color w:val="000000"/>
          <w:sz w:val="24"/>
        </w:rPr>
      </w:pPr>
      <w:r>
        <w:rPr>
          <w:rFonts w:ascii="Aptos;sans-serif" w:hAnsi="Aptos;sans-serif"/>
          <w:b w:val="false"/>
          <w:color w:val="000000"/>
          <w:sz w:val="24"/>
        </w:rPr>
        <w:t>September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3"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NCS MULTISTAGE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2017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(Effective May 21, 2025)</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Purpose</w:t>
      </w:r>
      <w:r>
        <w:rPr>
          <w:rFonts w:ascii="Times New Roman;serif" w:hAnsi="Times New Roman;serif"/>
          <w:b w:val="false"/>
          <w:color w:val="000000"/>
          <w:sz w:val="24"/>
        </w:rPr>
        <w:t xml:space="preserve">. </w:t>
      </w:r>
    </w:p>
    <w:p>
      <w:pPr>
        <w:pStyle w:val="TextBody"/>
        <w:bidi w:val="0"/>
        <w:spacing w:lineRule="auto" w:line="288" w:before="0" w:after="240"/>
        <w:jc w:val="left"/>
        <w:rPr/>
      </w:pPr>
      <w:r>
        <w:rPr>
          <w:rFonts w:ascii="Times New Roman;serif" w:hAnsi="Times New Roman;serif"/>
          <w:b w:val="false"/>
          <w:color w:val="000000"/>
          <w:sz w:val="24"/>
        </w:rPr>
        <w:t>1.1</w:t>
      </w:r>
      <w:r>
        <w:rPr>
          <w:color w:val="000000"/>
        </w:rPr>
        <w:t>    </w:t>
      </w:r>
      <w:r>
        <w:rPr>
          <w:rFonts w:ascii="Times New Roman;serif" w:hAnsi="Times New Roman;serif"/>
          <w:b w:val="false"/>
          <w:color w:val="000000"/>
          <w:sz w:val="24"/>
        </w:rPr>
        <w:t>The purpose of the NCS Multistage Holdings, Inc. Amended and Restated 2017 Equity Incentive Plan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Definitions</w:t>
      </w:r>
      <w:r>
        <w:rPr>
          <w:rFonts w:ascii="Times New Roman;serif" w:hAnsi="Times New Roman;serif"/>
          <w:b w:val="false"/>
          <w:color w:val="000000"/>
          <w:sz w:val="24"/>
        </w:rPr>
        <w:t>. Wherever the following capitalized terms are used in the Plan and/or Award Agreement (as defined below), they shall have the meanings specified below:</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Award</w:t>
      </w:r>
      <w:r>
        <w:rPr>
          <w:color w:val="000000"/>
        </w:rPr>
        <w:t xml:space="preserve">” </w:t>
      </w:r>
      <w:r>
        <w:rPr>
          <w:rFonts w:ascii="Times New Roman;serif" w:hAnsi="Times New Roman;serif"/>
          <w:b w:val="false"/>
          <w:color w:val="000000"/>
          <w:sz w:val="24"/>
        </w:rPr>
        <w:t>means an award of a Stock Option, Stock Appreciation Right, Restricted Stock Award, Restricted Stock Unit, Cash Performance Award or Stock Award granted under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Award Agreement</w:t>
      </w:r>
      <w:r>
        <w:rPr>
          <w:color w:val="000000"/>
        </w:rPr>
        <w:t xml:space="preserve">” </w:t>
      </w:r>
      <w:r>
        <w:rPr>
          <w:rFonts w:ascii="Times New Roman;serif" w:hAnsi="Times New Roman;serif"/>
          <w:b w:val="false"/>
          <w:color w:val="000000"/>
          <w:sz w:val="24"/>
        </w:rPr>
        <w:t>means a notice or an agreement entered into between the Company and a Participant setting forth the terms and conditions of an Award granted to a Participant as provided in Section 15.2 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Beneficial Owner</w:t>
      </w:r>
      <w:r>
        <w:rPr>
          <w:color w:val="000000"/>
        </w:rPr>
        <w:t xml:space="preserve">” </w:t>
      </w:r>
      <w:r>
        <w:rPr>
          <w:rFonts w:ascii="Times New Roman;serif" w:hAnsi="Times New Roman;serif"/>
          <w:b w:val="false"/>
          <w:color w:val="000000"/>
          <w:sz w:val="24"/>
        </w:rPr>
        <w:t>shall have the meaning ascribed to such term in Rule 13d-3 under the Exchange Act.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Cash Performance Award</w:t>
      </w:r>
      <w:r>
        <w:rPr>
          <w:color w:val="000000"/>
        </w:rPr>
        <w:t xml:space="preserve">” </w:t>
      </w:r>
      <w:r>
        <w:rPr>
          <w:rFonts w:ascii="Times New Roman;serif" w:hAnsi="Times New Roman;serif"/>
          <w:b w:val="false"/>
          <w:color w:val="000000"/>
          <w:sz w:val="24"/>
        </w:rPr>
        <w:t>means an Award that is denominated by a cash amount to an Eligible Person under Section 10 hereof and payable based on or conditioned upon the attainment of pre-established business and/or individual Performance Goals over a specified performance period.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shall have the meaning set forth in Section 13.2 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shall have the meaning set forth in Section 12.2 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Committee</w:t>
      </w:r>
      <w:r>
        <w:rPr>
          <w:color w:val="000000"/>
        </w:rPr>
        <w:t xml:space="preserve">” </w:t>
      </w:r>
      <w:r>
        <w:rPr>
          <w:rFonts w:ascii="Times New Roman;serif" w:hAnsi="Times New Roman;serif"/>
          <w:b w:val="false"/>
          <w:color w:val="000000"/>
          <w:sz w:val="24"/>
        </w:rPr>
        <w:t>means (i) the Compensation Committee of the Board, (ii) such other committee of the Board appointed by the Board to administer the Plan or (iii) the Board, as determined by the Board.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Common Stock</w:t>
      </w:r>
      <w:r>
        <w:rPr>
          <w:color w:val="000000"/>
        </w:rPr>
        <w:t xml:space="preserve">” </w:t>
      </w:r>
      <w:r>
        <w:rPr>
          <w:rFonts w:ascii="Times New Roman;serif" w:hAnsi="Times New Roman;serif"/>
          <w:b w:val="false"/>
          <w:color w:val="000000"/>
          <w:sz w:val="24"/>
        </w:rPr>
        <w:t>means the Company’s common stock, par value $0.01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Company</w:t>
      </w:r>
      <w:r>
        <w:rPr>
          <w:color w:val="000000"/>
        </w:rPr>
        <w:t xml:space="preserve">” </w:t>
      </w:r>
      <w:r>
        <w:rPr>
          <w:rFonts w:ascii="Times New Roman;serif" w:hAnsi="Times New Roman;serif"/>
          <w:b w:val="false"/>
          <w:color w:val="000000"/>
          <w:sz w:val="24"/>
        </w:rPr>
        <w:t xml:space="preserve">means NCS Multistage Holdings, Inc., a Delaware corporation or any successor thereto.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Date of Grant</w:t>
      </w:r>
      <w:r>
        <w:rPr>
          <w:color w:val="000000"/>
        </w:rPr>
        <w:t xml:space="preserve">” </w:t>
      </w:r>
      <w:r>
        <w:rPr>
          <w:rFonts w:ascii="Times New Roman;serif" w:hAnsi="Times New Roman;serif"/>
          <w:b w:val="false"/>
          <w:color w:val="000000"/>
          <w:sz w:val="24"/>
        </w:rPr>
        <w:t>means the date on which an Award under the Plan is granted by the Committee or such later date as the Committee may specify to be the effective date of an Award.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mean, unless otherwise defined in an individual Award Agreement, the Participant has been unable to perform the essential duties, responsibilities and functions of Participant’s position with the Company and its subsidiaries by reason of any medically determinable physical or mental impairment for 180 days in any one (1) year period and has qualified to receive long-term disability payments under the Company’s long-term disability policy, as may be in effect from time to time. Participant shall cooperate in all respects with the Company if a question arises as to whether he has become subject to a Disability (including, without limitation, submitting to reasonable examinations by one or more medical doctors and other health care specialists selected by the Company and authorizing such medical doctors and other health care specialists to discuss Participant’s condition with the Company). Notwithstanding the foregoing, in the event that a Participant is party to an employment, severance or similar agreement with the Company or any of its affiliates and such agreement contains a definition of “Disability,” the definition of “Disability” set forth above shall be deemed replaced and superseded, with respect to such Participant, by the definition of “Disability” used in such employment, severance or similar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Effective Date</w:t>
      </w:r>
      <w:r>
        <w:rPr>
          <w:color w:val="000000"/>
        </w:rPr>
        <w:t xml:space="preserve">” </w:t>
      </w:r>
      <w:r>
        <w:rPr>
          <w:rFonts w:ascii="Times New Roman;serif" w:hAnsi="Times New Roman;serif"/>
          <w:b w:val="false"/>
          <w:color w:val="000000"/>
          <w:sz w:val="24"/>
        </w:rPr>
        <w:t>means the date on which the stockholders of the Company initially approved the NCS Multistage Holdings, Inc. 2017 Equity Incentive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Eligible Person</w:t>
      </w:r>
      <w:r>
        <w:rPr>
          <w:color w:val="000000"/>
        </w:rPr>
        <w:t xml:space="preserve">” </w:t>
      </w:r>
      <w:r>
        <w:rPr>
          <w:rFonts w:ascii="Times New Roman;serif" w:hAnsi="Times New Roman;serif"/>
          <w:b w:val="false"/>
          <w:color w:val="000000"/>
          <w:sz w:val="24"/>
        </w:rPr>
        <w:t>means any person who is an employee, Non-Employee Director, consultant or other personal service provider of the Company or any of its Subsidiaries.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Excluded Persons</w:t>
      </w:r>
      <w:r>
        <w:rPr>
          <w:color w:val="000000"/>
        </w:rPr>
        <w:t xml:space="preserve">” </w:t>
      </w:r>
      <w:r>
        <w:rPr>
          <w:rFonts w:ascii="Times New Roman;serif" w:hAnsi="Times New Roman;serif"/>
          <w:b w:val="false"/>
          <w:color w:val="000000"/>
          <w:sz w:val="24"/>
        </w:rPr>
        <w:t>means Advent International Corporation and its affiliates.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means, with respect to a share of Common Stock as of a given date of determination hereunder, for purposes of determining the exercise price per share of a Stock Option and the base price of a Stock Appreciation Right, (i) the closing price as reported on the Nasdaq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or (ii) the initial public offering price of a share of Common Stock for grants of such Awards made in connection with the Company’s initial public offering. For all other purposes, “Fair Market Value” shall be such value as determined by the Board in its discretion and, to the extent necessary, shall be determined in a manner consistent with Section 409A of the Code and the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Incentive Stock Option</w:t>
      </w:r>
      <w:r>
        <w:rPr>
          <w:color w:val="000000"/>
        </w:rPr>
        <w:t xml:space="preserve">” </w:t>
      </w:r>
      <w:r>
        <w:rPr>
          <w:rFonts w:ascii="Times New Roman;serif" w:hAnsi="Times New Roman;serif"/>
          <w:b w:val="false"/>
          <w:color w:val="000000"/>
          <w:sz w:val="24"/>
        </w:rPr>
        <w:t>means a Stock Option granted under Section 6 hereof that is intended to meet the requirements of Section 422 of the Code and the regulations thereunder.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Non-Employee</w:t>
      </w:r>
      <w:r>
        <w:rPr>
          <w:color w:val="000000"/>
        </w:rPr>
        <w:t xml:space="preserve"> </w:t>
      </w:r>
      <w:r>
        <w:rPr>
          <w:rFonts w:ascii="Times New Roman;serif" w:hAnsi="Times New Roman;serif"/>
          <w:b w:val="false"/>
          <w:i/>
          <w:color w:val="000000"/>
          <w:sz w:val="24"/>
        </w:rPr>
        <w:t>Director</w:t>
      </w:r>
      <w:r>
        <w:rPr>
          <w:color w:val="000000"/>
        </w:rPr>
        <w:t xml:space="preserve">” </w:t>
      </w:r>
      <w:r>
        <w:rPr>
          <w:rFonts w:ascii="Times New Roman;serif" w:hAnsi="Times New Roman;serif"/>
          <w:b w:val="false"/>
          <w:color w:val="000000"/>
          <w:sz w:val="24"/>
        </w:rPr>
        <w:t>means a member of the Board who is not an employee of the Company or any of its Subsidiaries.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Nonqualified Stock Option</w:t>
      </w:r>
      <w:r>
        <w:rPr>
          <w:color w:val="000000"/>
        </w:rPr>
        <w:t xml:space="preserve">” </w:t>
      </w:r>
      <w:r>
        <w:rPr>
          <w:rFonts w:ascii="Times New Roman;serif" w:hAnsi="Times New Roman;serif"/>
          <w:b w:val="false"/>
          <w:color w:val="000000"/>
          <w:sz w:val="24"/>
        </w:rPr>
        <w:t>means a Stock Option granted under Section 6 hereof that is not an Incentive Stock Option.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 any Eligible Person who holds an outstanding Award under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Performance Award</w:t>
      </w:r>
      <w:r>
        <w:rPr>
          <w:color w:val="000000"/>
        </w:rPr>
        <w:t xml:space="preserve">” </w:t>
      </w:r>
      <w:r>
        <w:rPr>
          <w:rFonts w:ascii="Times New Roman;serif" w:hAnsi="Times New Roman;serif"/>
          <w:b w:val="false"/>
          <w:color w:val="000000"/>
          <w:sz w:val="24"/>
        </w:rPr>
        <w:t>shall mean any Award designated to be paid or distributed based on or conditioned upon the attainment of pre-established business and/or individual Performance Goals over a specified performance period.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Performance Goals</w:t>
      </w:r>
      <w:r>
        <w:rPr>
          <w:color w:val="000000"/>
        </w:rPr>
        <w:t xml:space="preserve">” </w:t>
      </w:r>
      <w:r>
        <w:rPr>
          <w:rFonts w:ascii="Times New Roman;serif" w:hAnsi="Times New Roman;serif"/>
          <w:b w:val="false"/>
          <w:color w:val="000000"/>
          <w:sz w:val="24"/>
        </w:rPr>
        <w:t>shall be the levels of achievement relating to the performance criteria selected by the Committee for the Award, which may be applied on an individual performance basis, an absolute basis or relative to an identified index, peer group, or one or more competitors or other companies (including particular business segments or divisions of such companies), as specified by the Committee, and which need not be the same for all Participants.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Performance Stock Unit</w:t>
      </w:r>
      <w:r>
        <w:rPr>
          <w:color w:val="000000"/>
        </w:rPr>
        <w:t xml:space="preserve">” </w:t>
      </w:r>
      <w:r>
        <w:rPr>
          <w:rFonts w:ascii="Times New Roman;serif" w:hAnsi="Times New Roman;serif"/>
          <w:b w:val="false"/>
          <w:color w:val="000000"/>
          <w:sz w:val="24"/>
        </w:rPr>
        <w:t>means a Restricted Stock Unit designated as a Performance Stock Unit under Section 9.1 hereof, to be paid or distributed based on or conditioned upon the attainment of pre-established business and/or individual Performance Goals over a specified performance period.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shall have the meaning ascribed to such term in Section 3(a)(9) of the Exchange Act and used in Sections 13(d) and 14(d) thereof, including a “group” as defined in Section 13(d) thereof.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Plan</w:t>
      </w:r>
      <w:r>
        <w:rPr>
          <w:color w:val="000000"/>
        </w:rPr>
        <w:t xml:space="preserve">” </w:t>
      </w:r>
      <w:r>
        <w:rPr>
          <w:rFonts w:ascii="Times New Roman;serif" w:hAnsi="Times New Roman;serif"/>
          <w:b w:val="false"/>
          <w:color w:val="000000"/>
          <w:sz w:val="24"/>
        </w:rPr>
        <w:t>means the NCS Multistage Holdings, Inc. Amended and Restated 2017 Equity Incentive Plan as set forth herein, effective and as may be amended from time to time, as provided herein, and includes any sub-plan or appendix that may be created and approved by the Board to allow Eligible Persons of Subsidiaries to participate in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Restatement Effective Date</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shd w:fill="FFFFFF" w:val="clear"/>
        </w:rPr>
        <w:t>the date of the approval by the stockholders of the Company of this amendment and restatement of the Plan, which date is May 21, 2025.</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Restricted Stock Award</w:t>
      </w:r>
      <w:r>
        <w:rPr>
          <w:color w:val="000000"/>
        </w:rPr>
        <w:t xml:space="preserve">” </w:t>
      </w:r>
      <w:r>
        <w:rPr>
          <w:rFonts w:ascii="Times New Roman;serif" w:hAnsi="Times New Roman;serif"/>
          <w:b w:val="false"/>
          <w:color w:val="000000"/>
          <w:sz w:val="24"/>
        </w:rPr>
        <w:t>means a grant of shares of Common Stock to an Eligible Person under Section 8 hereof that are issued subject to such vesting and transfer restrictions as the Committee shall determine, and such other conditions, as are set forth in the Plan and the applicable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Restricted Stock Unit</w:t>
      </w:r>
      <w:r>
        <w:rPr>
          <w:color w:val="000000"/>
        </w:rPr>
        <w:t xml:space="preserve">” </w:t>
      </w:r>
      <w:r>
        <w:rPr>
          <w:rFonts w:ascii="Times New Roman;serif" w:hAnsi="Times New Roman;serif"/>
          <w:b w:val="false"/>
          <w:color w:val="000000"/>
          <w:sz w:val="24"/>
        </w:rPr>
        <w:t>means a contractual right granted to an Eligible Person under Section 9 hereof representing notional unit interests equal in value to a share of Common Stock to be paid or distributed at such times, and subject to such conditions, as set forth in the Plan and the applicable Award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 as the same may be amended from time to time.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Service</w:t>
      </w:r>
      <w:r>
        <w:rPr>
          <w:color w:val="000000"/>
        </w:rPr>
        <w:t xml:space="preserve">” </w:t>
      </w:r>
      <w:r>
        <w:rPr>
          <w:rFonts w:ascii="Times New Roman;serif" w:hAnsi="Times New Roman;serif"/>
          <w:b w:val="false"/>
          <w:color w:val="000000"/>
          <w:sz w:val="24"/>
        </w:rPr>
        <w:t>means a Participant’s employment with the Company or any Subsidiary or a Participant’s service as a Non-Employee Director, consultant or other service provider with the Company or any Subsidiary, as applicable.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Stock Appreciation Right</w:t>
      </w:r>
      <w:r>
        <w:rPr>
          <w:color w:val="000000"/>
        </w:rPr>
        <w:t xml:space="preserve">” </w:t>
      </w:r>
      <w:r>
        <w:rPr>
          <w:rFonts w:ascii="Times New Roman;serif" w:hAnsi="Times New Roman;serif"/>
          <w:b w:val="false"/>
          <w:color w:val="000000"/>
          <w:sz w:val="24"/>
        </w:rPr>
        <w:t>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Stock Award</w:t>
      </w:r>
      <w:r>
        <w:rPr>
          <w:color w:val="000000"/>
        </w:rPr>
        <w:t xml:space="preserve">” </w:t>
      </w:r>
      <w:r>
        <w:rPr>
          <w:rFonts w:ascii="Times New Roman;serif" w:hAnsi="Times New Roman;serif"/>
          <w:b w:val="false"/>
          <w:color w:val="000000"/>
          <w:sz w:val="24"/>
        </w:rPr>
        <w:t>means a grant of shares of Common Stock to an Eligible Person under Section 11 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Stock Option</w:t>
      </w:r>
      <w:r>
        <w:rPr>
          <w:color w:val="000000"/>
        </w:rPr>
        <w:t xml:space="preserve">” </w:t>
      </w:r>
      <w:r>
        <w:rPr>
          <w:rFonts w:ascii="Times New Roman;serif" w:hAnsi="Times New Roman;serif"/>
          <w:b w:val="false"/>
          <w:color w:val="000000"/>
          <w:sz w:val="24"/>
        </w:rPr>
        <w:t>means a contractual right granted to an Eligible Person under Section 6 hereof to purchase shares of Common Stock at such time and price, and subject to such conditions, as are set forth in the Plan and the applicable Award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 xml:space="preserve">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Incentive Stock Options, the term “Subsidiary” shall include only an entity that qualifies under Section 424(f) of the Code as a “subsidiary corporation” with respect to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Administration</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3.1</w:t>
      </w:r>
      <w:r>
        <w:rPr>
          <w:rFonts w:ascii="Times New Roman;serif" w:hAnsi="Times New Roman;serif"/>
          <w:b w:val="false"/>
          <w:i/>
          <w:color w:val="000000"/>
          <w:sz w:val="24"/>
        </w:rPr>
        <w:t>Committee Members</w:t>
      </w:r>
      <w:r>
        <w:rPr>
          <w:rFonts w:ascii="Times New Roman;serif" w:hAnsi="Times New Roman;serif"/>
          <w:b w:val="false"/>
          <w:color w:val="000000"/>
          <w:sz w:val="24"/>
        </w:rPr>
        <w:t>. The Plan shall be administered by a Committee comprised of no fewer than two members of the Board who are appointed by the Board to administer the Plan. To the extent deemed necessary by the Board, each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Neither the Company nor any member of the Committee shall be liable for any action or determination made in good faith by the Committee with respect to the Plan or any Award thereunder.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3.2</w:t>
      </w:r>
      <w:r>
        <w:rPr>
          <w:rFonts w:ascii="Times New Roman;serif" w:hAnsi="Times New Roman;serif"/>
          <w:b w:val="false"/>
          <w:i/>
          <w:color w:val="000000"/>
          <w:sz w:val="24"/>
        </w:rPr>
        <w:t>Committee Authority</w:t>
      </w:r>
      <w:r>
        <w:rPr>
          <w:rFonts w:ascii="Times New Roman;serif" w:hAnsi="Times New Roman;serif"/>
          <w:b w:val="false"/>
          <w:color w:val="000000"/>
          <w:sz w:val="24"/>
        </w:rPr>
        <w:t xml:space="preserve">. The Committee shall have all powers and discretion necessary or appropriate to administer the Plan and to control its operation, including, but not limited to, the power to (i) determine the Eligible Persons to whom Awards shall be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termination of Service under certain circumstances, as set forth in the Award Agreement or otherwise, but subject to the provisions set forth in Section 12.1 of the Plan), and (xi) adopt such procedures, modifications or subplans as are necessary or appropriate to permit participation in the Plan by Eligible Persons who are foreign nationals or employed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3.3</w:t>
      </w:r>
      <w:r>
        <w:rPr>
          <w:rFonts w:ascii="Times New Roman;serif" w:hAnsi="Times New Roman;serif"/>
          <w:b w:val="false"/>
          <w:i/>
          <w:color w:val="000000"/>
          <w:sz w:val="24"/>
        </w:rPr>
        <w:t>Delegation of Authority</w:t>
      </w:r>
      <w:r>
        <w:rPr>
          <w:rFonts w:ascii="Times New Roman;serif" w:hAnsi="Times New Roman;serif"/>
          <w:b w:val="false"/>
          <w:color w:val="000000"/>
          <w:sz w:val="24"/>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any successor provision)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Shares Subject to the Plan</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4.1</w:t>
      </w:r>
      <w:r>
        <w:rPr>
          <w:rFonts w:ascii="Times New Roman;serif" w:hAnsi="Times New Roman;serif"/>
          <w:b w:val="false"/>
          <w:i/>
          <w:color w:val="000000"/>
          <w:sz w:val="24"/>
        </w:rPr>
        <w:t>Number of Shares Reserved</w:t>
      </w:r>
      <w:r>
        <w:rPr>
          <w:rFonts w:ascii="Times New Roman;serif" w:hAnsi="Times New Roman;serif"/>
          <w:b w:val="false"/>
          <w:color w:val="000000"/>
          <w:sz w:val="24"/>
        </w:rPr>
        <w:t>.  Subject to adjustment as provided in Section 4.5 hereof, the total number of Shares of Common Stock that are reserved for issuance under the Plan (the “</w:t>
      </w:r>
      <w:r>
        <w:rPr>
          <w:rFonts w:ascii="Times New Roman;serif" w:hAnsi="Times New Roman;serif"/>
          <w:b w:val="false"/>
          <w:i/>
          <w:color w:val="000000"/>
          <w:sz w:val="24"/>
        </w:rPr>
        <w:t>Share Reserve</w:t>
      </w:r>
      <w:r>
        <w:rPr>
          <w:color w:val="000000"/>
        </w:rPr>
        <w:t>”</w:t>
      </w:r>
      <w:r>
        <w:rPr>
          <w:rFonts w:ascii="Times New Roman;serif" w:hAnsi="Times New Roman;serif"/>
          <w:b w:val="false"/>
          <w:color w:val="000000"/>
          <w:sz w:val="24"/>
        </w:rPr>
        <w:t xml:space="preserve">) shall equal 876,626 shares of Common Stock, all of which may be granted as Incentive Stock Options to those individuals set forth in Section 6.7(a). Each share of Common Stock subject to an Award shall reduce the Share Reserve by one share;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Awards that are required to be paid in cash pursuant to their terms shall not reduce the Share Reserve. Any shares of Common Stock delivered under the Plan shall consist of authorized and unissued shares or treasury shares.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4.2</w:t>
      </w:r>
      <w:r>
        <w:rPr>
          <w:rFonts w:ascii="Times New Roman;serif" w:hAnsi="Times New Roman;serif"/>
          <w:b w:val="false"/>
          <w:i/>
          <w:color w:val="000000"/>
          <w:sz w:val="24"/>
        </w:rPr>
        <w:t>Share Replenishment</w:t>
      </w:r>
      <w:r>
        <w:rPr>
          <w:rFonts w:ascii="Times New Roman;serif" w:hAnsi="Times New Roman;serif"/>
          <w:b w:val="false"/>
          <w:color w:val="000000"/>
          <w:sz w:val="24"/>
        </w:rPr>
        <w:t xml:space="preserve">. To the extent that an Award granted under this Plan is canceled, expired, forfeited, surrendered, settled by delivery of fewer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than the number underlying the Award, as applicable, or otherwise terminated without delivery of the shares of Common Stock or payment of consideration to the Participant under the Plan, the shares of Common Stock retained by or returned to the Company will (i) not be deemed to have been delivered under the Plan, as applicable, (ii) be available for future Awards under the Plan, and (iii) increase the Share Reserve by one share for each share that is retained by or returned to the Company. Notwithstanding the foregoing, shares of Common Stock that are (a) withheld from an Award in payment of the exercise or purchase price or taxes relating to such an Award or (b) not issued or delivered as a result of the net settlement of an outstanding Stock Option or Stock Appreciation Right under the Plan, as applicable, will be deemed to have been delivered under the Plan and will not be available for future Awards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4.3</w:t>
      </w:r>
      <w:r>
        <w:rPr>
          <w:rFonts w:ascii="Times New Roman;serif" w:hAnsi="Times New Roman;serif"/>
          <w:b w:val="false"/>
          <w:i/>
          <w:color w:val="000000"/>
          <w:sz w:val="24"/>
        </w:rPr>
        <w:t xml:space="preserve">Reserved.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4.4</w:t>
      </w:r>
      <w:r>
        <w:rPr>
          <w:rFonts w:ascii="Times New Roman;serif" w:hAnsi="Times New Roman;serif"/>
          <w:b w:val="false"/>
          <w:i/>
          <w:color w:val="000000"/>
          <w:sz w:val="24"/>
        </w:rPr>
        <w:t>Awards Granted to Non-Employee Directors</w:t>
      </w:r>
      <w:r>
        <w:rPr>
          <w:rFonts w:ascii="Times New Roman;serif" w:hAnsi="Times New Roman;serif"/>
          <w:b w:val="false"/>
          <w:color w:val="000000"/>
          <w:sz w:val="24"/>
        </w:rPr>
        <w:t xml:space="preserve">. No Non-Employee Director may be granted, during any calendar year, Awards having a fair value (determined on the date of grant) that, when added to all cash compensation paid to the Non-Employee Director during the same calendar year, exceeds $750,000. </w:t>
      </w:r>
    </w:p>
    <w:p>
      <w:pPr>
        <w:pStyle w:val="TextBody"/>
        <w:bidi w:val="0"/>
        <w:spacing w:lineRule="auto" w:line="240" w:before="0" w:after="240"/>
        <w:ind w:left="0" w:right="0" w:firstLine="720"/>
        <w:jc w:val="left"/>
        <w:rPr/>
      </w:pPr>
      <w:r>
        <w:rPr>
          <w:rFonts w:ascii="Times New Roman;serif" w:hAnsi="Times New Roman;serif"/>
          <w:b w:val="false"/>
          <w:color w:val="000000"/>
          <w:sz w:val="24"/>
        </w:rPr>
        <w:t>4.5</w:t>
      </w:r>
      <w:r>
        <w:rPr>
          <w:rFonts w:ascii="Times New Roman;serif" w:hAnsi="Times New Roman;serif"/>
          <w:b w:val="false"/>
          <w:i/>
          <w:color w:val="000000"/>
          <w:sz w:val="24"/>
        </w:rPr>
        <w:t>Adjustments</w:t>
      </w:r>
      <w:r>
        <w:rPr>
          <w:rFonts w:ascii="Times New Roman;serif" w:hAnsi="Times New Roman;serif"/>
          <w:b w:val="false"/>
          <w:color w:val="000000"/>
          <w:sz w:val="24"/>
        </w:rPr>
        <w:t xml:space="preserve">.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or other similar corporate change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provided in Sections 4.1 and 4.4 hereof (including the maximum number of shares of Common Stock that may become payable to a Participant provided in Section 4.4 hereof), (ii) the number and kind of shares of Common Stock, units or other rights subject to then outstanding Awards, (iii) the exercise or base price for each share or unit or other right subject to then outstanding Awards, (iv) other value determinations applicable to the Plan and/or outstanding Awards, and (v) 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 424(a) of the Code. </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Eligibility and Awards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5.1</w:t>
      </w:r>
      <w:r>
        <w:rPr>
          <w:rFonts w:ascii="Times New Roman;serif" w:hAnsi="Times New Roman;serif"/>
          <w:b w:val="false"/>
          <w:i/>
          <w:color w:val="000000"/>
          <w:sz w:val="24"/>
        </w:rPr>
        <w:t>Designation of Participants</w:t>
      </w:r>
      <w:r>
        <w:rPr>
          <w:rFonts w:ascii="Times New Roman;serif" w:hAnsi="Times New Roman;serif"/>
          <w:b w:val="false"/>
          <w:color w:val="000000"/>
          <w:sz w:val="24"/>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pStyle w:val="TextBody"/>
        <w:bidi w:val="0"/>
        <w:spacing w:lineRule="auto" w:line="240" w:before="0" w:after="240"/>
        <w:ind w:left="0" w:right="0" w:firstLine="720"/>
        <w:jc w:val="left"/>
        <w:rPr/>
      </w:pPr>
      <w:r>
        <w:rPr>
          <w:rFonts w:ascii="Times New Roman;serif" w:hAnsi="Times New Roman;serif"/>
          <w:b w:val="false"/>
          <w:color w:val="000000"/>
          <w:sz w:val="24"/>
        </w:rPr>
        <w:t>5.2</w:t>
      </w:r>
      <w:r>
        <w:rPr>
          <w:rFonts w:ascii="Times New Roman;serif" w:hAnsi="Times New Roman;serif"/>
          <w:b w:val="false"/>
          <w:i/>
          <w:color w:val="000000"/>
          <w:sz w:val="24"/>
        </w:rPr>
        <w:t>Determination of Awards</w:t>
      </w:r>
      <w:r>
        <w:rPr>
          <w:rFonts w:ascii="Times New Roman;serif" w:hAnsi="Times New Roman;serif"/>
          <w:b w:val="false"/>
          <w:color w:val="000000"/>
          <w:sz w:val="24"/>
        </w:rPr>
        <w:t xml:space="preserve">. The Committee shall determine the terms and conditions of all Awards granted to Participants in accordance with its authority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3.2 hereof. An Award may consist of one type of right or benefit hereunder or of two or more such rights or benefits granted in tandem. </w:t>
      </w:r>
    </w:p>
    <w:p>
      <w:pPr>
        <w:pStyle w:val="TextBody"/>
        <w:bidi w:val="0"/>
        <w:spacing w:lineRule="auto" w:line="240" w:before="0" w:after="240"/>
        <w:ind w:left="0" w:right="0" w:firstLine="720"/>
        <w:jc w:val="left"/>
        <w:rPr/>
      </w:pPr>
      <w:r>
        <w:rPr>
          <w:rFonts w:ascii="Times New Roman;serif" w:hAnsi="Times New Roman;serif"/>
          <w:b w:val="false"/>
          <w:color w:val="000000"/>
          <w:sz w:val="24"/>
        </w:rPr>
        <w:t>5.3</w:t>
      </w:r>
      <w:r>
        <w:rPr>
          <w:rFonts w:ascii="Times New Roman;serif" w:hAnsi="Times New Roman;serif"/>
          <w:b w:val="false"/>
          <w:i/>
          <w:color w:val="000000"/>
          <w:sz w:val="24"/>
        </w:rPr>
        <w:t>Award Agreements</w:t>
      </w:r>
      <w:r>
        <w:rPr>
          <w:rFonts w:ascii="Times New Roman;serif" w:hAnsi="Times New Roman;serif"/>
          <w:b w:val="false"/>
          <w:color w:val="000000"/>
          <w:sz w:val="24"/>
        </w:rPr>
        <w:t>. Each Award granted to an Eligible Person shall be represented by an Award Agreement. The terms of all Awards under the Plan, as determined by the Committee, will be set forth in each individual Award Agreements as described in Section 15.2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Stock Options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6.1</w:t>
      </w:r>
      <w:r>
        <w:rPr>
          <w:rFonts w:ascii="Times New Roman;serif" w:hAnsi="Times New Roman;serif"/>
          <w:b w:val="false"/>
          <w:i/>
          <w:color w:val="000000"/>
          <w:sz w:val="24"/>
        </w:rPr>
        <w:t>Grant of Stock Options</w:t>
      </w:r>
      <w:r>
        <w:rPr>
          <w:rFonts w:ascii="Times New Roman;serif" w:hAnsi="Times New Roman;serif"/>
          <w:b w:val="false"/>
          <w:color w:val="000000"/>
          <w:sz w:val="24"/>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 All Stock Options granted under the Plan to U.S. taxpayers are intended to comply with or be exempt from the requirements of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6.2</w:t>
      </w:r>
      <w:r>
        <w:rPr>
          <w:rFonts w:ascii="Times New Roman;serif" w:hAnsi="Times New Roman;serif"/>
          <w:b w:val="false"/>
          <w:i/>
          <w:color w:val="000000"/>
          <w:sz w:val="24"/>
        </w:rPr>
        <w:t>Exercise Price</w:t>
      </w:r>
      <w:r>
        <w:rPr>
          <w:rFonts w:ascii="Times New Roman;serif" w:hAnsi="Times New Roman;serif"/>
          <w:b w:val="false"/>
          <w:color w:val="000000"/>
          <w:sz w:val="24"/>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6.3</w:t>
      </w:r>
      <w:r>
        <w:rPr>
          <w:rFonts w:ascii="Times New Roman;serif" w:hAnsi="Times New Roman;serif"/>
          <w:b w:val="false"/>
          <w:i/>
          <w:color w:val="000000"/>
          <w:sz w:val="24"/>
        </w:rPr>
        <w:t>Vesting of Stock Options</w:t>
      </w:r>
      <w:r>
        <w:rPr>
          <w:rFonts w:ascii="Times New Roman;serif" w:hAnsi="Times New Roman;serif"/>
          <w:b w:val="false"/>
          <w:color w:val="000000"/>
          <w:sz w:val="24"/>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pStyle w:val="TextBody"/>
        <w:bidi w:val="0"/>
        <w:spacing w:lineRule="auto" w:line="240" w:before="0" w:after="240"/>
        <w:ind w:left="0" w:right="0" w:firstLine="720"/>
        <w:jc w:val="left"/>
        <w:rPr/>
      </w:pPr>
      <w:r>
        <w:rPr>
          <w:rFonts w:ascii="Times New Roman;serif" w:hAnsi="Times New Roman;serif"/>
          <w:b w:val="false"/>
          <w:color w:val="000000"/>
          <w:sz w:val="24"/>
        </w:rPr>
        <w:t>6.4</w:t>
      </w:r>
      <w:r>
        <w:rPr>
          <w:rFonts w:ascii="Times New Roman;serif" w:hAnsi="Times New Roman;serif"/>
          <w:b w:val="false"/>
          <w:i/>
          <w:color w:val="000000"/>
          <w:sz w:val="24"/>
        </w:rPr>
        <w:t>Term of Stock Options</w:t>
      </w:r>
      <w:r>
        <w:rPr>
          <w:rFonts w:ascii="Times New Roman;serif" w:hAnsi="Times New Roman;serif"/>
          <w:b w:val="false"/>
          <w:color w:val="000000"/>
          <w:sz w:val="24"/>
        </w:rPr>
        <w:t xml:space="preserve">. The Committee shall in its discretion prescribe in an Award Agreement the period during which a vested Stock Option may be exercised;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Section 409A of the Code and the provisions of this Section 6, the Committee may extend at any time the period in which a Stock Option may be exercised.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6.5</w:t>
      </w:r>
      <w:r>
        <w:rPr>
          <w:rFonts w:ascii="Times New Roman;serif" w:hAnsi="Times New Roman;serif"/>
          <w:b w:val="false"/>
          <w:i/>
          <w:color w:val="000000"/>
          <w:sz w:val="24"/>
        </w:rPr>
        <w:t>Stock Option Exercise; Tax Withholding</w:t>
      </w:r>
      <w:r>
        <w:rPr>
          <w:rFonts w:ascii="Times New Roman;serif" w:hAnsi="Times New Roman;serif"/>
          <w:b w:val="false"/>
          <w:color w:val="000000"/>
          <w:sz w:val="24"/>
        </w:rPr>
        <w:t xml:space="preserve">.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date of exercise equal to the exercise price, (D) by a combination of the methods described above or (E) by such other method as may be approved by the Committee and set forth in the Award Agreement. In accordance with Section 15.11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6.6</w:t>
      </w:r>
      <w:r>
        <w:rPr>
          <w:rFonts w:ascii="Times New Roman;serif" w:hAnsi="Times New Roman;serif"/>
          <w:b w:val="false"/>
          <w:i/>
          <w:color w:val="000000"/>
          <w:sz w:val="24"/>
        </w:rPr>
        <w:t>Limited Transferability of Nonqualified Stock Options</w:t>
      </w:r>
      <w:r>
        <w:rPr>
          <w:rFonts w:ascii="Times New Roman;serif" w:hAnsi="Times New Roman;serif"/>
          <w:b w:val="false"/>
          <w:color w:val="000000"/>
          <w:sz w:val="24"/>
        </w:rPr>
        <w:t>. All Stock Options shall be nontransferable except (i) upon the Participant's death, in accordance with Section 15.3 hereof or (ii) in the case of Nonqualified Stock Options only, for the transfer of all or part of the Stock Option to a Participant’s “family member” (as defined for purposes of the Form S-8 registration statement under the Securities Act), or as otherwise permitted by the Committee, in each case as may be approved by the Committee in its discretion at the time of proposed transfer. The transfer of a Nonqualified Stock Option may be subject to such terms and conditions as the Committee may in its discretion impose from time to time. Subsequent transfers of a Nonqualified Stock Option shall be prohibited other than in accordance with Section 15.3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6.7</w:t>
      </w:r>
      <w:r>
        <w:rPr>
          <w:rFonts w:ascii="Times New Roman;serif" w:hAnsi="Times New Roman;serif"/>
          <w:b w:val="false"/>
          <w:i/>
          <w:color w:val="000000"/>
          <w:sz w:val="24"/>
        </w:rPr>
        <w:t>Additional Rules for Incentive Stock Options</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i/>
          <w:color w:val="000000"/>
          <w:sz w:val="24"/>
        </w:rPr>
        <w:t>Eligibility</w:t>
      </w:r>
      <w:r>
        <w:rPr>
          <w:rFonts w:ascii="Times New Roman;serif" w:hAnsi="Times New Roman;serif"/>
          <w:b w:val="false"/>
          <w:color w:val="000000"/>
          <w:sz w:val="24"/>
        </w:rPr>
        <w:t>. An Incentive Stock Option may only be granted to an Eligible Person who is considered an employee for purposes of Treasury Regulation Section 1.421-1(h) with respect to the Company or any Subsidiary that qualifies as a “subsidiary corporation” with respect to the Company for purposes of Section 424(f)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i/>
          <w:color w:val="000000"/>
          <w:sz w:val="24"/>
        </w:rPr>
        <w:t>Annual Limits</w:t>
      </w:r>
      <w:r>
        <w:rPr>
          <w:rFonts w:ascii="Times New Roman;serif" w:hAnsi="Times New Roman;serif"/>
          <w:b w:val="false"/>
          <w:color w:val="000000"/>
          <w:sz w:val="24"/>
        </w:rPr>
        <w:t>. No Incentive Stock Option shall be granted to a Participant as a result of which the aggregate Fair Market 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i/>
          <w:color w:val="000000"/>
          <w:sz w:val="24"/>
        </w:rPr>
        <w:t>Additional Limitations</w:t>
      </w:r>
      <w:r>
        <w:rPr>
          <w:rFonts w:ascii="Times New Roman;serif" w:hAnsi="Times New Roman;serif"/>
          <w:b w:val="false"/>
          <w:color w:val="000000"/>
          <w:sz w:val="24"/>
        </w:rPr>
        <w:t>. In the case of any Incentive Stock Option granted to an Eligible Person who owns, either directly or 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i/>
          <w:color w:val="000000"/>
          <w:sz w:val="24"/>
        </w:rPr>
        <w:t>Termination of Service</w:t>
      </w:r>
      <w:r>
        <w:rPr>
          <w:rFonts w:ascii="Times New Roman;serif" w:hAnsi="Times New Roman;serif"/>
          <w:b w:val="false"/>
          <w:color w:val="000000"/>
          <w:sz w:val="24"/>
        </w:rPr>
        <w:t>. An Award of an Incentive Stock Option may provide that such Stock Option may be exercised not later than (i) three (3) months following termination of Service of the Participant with the Company and all Subsidiaries (other than as set forth in clause (ii) 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i/>
          <w:color w:val="000000"/>
          <w:sz w:val="24"/>
        </w:rPr>
        <w:t>Other Terms and Conditions; Nontransferability</w:t>
      </w:r>
      <w:r>
        <w:rPr>
          <w:rFonts w:ascii="Times New Roman;serif" w:hAnsi="Times New Roman;serif"/>
          <w:b w:val="false"/>
          <w:color w:val="000000"/>
          <w:sz w:val="24"/>
        </w:rPr>
        <w:t xml:space="preserve">.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i/>
          <w:color w:val="000000"/>
          <w:sz w:val="24"/>
        </w:rPr>
        <w:t>Disqualifying Dispositions</w:t>
      </w:r>
      <w:r>
        <w:rPr>
          <w:rFonts w:ascii="Times New Roman;serif" w:hAnsi="Times New Roman;serif"/>
          <w:b w:val="false"/>
          <w:color w:val="000000"/>
          <w:sz w:val="24"/>
        </w:rPr>
        <w:t>. If shares of Common Stock acquired by exercise of an Incentive Stock Option are disposed of 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pStyle w:val="TextBody"/>
        <w:bidi w:val="0"/>
        <w:spacing w:lineRule="auto" w:line="240" w:before="0" w:after="240"/>
        <w:ind w:left="0" w:right="0" w:firstLine="720"/>
        <w:jc w:val="left"/>
        <w:rPr/>
      </w:pPr>
      <w:r>
        <w:rPr>
          <w:rFonts w:ascii="Times New Roman;serif" w:hAnsi="Times New Roman;serif"/>
          <w:b w:val="false"/>
          <w:color w:val="000000"/>
          <w:sz w:val="24"/>
        </w:rPr>
        <w:t>6.8</w:t>
      </w:r>
      <w:r>
        <w:rPr>
          <w:rFonts w:ascii="Times New Roman;serif" w:hAnsi="Times New Roman;serif"/>
          <w:b w:val="false"/>
          <w:i/>
          <w:color w:val="000000"/>
          <w:sz w:val="24"/>
        </w:rPr>
        <w:t xml:space="preserve">Repricing Prohibited. </w:t>
      </w:r>
      <w:r>
        <w:rPr>
          <w:rFonts w:ascii="Times New Roman;serif" w:hAnsi="Times New Roman;serif"/>
          <w:b w:val="false"/>
          <w:color w:val="000000"/>
          <w:sz w:val="24"/>
        </w:rPr>
        <w:t xml:space="preserve">Subject to the anti-dilution adjustment provisions contained in Section 4.5 hereof, without the prior approval of the Company’s stockholders, neither the Committee nor the Board shall cancel a Stock Option when the exercise price per share exceeds the Fair Market Value of one share of Common Stock in exchange for cash or another Award (other than in connection with a Change of Control)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6.9</w:t>
      </w:r>
      <w:r>
        <w:rPr>
          <w:rFonts w:ascii="Times New Roman;serif" w:hAnsi="Times New Roman;serif"/>
          <w:b w:val="false"/>
          <w:i/>
          <w:color w:val="000000"/>
          <w:sz w:val="24"/>
        </w:rPr>
        <w:t xml:space="preserve">Dividend Equivalent Rights. </w:t>
      </w:r>
      <w:r>
        <w:rPr>
          <w:rFonts w:ascii="Times New Roman;serif" w:hAnsi="Times New Roman;serif"/>
          <w:b w:val="false"/>
          <w:color w:val="000000"/>
          <w:sz w:val="24"/>
        </w:rPr>
        <w:t xml:space="preserve">Dividends shall not be paid with respect to Stock Options. </w:t>
      </w:r>
    </w:p>
    <w:p>
      <w:pPr>
        <w:pStyle w:val="TextBody"/>
        <w:bidi w:val="0"/>
        <w:spacing w:lineRule="auto" w:line="240" w:before="0" w:after="240"/>
        <w:ind w:left="0" w:right="0" w:firstLine="720"/>
        <w:jc w:val="left"/>
        <w:rPr/>
      </w:pPr>
      <w:r>
        <w:rPr>
          <w:rFonts w:ascii="Times New Roman;serif" w:hAnsi="Times New Roman;serif"/>
          <w:b w:val="false"/>
          <w:color w:val="000000"/>
          <w:sz w:val="24"/>
        </w:rPr>
        <w:t>6.10</w:t>
      </w:r>
      <w:r>
        <w:rPr>
          <w:rFonts w:ascii="Times New Roman;serif" w:hAnsi="Times New Roman;serif"/>
          <w:b w:val="false"/>
          <w:i/>
          <w:color w:val="000000"/>
          <w:sz w:val="24"/>
        </w:rPr>
        <w:t>No Rights as Stockholder</w:t>
      </w:r>
      <w:r>
        <w:rPr>
          <w:rFonts w:ascii="Times New Roman;serif" w:hAnsi="Times New Roman;serif"/>
          <w:b w:val="false"/>
          <w:color w:val="000000"/>
          <w:sz w:val="24"/>
        </w:rPr>
        <w:t xml:space="preserve">. The Participant shall not have any rights as a stockholder with respect to the shares underlying a Stock Option until such time as shares or Common Stock are delivered to the Participant pursuant to the terms of the Award Agreement.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Stock Appreciation Rights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7.1</w:t>
      </w:r>
      <w:r>
        <w:rPr>
          <w:rFonts w:ascii="Times New Roman;serif" w:hAnsi="Times New Roman;serif"/>
          <w:b w:val="false"/>
          <w:i/>
          <w:color w:val="000000"/>
          <w:sz w:val="24"/>
        </w:rPr>
        <w:t>Grant of Stock Appreciation Rights</w:t>
      </w:r>
      <w:r>
        <w:rPr>
          <w:rFonts w:ascii="Times New Roman;serif" w:hAnsi="Times New Roman;serif"/>
          <w:b w:val="false"/>
          <w:color w:val="000000"/>
          <w:sz w:val="24"/>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Stock Appreciation Rights shall be non-transferable, except as provided in Section 15.3 hereof. All Stock Appreciation Rights granted under the Plan to U.S. taxpayers are intended to comply with or otherwise be exempt from the requirements of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7.2</w:t>
      </w:r>
      <w:r>
        <w:rPr>
          <w:rFonts w:ascii="Times New Roman;serif" w:hAnsi="Times New Roman;serif"/>
          <w:b w:val="false"/>
          <w:i/>
          <w:color w:val="000000"/>
          <w:sz w:val="24"/>
        </w:rPr>
        <w:t>Stand-Alone and Tandem Stock Appreciation Rights</w:t>
      </w:r>
      <w:r>
        <w:rPr>
          <w:rFonts w:ascii="Times New Roman;serif" w:hAnsi="Times New Roman;serif"/>
          <w:b w:val="false"/>
          <w:color w:val="000000"/>
          <w:sz w:val="24"/>
        </w:rPr>
        <w:t xml:space="preserve">. A Stock Appreciation Right may be granted without any related Stock Option, or may be granted in tandem with a Stock Option, either on the Date of Grant or at any time thereafter during the term of the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on such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maximum term of a Stock Appreciation Right shall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be ten (10) years from the Date of Grant. The Committee may provide that a Stock Appreciation Right will cease to be exercisable upon or at the end of a period following a termination of Service for any reason. The base price of a Stock Appreciation Right granted without any related Stock Option shall be determined by the Committee in its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base price per share of any such stand-alone Stock Appreciation Right shall not be less than one hundred percent (100%) of the Fair Market Value of a share of Common Stock on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7.3</w:t>
      </w:r>
      <w:r>
        <w:rPr>
          <w:rFonts w:ascii="Times New Roman;serif" w:hAnsi="Times New Roman;serif"/>
          <w:b w:val="false"/>
          <w:i/>
          <w:color w:val="000000"/>
          <w:sz w:val="24"/>
        </w:rPr>
        <w:t>Payment of Stock Appreciation Rights</w:t>
      </w:r>
      <w:r>
        <w:rPr>
          <w:rFonts w:ascii="Times New Roman;serif" w:hAnsi="Times New Roman;serif"/>
          <w:b w:val="false"/>
          <w:color w:val="000000"/>
          <w:sz w:val="24"/>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pStyle w:val="TextBody"/>
        <w:bidi w:val="0"/>
        <w:spacing w:lineRule="auto" w:line="240" w:before="0" w:after="240"/>
        <w:ind w:left="0" w:right="0" w:firstLine="720"/>
        <w:jc w:val="left"/>
        <w:rPr/>
      </w:pPr>
      <w:r>
        <w:rPr>
          <w:rFonts w:ascii="Times New Roman;serif" w:hAnsi="Times New Roman;serif"/>
          <w:b w:val="false"/>
          <w:color w:val="000000"/>
          <w:sz w:val="24"/>
        </w:rPr>
        <w:t>7.4</w:t>
      </w:r>
      <w:r>
        <w:rPr>
          <w:rFonts w:ascii="Times New Roman;serif" w:hAnsi="Times New Roman;serif"/>
          <w:b w:val="false"/>
          <w:i/>
          <w:color w:val="000000"/>
          <w:sz w:val="24"/>
        </w:rPr>
        <w:t>Repricing Prohibited</w:t>
      </w:r>
      <w:r>
        <w:rPr>
          <w:rFonts w:ascii="Times New Roman;serif" w:hAnsi="Times New Roman;serif"/>
          <w:b w:val="false"/>
          <w:color w:val="000000"/>
          <w:sz w:val="24"/>
        </w:rPr>
        <w:t xml:space="preserve">. Subject to the anti-dilution adjustment provisions contained in Section 4.5 hereof, without the prior approval of the Company’s stockholders, neither the Committee nor the Board shall cancel a Stock Appreciation Right when the base price per share exceeds the Fair Market Value of one share of Common Stock in exchange for cash or another Award (other than in connection with a Change of Control)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7.5</w:t>
      </w:r>
      <w:r>
        <w:rPr>
          <w:rFonts w:ascii="Times New Roman;serif" w:hAnsi="Times New Roman;serif"/>
          <w:b w:val="false"/>
          <w:i/>
          <w:color w:val="000000"/>
          <w:sz w:val="24"/>
        </w:rPr>
        <w:t xml:space="preserve">Dividend Equivalent Rights. </w:t>
      </w:r>
      <w:r>
        <w:rPr>
          <w:rFonts w:ascii="Times New Roman;serif" w:hAnsi="Times New Roman;serif"/>
          <w:b w:val="false"/>
          <w:color w:val="000000"/>
          <w:sz w:val="24"/>
        </w:rPr>
        <w:t>Dividends shall not be paid with respect to Stock Appreciation Rights.</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Restricted Stock Awards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8.1</w:t>
      </w:r>
      <w:r>
        <w:rPr>
          <w:rFonts w:ascii="Times New Roman;serif" w:hAnsi="Times New Roman;serif"/>
          <w:b w:val="false"/>
          <w:i/>
          <w:color w:val="000000"/>
          <w:sz w:val="24"/>
        </w:rPr>
        <w:t>Grant of Restricted Stock Awards</w:t>
      </w:r>
      <w:r>
        <w:rPr>
          <w:rFonts w:ascii="Times New Roman;serif" w:hAnsi="Times New Roman;serif"/>
          <w:b w:val="false"/>
          <w:color w:val="000000"/>
          <w:sz w:val="24"/>
        </w:rPr>
        <w:t>. A Restricted Stock Award may be granted to any Eligible Person selected by the Committee. The Committee may require the payment by the Participant of a specified purchase price in connection with any Restricted Stock Award.</w:t>
      </w:r>
    </w:p>
    <w:p>
      <w:pPr>
        <w:pStyle w:val="TextBody"/>
        <w:bidi w:val="0"/>
        <w:spacing w:lineRule="auto" w:line="240" w:before="0" w:after="240"/>
        <w:ind w:left="0" w:right="0" w:firstLine="720"/>
        <w:jc w:val="left"/>
        <w:rPr/>
      </w:pPr>
      <w:r>
        <w:rPr>
          <w:rFonts w:ascii="Times New Roman;serif" w:hAnsi="Times New Roman;serif"/>
          <w:b w:val="false"/>
          <w:color w:val="000000"/>
          <w:sz w:val="24"/>
        </w:rPr>
        <w:t>8.2</w:t>
      </w:r>
      <w:r>
        <w:rPr>
          <w:rFonts w:ascii="Times New Roman;serif" w:hAnsi="Times New Roman;serif"/>
          <w:b w:val="false"/>
          <w:i/>
          <w:color w:val="000000"/>
          <w:sz w:val="24"/>
        </w:rPr>
        <w:t>Vesting Requirements</w:t>
      </w:r>
      <w:r>
        <w:rPr>
          <w:rFonts w:ascii="Times New Roman;serif" w:hAnsi="Times New Roman;serif"/>
          <w:b w:val="false"/>
          <w:color w:val="000000"/>
          <w:sz w:val="24"/>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on such terms and conditions as approved by the Committee in its discretion. If the vesting requirements of a Restricted Stock Award shall not be satisfied or, if applicable, the Performance Goal(s) with respect to such Restricted Stock Award are not attained, the Award shall be forfeited and the shares of Common Stock subject to the Award shall be returned to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8.3</w:t>
      </w:r>
      <w:r>
        <w:rPr>
          <w:rFonts w:ascii="Times New Roman;serif" w:hAnsi="Times New Roman;serif"/>
          <w:b w:val="false"/>
          <w:i/>
          <w:color w:val="000000"/>
          <w:sz w:val="24"/>
        </w:rPr>
        <w:t>Transfer Restrictions</w:t>
      </w:r>
      <w:r>
        <w:rPr>
          <w:rFonts w:ascii="Times New Roman;serif" w:hAnsi="Times New Roman;serif"/>
          <w:b w:val="false"/>
          <w:color w:val="000000"/>
          <w:sz w:val="24"/>
        </w:rPr>
        <w:t xml:space="preserve">. Shares granted under any Restricted Stock Award may not be transferred, assigned or subject to any encumbrance, pledge or charge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pStyle w:val="TextBody"/>
        <w:bidi w:val="0"/>
        <w:spacing w:lineRule="auto" w:line="240" w:before="0" w:after="240"/>
        <w:ind w:left="0" w:right="0" w:firstLine="720"/>
        <w:jc w:val="left"/>
        <w:rPr/>
      </w:pPr>
      <w:r>
        <w:rPr>
          <w:rFonts w:ascii="Times New Roman;serif" w:hAnsi="Times New Roman;serif"/>
          <w:b w:val="false"/>
          <w:color w:val="000000"/>
          <w:sz w:val="24"/>
        </w:rPr>
        <w:t>8.4</w:t>
      </w:r>
      <w:r>
        <w:rPr>
          <w:rFonts w:ascii="Times New Roman;serif" w:hAnsi="Times New Roman;serif"/>
          <w:b w:val="false"/>
          <w:i/>
          <w:color w:val="000000"/>
          <w:sz w:val="24"/>
        </w:rPr>
        <w:t>Rights as Stockholder</w:t>
      </w:r>
      <w:r>
        <w:rPr>
          <w:rFonts w:ascii="Times New Roman;serif" w:hAnsi="Times New Roman;serif"/>
          <w:b w:val="false"/>
          <w:color w:val="000000"/>
          <w:sz w:val="24"/>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may provide in an Award Agreement for the payment of dividends and distributions to the Participant; provided that, dividends and other distributions made with respect to a Restricted Stock Award shall not be paid until, and only to the extent that the Award vests.</w:t>
      </w:r>
    </w:p>
    <w:p>
      <w:pPr>
        <w:pStyle w:val="TextBody"/>
        <w:bidi w:val="0"/>
        <w:spacing w:lineRule="auto" w:line="240" w:before="0" w:after="240"/>
        <w:ind w:left="0" w:right="0" w:firstLine="720"/>
        <w:jc w:val="left"/>
        <w:rPr/>
      </w:pPr>
      <w:r>
        <w:rPr>
          <w:rFonts w:ascii="Times New Roman;serif" w:hAnsi="Times New Roman;serif"/>
          <w:b w:val="false"/>
          <w:color w:val="000000"/>
          <w:sz w:val="24"/>
        </w:rPr>
        <w:t>8.5</w:t>
      </w:r>
      <w:r>
        <w:rPr>
          <w:rFonts w:ascii="Times New Roman;serif" w:hAnsi="Times New Roman;serif"/>
          <w:b w:val="false"/>
          <w:i/>
          <w:color w:val="000000"/>
          <w:sz w:val="24"/>
        </w:rPr>
        <w:t>Section 83(b) Election</w:t>
      </w:r>
      <w:r>
        <w:rPr>
          <w:rFonts w:ascii="Times New Roman;serif" w:hAnsi="Times New Roman;serif"/>
          <w:b w:val="false"/>
          <w:color w:val="000000"/>
          <w:sz w:val="24"/>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Restricted Stock Units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9.1</w:t>
      </w:r>
      <w:r>
        <w:rPr>
          <w:rFonts w:ascii="Times New Roman;serif" w:hAnsi="Times New Roman;serif"/>
          <w:b w:val="false"/>
          <w:i/>
          <w:color w:val="000000"/>
          <w:sz w:val="24"/>
        </w:rPr>
        <w:t>Grant of Restricted Stock Units</w:t>
      </w:r>
      <w:r>
        <w:rPr>
          <w:rFonts w:ascii="Times New Roman;serif" w:hAnsi="Times New Roman;serif"/>
          <w:b w:val="false"/>
          <w:color w:val="000000"/>
          <w:sz w:val="24"/>
        </w:rPr>
        <w:t>.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In addition, a Restricted Stock Unit may be designated as a “Performance Stock Unit”, the vesting requirements of which may be based, in whole or in part, on the attainment of pre-established business and/or individual Performance Goal(s) on such terms and conditions as approved by the Committee in its discretion . Restricted Stock Units shall be non-transferable, except as provided in Section 15.3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9.2</w:t>
      </w:r>
      <w:r>
        <w:rPr>
          <w:rFonts w:ascii="Times New Roman;serif" w:hAnsi="Times New Roman;serif"/>
          <w:b w:val="false"/>
          <w:i/>
          <w:color w:val="000000"/>
          <w:sz w:val="24"/>
        </w:rPr>
        <w:t>Vesting of Restricted Stock Units</w:t>
      </w:r>
      <w:r>
        <w:rPr>
          <w:rFonts w:ascii="Times New Roman;serif" w:hAnsi="Times New Roman;serif"/>
          <w:b w:val="false"/>
          <w:color w:val="000000"/>
          <w:sz w:val="24"/>
        </w:rPr>
        <w:t xml:space="preserve">.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and/or on such other terms and conditions as approved by the Committee (including Performance Goal(s)). If the vesting requirements of a Restricted Stock Unit Award are not satisfied, the Award shall be forfeited.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9.3</w:t>
      </w:r>
      <w:r>
        <w:rPr>
          <w:rFonts w:ascii="Times New Roman;serif" w:hAnsi="Times New Roman;serif"/>
          <w:b w:val="false"/>
          <w:i/>
          <w:color w:val="000000"/>
          <w:sz w:val="24"/>
        </w:rPr>
        <w:t>Payment of Restricted Stock Units</w:t>
      </w:r>
      <w:r>
        <w:rPr>
          <w:rFonts w:ascii="Times New Roman;serif" w:hAnsi="Times New Roman;serif"/>
          <w:b w:val="false"/>
          <w:color w:val="000000"/>
          <w:sz w:val="24"/>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9.4</w:t>
      </w:r>
      <w:r>
        <w:rPr>
          <w:rFonts w:ascii="Times New Roman;serif" w:hAnsi="Times New Roman;serif"/>
          <w:b w:val="false"/>
          <w:i/>
          <w:color w:val="000000"/>
          <w:sz w:val="24"/>
        </w:rPr>
        <w:t xml:space="preserve">Dividend Equivalent Rights. </w:t>
      </w:r>
      <w:r>
        <w:rPr>
          <w:rFonts w:ascii="Times New Roman;serif" w:hAnsi="Times New Roman;serif"/>
          <w:b w:val="false"/>
          <w:color w:val="000000"/>
          <w:sz w:val="24"/>
        </w:rPr>
        <w:t xml:space="preserve">Restricted Stock Units may be granted together with a dividend equivalent right with respect to the shares of Common Stock subject to the Award, which may be accumulated and may be deemed reinvested in additional Restricted Stock Units or may be accumulated in cash, as determined by the Committee in its discretion. Any payments made pursuant to dividend equivalent rights with respect to a Restricted Stock Unit shall not be paid until, and only to the extent that, the Award vests. </w:t>
      </w:r>
    </w:p>
    <w:p>
      <w:pPr>
        <w:pStyle w:val="TextBody"/>
        <w:bidi w:val="0"/>
        <w:spacing w:lineRule="auto" w:line="240" w:before="0" w:after="240"/>
        <w:ind w:left="0" w:right="0" w:firstLine="720"/>
        <w:jc w:val="left"/>
        <w:rPr/>
      </w:pPr>
      <w:r>
        <w:rPr>
          <w:rFonts w:ascii="Times New Roman;serif" w:hAnsi="Times New Roman;serif"/>
          <w:b w:val="false"/>
          <w:color w:val="000000"/>
          <w:sz w:val="24"/>
        </w:rPr>
        <w:t>9.5</w:t>
      </w:r>
      <w:r>
        <w:rPr>
          <w:rFonts w:ascii="Times New Roman;serif" w:hAnsi="Times New Roman;serif"/>
          <w:b w:val="false"/>
          <w:i/>
          <w:color w:val="000000"/>
          <w:sz w:val="24"/>
        </w:rPr>
        <w:t>No Rights as Stockholder</w:t>
      </w:r>
      <w:r>
        <w:rPr>
          <w:rFonts w:ascii="Times New Roman;serif" w:hAnsi="Times New Roman;serif"/>
          <w:b w:val="false"/>
          <w:color w:val="000000"/>
          <w:sz w:val="24"/>
        </w:rPr>
        <w:t>. The Participant shall not have any rights as a stockholder with respect to the shares subject to a Restricted Stock Unit until such time as shares of Common Stock are delivered to the Participant pursuant to the terms of the Award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Cash Performance Awards, Performance Awards and Performance Goals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10.1</w:t>
      </w:r>
      <w:r>
        <w:rPr>
          <w:rFonts w:ascii="Times New Roman;serif" w:hAnsi="Times New Roman;serif"/>
          <w:b w:val="false"/>
          <w:i/>
          <w:color w:val="000000"/>
          <w:sz w:val="24"/>
        </w:rPr>
        <w:t>Grant of Cash Performance Awards</w:t>
      </w:r>
      <w:r>
        <w:rPr>
          <w:rFonts w:ascii="Times New Roman;serif" w:hAnsi="Times New Roman;serif"/>
          <w:b w:val="false"/>
          <w:color w:val="000000"/>
          <w:sz w:val="24"/>
        </w:rPr>
        <w:t>. A Cash Performance Award may be granted to any Eligible Person selected by the Committee. Each Cash Performance Award shall be evidenced by an Award Agreement that shall specify the applicable Performance Goals to be achieved the performance period and such other terms and conditions as the Committee, in its discretion, shall determine. The Committee may accelerate the vesting of a Cash Performance Award upon termination of Service under certain circumstances, as set forth in the Award Agreement and subject to Section 12.1 of the Plan. Cash Performance Awards shall be non-transferable, except as provided in Section 15.3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10.2</w:t>
      </w:r>
      <w:r>
        <w:rPr>
          <w:rFonts w:ascii="Times New Roman;serif" w:hAnsi="Times New Roman;serif"/>
          <w:b w:val="false"/>
          <w:i/>
          <w:color w:val="000000"/>
          <w:sz w:val="24"/>
        </w:rPr>
        <w:t>Payment</w:t>
      </w:r>
      <w:r>
        <w:rPr>
          <w:rFonts w:ascii="Times New Roman;serif" w:hAnsi="Times New Roman;serif"/>
          <w:b w:val="false"/>
          <w:color w:val="000000"/>
          <w:sz w:val="24"/>
        </w:rPr>
        <w:t xml:space="preserve">. Payment amounts may be based on the attainment of specified levels of the Performance Goals, including, if applicable, specified threshold, target and maximum performance levels, and performance falling between such levels. The requirements for payment may be also based upon the continued Service of the Participant with the Company or a Subsidiary during the respective performance period and on such other conditions as determined by the Committee and set forth in the Award Agreement.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10.3</w:t>
      </w:r>
      <w:r>
        <w:rPr>
          <w:rFonts w:ascii="Times New Roman;serif" w:hAnsi="Times New Roman;serif"/>
          <w:b w:val="false"/>
          <w:i/>
          <w:color w:val="000000"/>
          <w:sz w:val="24"/>
        </w:rPr>
        <w:t>Adjustments</w:t>
      </w:r>
      <w:r>
        <w:rPr>
          <w:rFonts w:ascii="Times New Roman;serif" w:hAnsi="Times New Roman;serif"/>
          <w:b w:val="false"/>
          <w:color w:val="000000"/>
          <w:sz w:val="24"/>
        </w:rPr>
        <w:t>. At the time that a Performance Award is granted, the Committee may provide for the Performance Goals or the manner in which performance will be measured against the Performance Goals to be adjusted in such objective manner as it deems appropriate, including, without limitation, adjustments to reflect charges for restructurings, non-operating income, the impact of corporate transactions or discontinued operations, events that are unusual in nature or infrequent in occurrence and other non-recurring items, currency fluctuations, litigation or claim judgements, settlements,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pStyle w:val="TextBody"/>
        <w:bidi w:val="0"/>
        <w:spacing w:lineRule="auto" w:line="240" w:before="0" w:after="240"/>
        <w:ind w:left="0" w:right="0" w:firstLine="720"/>
        <w:jc w:val="left"/>
        <w:rPr/>
      </w:pPr>
      <w:r>
        <w:rPr>
          <w:rFonts w:ascii="Times New Roman;serif" w:hAnsi="Times New Roman;serif"/>
          <w:b w:val="false"/>
          <w:color w:val="000000"/>
          <w:sz w:val="24"/>
        </w:rPr>
        <w:t>10.4</w:t>
      </w:r>
      <w:r>
        <w:rPr>
          <w:rFonts w:ascii="Times New Roman;serif" w:hAnsi="Times New Roman;serif"/>
          <w:b w:val="false"/>
          <w:i/>
          <w:color w:val="000000"/>
          <w:sz w:val="24"/>
        </w:rPr>
        <w:t>Committee Discretion</w:t>
      </w:r>
      <w:r>
        <w:rPr>
          <w:rFonts w:ascii="Times New Roman;serif" w:hAnsi="Times New Roman;serif"/>
          <w:b w:val="false"/>
          <w:color w:val="000000"/>
          <w:sz w:val="24"/>
        </w:rPr>
        <w:t>. The amount of cash or shares payable or vested pursuant to a Performance Award may be adjusted upward or downward, either on a formulaic or discretionary basis or any combination, as the Committee determines.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10.5</w:t>
      </w:r>
      <w:r>
        <w:rPr>
          <w:rFonts w:ascii="Times New Roman;serif" w:hAnsi="Times New Roman;serif"/>
          <w:b w:val="false"/>
          <w:i/>
          <w:color w:val="000000"/>
          <w:sz w:val="24"/>
        </w:rPr>
        <w:t>Payment</w:t>
      </w:r>
      <w:r>
        <w:rPr>
          <w:rFonts w:ascii="Times New Roman;serif" w:hAnsi="Times New Roman;serif"/>
          <w:b w:val="false"/>
          <w:color w:val="000000"/>
          <w:sz w:val="24"/>
        </w:rPr>
        <w:t>. Upon certification of the Performance Goals for a Performance Award, the Committee shall determine the level of vesting or amount of payment to the Participant pursuant to the Performance Award, if any. Notwithstanding the foregoing, Cash Performance Awards may be paid, at the discretion of the Committee, in any combination of cash or shares of Common Stock, based upon the Fair Market Value of such shares at the time of payment.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Stock Awards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11.1</w:t>
      </w:r>
      <w:r>
        <w:rPr>
          <w:rFonts w:ascii="Times New Roman;serif" w:hAnsi="Times New Roman;serif"/>
          <w:b w:val="false"/>
          <w:i/>
          <w:color w:val="000000"/>
          <w:sz w:val="24"/>
        </w:rPr>
        <w:t>Grant of Stock Awards</w:t>
      </w:r>
      <w:r>
        <w:rPr>
          <w:rFonts w:ascii="Times New Roman;serif" w:hAnsi="Times New Roman;serif"/>
          <w:b w:val="false"/>
          <w:color w:val="000000"/>
          <w:sz w:val="24"/>
        </w:rPr>
        <w:t>. A Stock Award may be granted to any Eligible Person selected by the Committee. A Stock Award may be granted for past Services, in lieu of bonus or other cash compensation, as directors’ compensation or for any other valid purpose as determined by the Committee. The Committee shall determine the terms and conditions of such Awards, and such Awards may be made without vesting requirements to the extent permissible under Section 5.2 hereof. In addition, the Committee may, in connection with any Stock Award, require the payment of a specified purchase price.</w:t>
      </w:r>
    </w:p>
    <w:p>
      <w:pPr>
        <w:pStyle w:val="TextBody"/>
        <w:bidi w:val="0"/>
        <w:spacing w:lineRule="auto" w:line="240" w:before="0" w:after="240"/>
        <w:ind w:left="0" w:right="0" w:firstLine="720"/>
        <w:jc w:val="left"/>
        <w:rPr/>
      </w:pPr>
      <w:r>
        <w:rPr>
          <w:rFonts w:ascii="Times New Roman;serif" w:hAnsi="Times New Roman;serif"/>
          <w:b w:val="false"/>
          <w:color w:val="000000"/>
          <w:sz w:val="24"/>
        </w:rPr>
        <w:t>11.2</w:t>
      </w:r>
      <w:r>
        <w:rPr>
          <w:rFonts w:ascii="Times New Roman;serif" w:hAnsi="Times New Roman;serif"/>
          <w:b w:val="false"/>
          <w:i/>
          <w:color w:val="000000"/>
          <w:sz w:val="24"/>
        </w:rPr>
        <w:t>Rights as Stockholder</w:t>
      </w:r>
      <w:r>
        <w:rPr>
          <w:rFonts w:ascii="Times New Roman;serif" w:hAnsi="Times New Roman;serif"/>
          <w:b w:val="false"/>
          <w:color w:val="000000"/>
          <w:sz w:val="24"/>
        </w:rPr>
        <w:t>. Subject to the foregoing provisions of this Section 11 and the applicable Award Agreement, upon the issuance of shares of Common Stock under a Stock Award the Participant shall have all rights of a stockholder with respect to the shares of Common Stock, including the right to vote the shares and receive all dividends and other distributions paid or made with respect thereto.</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12.1</w:t>
      </w:r>
      <w:r>
        <w:rPr>
          <w:rFonts w:ascii="Times New Roman;serif" w:hAnsi="Times New Roman;serif"/>
          <w:b w:val="false"/>
          <w:i/>
          <w:color w:val="000000"/>
          <w:sz w:val="24"/>
        </w:rPr>
        <w:t>Effect on Awards</w:t>
      </w:r>
      <w:r>
        <w:rPr>
          <w:rFonts w:ascii="Times New Roman;serif" w:hAnsi="Times New Roman;serif"/>
          <w:b w:val="false"/>
          <w:color w:val="000000"/>
          <w:sz w:val="24"/>
        </w:rPr>
        <w:t xml:space="preserve">. Upon the occurrence of a Change of Control, unless otherwise provided in the Award Agreement, the Committee is authorized (but not obligated) to make adjustments in the terms and conditions of outstanding Awards, including without limitation the following (or any combination thereof): (a) continuation or assumption of such outstanding Awards under the Plan by the Company (if the Company is the surviving company or corporation) or by the surviving company or corporation or its parent; (b) substitution by the surviving company or corporation or its parent of awards with substantially the same terms for outstanding Awards (with appropriate adjustments to the type of consideration payable upon settlement of the Awards); (c) acceleration of exercisability, vesting and/or payment under outstanding Awards immediately prior to the occurrence of such event or upon a termination of Service following such event; and (d) if all or substantially all of the Company’s outstanding shares of Common Stock are transferred in exchange for cash consideration in connection with such Change of Control: (i) 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 (ii) cancel all or any portion of outstanding Awards for fair value (in the form of cash, shares of Common Stock, other property or any combination thereof) as determined in the sole discretion of the Committee;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case of Stock Options and Stock Appreciation Rights, the fair value may equal the excess, if any, of the value or amount of the consideration to be paid in the Change of Control transaction to holders of shares of Common Stock (or, if no such consideration is paid, Fair Market Value of the shares of Common Stock) over the aggregate exercise or base price, as applicable, with respect to such Awards or portion thereof being canceled, or if no such excess, zero; provided, further,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Shares in connection with the Change of Control.</w:t>
      </w:r>
    </w:p>
    <w:p>
      <w:pPr>
        <w:pStyle w:val="TextBody"/>
        <w:bidi w:val="0"/>
        <w:spacing w:lineRule="auto" w:line="240" w:before="0" w:after="240"/>
        <w:ind w:left="0" w:right="0" w:firstLine="720"/>
        <w:jc w:val="left"/>
        <w:rPr/>
      </w:pPr>
      <w:r>
        <w:rPr>
          <w:rFonts w:ascii="Times New Roman;serif" w:hAnsi="Times New Roman;serif"/>
          <w:b w:val="false"/>
          <w:color w:val="000000"/>
          <w:sz w:val="24"/>
        </w:rPr>
        <w:t>12.2</w:t>
      </w:r>
      <w:r>
        <w:rPr>
          <w:rFonts w:ascii="Times New Roman;serif" w:hAnsi="Times New Roman;serif"/>
          <w:b w:val="false"/>
          <w:i/>
          <w:color w:val="000000"/>
          <w:sz w:val="24"/>
        </w:rPr>
        <w:t>Definition of Change of Control.</w:t>
      </w:r>
      <w:r>
        <w:rPr>
          <w:color w:val="000000"/>
        </w:rPr>
        <w:t xml:space="preserve"> </w:t>
      </w:r>
      <w:r>
        <w:rPr>
          <w:rFonts w:ascii="Times New Roman;serif" w:hAnsi="Times New Roman;serif"/>
          <w:b w:val="false"/>
          <w:color w:val="000000"/>
          <w:sz w:val="24"/>
        </w:rPr>
        <w:t>Unless otherwise defined in an Award Agreement, “</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shall mean the occurrence of one or more of the following events: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Any Person becomes the Beneficial Owner, directly or indirectly, of more than fifty percent (50%) of the combined voting power, excluding any Excluded Persons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person that is the Beneficial Owner, directly or indirectly, of more than fifty percent (50%) of the combined voting power on the Restatement Effective Date, of the then outstanding voting securities of the Company entitled to vote generally in the election of its directors (the “</w:t>
      </w:r>
      <w:r>
        <w:rPr>
          <w:rFonts w:ascii="Times New Roman;serif" w:hAnsi="Times New Roman;serif"/>
          <w:b w:val="false"/>
          <w:i/>
          <w:color w:val="000000"/>
          <w:sz w:val="24"/>
        </w:rPr>
        <w:t>Outstanding Company Voting Securities</w:t>
      </w:r>
      <w:r>
        <w:rPr>
          <w:color w:val="000000"/>
        </w:rPr>
        <w:t>”</w:t>
      </w:r>
      <w:r>
        <w:rPr>
          <w:rFonts w:ascii="Times New Roman;serif" w:hAnsi="Times New Roman;serif"/>
          <w:b w:val="false"/>
          <w:color w:val="000000"/>
          <w:sz w:val="24"/>
        </w:rPr>
        <w:t xml:space="preserve">) including by way of merger, consolidation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purposes of this definition, the following acquisitions shall not be taken into account in determining whether a Change of Control has occurred: (i) any acquisition of voting securities of the Company directly from the Company or (ii) any acquisition by the Company or any of its Subsidiaries of Outstanding Company Voting Securities, including an acquisition by any employee benefit plan or related trust sponsored or maintained by the Company, or any of its Subsidiaries.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following individuals (the “</w:t>
      </w:r>
      <w:r>
        <w:rPr>
          <w:rFonts w:ascii="Times New Roman;serif" w:hAnsi="Times New Roman;serif"/>
          <w:b w:val="false"/>
          <w:i/>
          <w:color w:val="000000"/>
          <w:sz w:val="24"/>
        </w:rPr>
        <w:t>Incumbent Directors</w:t>
      </w:r>
      <w:r>
        <w:rPr>
          <w:color w:val="000000"/>
        </w:rPr>
        <w:t>”</w:t>
      </w:r>
      <w:r>
        <w:rPr>
          <w:rFonts w:ascii="Times New Roman;serif" w:hAnsi="Times New Roman;serif"/>
          <w:b w:val="false"/>
          <w:color w:val="000000"/>
          <w:sz w:val="24"/>
        </w:rPr>
        <w:t>) cease for any reason to constitute a majority of the number of directors then serving on the Board: individuals who, on the Restatement Effective Date, constitute the Board and any new director (other than a director whose initial assumption of office is in connection with an actual or threatened election contest, including, but not limited to, a consent or proxy solicitation, relating to the election of directors of the Company by or on behalf of a Person other than the Board) whose appointment or election by the Board or nomination for election by the Company’s stockholders was approved or recommended by a vote of at least a majority of the directors then still in office who either were directors on the Restatement Effective Date or whose appointment, election or nomination for election was previously so approved or recommended.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Consummation of a reorganization, merger, or consolidation to which the Company is a party or a sale or other disposition of all or substantially all of the assets of the Company (a “</w:t>
      </w:r>
      <w:r>
        <w:rPr>
          <w:rFonts w:ascii="Times New Roman;serif" w:hAnsi="Times New Roman;serif"/>
          <w:b w:val="false"/>
          <w:i/>
          <w:color w:val="000000"/>
          <w:sz w:val="24"/>
        </w:rPr>
        <w:t>Business Combination</w:t>
      </w:r>
      <w:r>
        <w:rPr>
          <w:color w:val="000000"/>
        </w:rPr>
        <w:t>”</w:t>
      </w:r>
      <w:r>
        <w:rPr>
          <w:rFonts w:ascii="Times New Roman;serif" w:hAnsi="Times New Roman;serif"/>
          <w:b w:val="false"/>
          <w:color w:val="000000"/>
          <w:sz w:val="24"/>
        </w:rPr>
        <w:t>), unless, following such Business Combination: (i) any individuals and entities that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Times New Roman;serif" w:hAnsi="Times New Roman;serif"/>
          <w:b w:val="false"/>
          <w:i/>
          <w:color w:val="000000"/>
          <w:sz w:val="24"/>
        </w:rPr>
        <w:t>Successor Entity</w:t>
      </w:r>
      <w:r>
        <w:rPr>
          <w:color w:val="000000"/>
        </w:rPr>
        <w:t>”</w:t>
      </w:r>
      <w:r>
        <w:rPr>
          <w:rFonts w:ascii="Times New Roman;serif" w:hAnsi="Times New Roman;serif"/>
          <w:b w:val="false"/>
          <w:color w:val="000000"/>
          <w:sz w:val="24"/>
        </w:rPr>
        <w:t>) in substantially the same proportions as their ownership immediately prior to such Business Combination; (ii) no Person (excluding any Successor Entity, any Excluded Person, any person that is the Beneficial Owner, directly or indirectly, of more than thirty percent (30%) of the combined voting power on the Restatement Effective Date or any employee benefit plan or related trust of the Company, such Successor Entity, or any of their Subsidiaries) is the Beneficial Owner, directly or indirectly, of more than thirty percent (30%) of the combined voting power of the then outstanding voting securities entitled to vote generally in the election of directors (or comparable governing body) of the Successor Entity, except to the extent that such ownership existed prior to the Business Combination; and (iii) at least a majority of the members of the board of directors (or comparable governing body) of the Successor Entity were Incumbent Directors (including persons deemed to be Incumbent Directors) at the time of the execution of the initial agreement or of the action of the Board providing for such Business Combination.</w:t>
      </w:r>
    </w:p>
    <w:p>
      <w:pPr>
        <w:pStyle w:val="TextBody"/>
        <w:bidi w:val="0"/>
        <w:spacing w:lineRule="auto" w:line="288" w:before="0" w:after="240"/>
        <w:jc w:val="left"/>
        <w:rPr/>
      </w:pPr>
      <w:r>
        <w:rPr>
          <w:rFonts w:ascii="Times New Roman;serif" w:hAnsi="Times New Roman;serif"/>
          <w:b w:val="false"/>
          <w:color w:val="000000"/>
          <w:sz w:val="24"/>
        </w:rPr>
        <w:t>(d)</w:t>
      </w:r>
      <w:r>
        <w:rPr>
          <w:rFonts w:ascii="Times New Roman;serif" w:hAnsi="Times New Roman;serif"/>
          <w:b w:val="false"/>
          <w:color w:val="000000"/>
          <w:sz w:val="24"/>
        </w:rPr>
        <w:t>Notwithstanding the foregoing, to the extent necessary to comply with Section 409A of the Code with respect to the payment of “nonqualified deferred compensation,” “Change of Control” shall be limited to a “change in control event” as defined under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Forfeiture Events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13.1</w:t>
      </w:r>
      <w:r>
        <w:rPr>
          <w:rFonts w:ascii="Times New Roman;serif" w:hAnsi="Times New Roman;serif"/>
          <w:b w:val="false"/>
          <w:i/>
          <w:color w:val="000000"/>
          <w:sz w:val="24"/>
        </w:rPr>
        <w:t>General</w:t>
      </w:r>
      <w:r>
        <w:rPr>
          <w:rFonts w:ascii="Times New Roman;serif" w:hAnsi="Times New Roman;serif"/>
          <w:b w:val="false"/>
          <w:color w:val="000000"/>
          <w:sz w:val="24"/>
        </w:rPr>
        <w:t xml:space="preserve">. The Committee may specify in an Award Agreement at the time of the Award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material Company policies, breach of noncompetition, non-solicitation, confidentiality or other restrictive covenants that may apply to the Participant or other conduct by the Participant that is detrimental to the business or reputation of the Company. </w:t>
      </w:r>
    </w:p>
    <w:p>
      <w:pPr>
        <w:pStyle w:val="TextBody"/>
        <w:bidi w:val="0"/>
        <w:spacing w:lineRule="auto" w:line="240" w:before="0" w:after="240"/>
        <w:ind w:left="0" w:right="0" w:firstLine="720"/>
        <w:jc w:val="left"/>
        <w:rPr/>
      </w:pPr>
      <w:r>
        <w:rPr>
          <w:rFonts w:ascii="Times New Roman;serif" w:hAnsi="Times New Roman;serif"/>
          <w:b w:val="false"/>
          <w:color w:val="000000"/>
          <w:sz w:val="24"/>
        </w:rPr>
        <w:t>13.2</w:t>
      </w:r>
      <w:r>
        <w:rPr>
          <w:rFonts w:ascii="Times New Roman;serif" w:hAnsi="Times New Roman;serif"/>
          <w:b w:val="false"/>
          <w:i/>
          <w:color w:val="000000"/>
          <w:sz w:val="24"/>
        </w:rPr>
        <w:t>Termination for Cause</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i/>
          <w:color w:val="000000"/>
          <w:sz w:val="24"/>
        </w:rPr>
        <w:t>Treatment of Awards</w:t>
      </w:r>
      <w:r>
        <w:rPr>
          <w:rFonts w:ascii="Times New Roman;serif" w:hAnsi="Times New Roman;serif"/>
          <w:b w:val="false"/>
          <w:color w:val="000000"/>
          <w:sz w:val="24"/>
        </w:rPr>
        <w:t>. Unless otherwise provided by the Committee and set forth in an Award Agreement, if (i) a Participant’s 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of Service for Cause or (2) after termination, the Participant engaged in conduct that violated any continuing obligation or duty of the Participant in respect of the Company or any Subsidiary, such Participant’s rights, payments and benefits with respect to an Award shall be subject to cancellation, forfeiture and/or recoupment, as provided in Section 13.3 below. The Company shall have the power to determine whether the Participant has been terminated for Cause, the date upon which such termination for Cause occurs, whether the Participant engaged in an act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13.2.</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i/>
          <w:color w:val="000000"/>
          <w:sz w:val="24"/>
        </w:rPr>
        <w:t>Definition of Cause</w:t>
      </w:r>
      <w:r>
        <w:rPr>
          <w:rFonts w:ascii="Times New Roman;serif" w:hAnsi="Times New Roman;serif"/>
          <w:b w:val="false"/>
          <w:color w:val="000000"/>
          <w:sz w:val="24"/>
        </w:rPr>
        <w:t>. Unless otherwise defined in an Award Agreement,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 xml:space="preserve">shall mean: (i) the Participant has committed a deliberate act against the interests of the Company including, without limitation: an act of fraud, embezzlement, misappropriation or breach of fiduciary duty against the Company, including, but not limited to, the offer, payment, solicitation or acceptance of any unlawful bribe or kickback with respect to the Company’s business; or (ii) the commission by a Participant of, or the plea of nolo contendere by such Participant with respect to, a felony or a crime involving moral turpitude; or (iii) the Participant has failed to perform or neglected the material duties incident to his employment or other engagement with the Company on a regular basis, and such refusal or failure shall have continued for a period of twenty (20) days after written notice to the Participant specifying such refusal or failure in reasonable detail; or (iv) the Participant has been chronically absent from work (excluding vacations, illnesses, Disability or leaves of absence approved by the Board); or (v) the Participant has refused, after explicit written notice, to obey any lawful resolution of or direction by the Board which is consistent with the duties incident to his employment or other engagement with the Company and such refusal continues for more than twenty (20) days after written notice is given to the Participant specifying such refusal in reasonable detail; or (vi) the Participant has breached any of the material terms contained in any employment agreement, non-competition agreement, confidentiality agreement, restrictive covenants agreement or similar type of agreement to which such Participant is a party; or (vii) the Participant’s misappropriation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 the Company’s or any of its Subsidiary’s assets or business opportunities; or (viii) the Participant has engaged in (x) the unlawful use (including being under the influence) or possession of illegal drugs on the Company’s premises or (y) habitual drunkenness on the Company’s premises.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Any voluntary termination of Service or other engagement by the Participant in anticipation of an involuntary termination of the Participant’s Service for Cause shall be deemed to be a termination for “Cause.” Notwithstanding the foregoing, in the event that a Participant is party to an employment, severance or similar agreement with the Company or any of its affiliates and such agreement contains a definition of “Cause,” the definition of “Cause” set forth above shall be deemed replaced and superseded, with respect to such Participant, by the definition of “Cause” used in such employment, severance or similar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13.3</w:t>
      </w:r>
      <w:r>
        <w:rPr>
          <w:rFonts w:ascii="Times New Roman;serif" w:hAnsi="Times New Roman;serif"/>
          <w:b w:val="false"/>
          <w:i/>
          <w:color w:val="000000"/>
          <w:sz w:val="24"/>
        </w:rPr>
        <w:t>Right of Recapture</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i/>
          <w:color w:val="000000"/>
          <w:sz w:val="24"/>
        </w:rPr>
        <w:t>General</w:t>
      </w:r>
      <w:r>
        <w:rPr>
          <w:rFonts w:ascii="Times New Roman;serif" w:hAnsi="Times New Roman;serif"/>
          <w:b w:val="false"/>
          <w:color w:val="000000"/>
          <w:sz w:val="24"/>
        </w:rPr>
        <w:t>. All Awards shall be subject to any recoupment of benefits pursuant to the Company’s compensation recovery, “clawback” or similar policy, as may be in effect from time to time and as may be required by any applicable law, governmental regulation or stock exchange listing requirement. If at any time within one (1) year (or such longer time specified in an Award Agreement or other agreement with a Participant or policy applicable to the Participant) after the date on which a Participant exercises a Stock Option or Stock Appreciation Right or on which a Stock Award, Restricted Stock Award or Restricted Stock Unit vests or becomes payable or on which a Cash Performance Award is paid to a Participant, or on which income otherwise is realized by a Participant in connection with an Award, (i) a Participant’s Service is terminated for Cause, or (ii)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materially violated any continuing obligation or duty of the Participant in respect of the Company or any Subsidiary, then, at the sole discretion of the Committee, any gain realized by the Participant from the exercise, vesting, payment or other realization of income by the Participant in connection with an Award, shall be paid by the Participant to the Company upon notice from the Company, subject to applicable law. Such gain recoverable pursuant to subclauses (i) or (ii) of the prior sentence shall be determined as of the date or dates on which the gain is realized by the Participant, without regard to any subsequent change in the Fair Market Value of a share of Common Stock, and to the extent not otherwise prohibited by law, the Company shall have the right to offset such gain against any amounts otherwise owed to the Participant by the Company (whether as wages, vacation pay or pursuant to any benefit plan or other compensatory arrangement).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i/>
          <w:color w:val="000000"/>
          <w:sz w:val="24"/>
        </w:rPr>
        <w:t>Accounting Restatement</w:t>
      </w:r>
      <w:r>
        <w:rPr>
          <w:rFonts w:ascii="Times New Roman;serif" w:hAnsi="Times New Roman;serif"/>
          <w:b w:val="false"/>
          <w:color w:val="000000"/>
          <w:sz w:val="24"/>
        </w:rPr>
        <w:t xml:space="preserve">. If a Participant receives compensation pursuant to an Award under the Plan (whether a Stock Option, Cash Performance Award or otherwise) based on financial statements that are subsequently required to be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the Company’s compensation recovery, “clawback” or similar policy, as may be in effect from time to time and (ii) any compensation recovery, “clawback” or similar policy made applicable by law including the provisions of Section 945 of the Dodd-Frank Wall Street Reform and Consumer Protection Act and the rules, regulations and requirements adopted thereunder by the Securities and Exchange Commission and/or any national securities exchange on which the Company’s equity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securities may be listed (the “</w:t>
      </w:r>
      <w:r>
        <w:rPr>
          <w:rFonts w:ascii="Times New Roman;serif" w:hAnsi="Times New Roman;serif"/>
          <w:b w:val="false"/>
          <w:i/>
          <w:color w:val="000000"/>
          <w:sz w:val="24"/>
        </w:rPr>
        <w:t>Policy</w:t>
      </w:r>
      <w:r>
        <w:rPr>
          <w:color w:val="000000"/>
        </w:rPr>
        <w:t>”</w:t>
      </w:r>
      <w:r>
        <w:rPr>
          <w:rFonts w:ascii="Times New Roman;serif" w:hAnsi="Times New Roman;serif"/>
          <w:b w:val="false"/>
          <w:color w:val="000000"/>
          <w:sz w:val="24"/>
        </w:rPr>
        <w:t>). By accepting an Award hereunder, the Participant acknowledges and agrees that the Policy shall apply to such Award, and all incentive-based compensation payable pursuant to such Award shall be subject to forfeiture and repayment pursuant to the terms of the Policy.</w:t>
      </w:r>
    </w:p>
    <w:p>
      <w:pPr>
        <w:pStyle w:val="TextBody"/>
        <w:bidi w:val="0"/>
        <w:spacing w:lineRule="auto" w:line="240"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Transfer, Leave of Absence, Etc</w:t>
      </w:r>
      <w:r>
        <w:rPr>
          <w:rFonts w:ascii="Times New Roman;serif" w:hAnsi="Times New Roman;serif"/>
          <w:b w:val="false"/>
          <w:color w:val="000000"/>
          <w:sz w:val="24"/>
        </w:rPr>
        <w:t xml:space="preserve">. For purposes of the Plan, except as otherwise determined by the Committee, the following events shall not be deemed a termination of Service: (a) a transfer to the employment of the Company from a Subsidiary or from the Company to a Subsidiary, or from one Subsidiary to another; or (b) an approved leave of absence for military service or sickness, a leave of absence where the employee’s right to re-employment is guaranteed either by a statute or by contract or under the policy pursuant to which the leave of absence was granted, a leave of absence for any other purpose approved by the Company or if the Committee otherwise so provides in writing. </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w:t>
      </w:r>
      <w:r>
        <w:rPr>
          <w:rFonts w:ascii="Times New Roman;serif" w:hAnsi="Times New Roman;serif"/>
          <w:b w:val="false"/>
          <w:i/>
          <w:color w:val="000000"/>
          <w:sz w:val="24"/>
        </w:rPr>
        <w:t>Status of Plan</w:t>
      </w:r>
      <w:r>
        <w:rPr>
          <w:rFonts w:ascii="Times New Roman;serif" w:hAnsi="Times New Roman;serif"/>
          <w:b w:val="false"/>
          <w:color w:val="000000"/>
          <w:sz w:val="24"/>
        </w:rPr>
        <w:t xml:space="preserve">. The Committee may authorize the creation of trusts or other arrangements to meet the Company’s obligations to deliver shares of Common Stock or make payments with respect to Awards. </w:t>
      </w:r>
    </w:p>
    <w:p>
      <w:pPr>
        <w:pStyle w:val="TextBody"/>
        <w:bidi w:val="0"/>
        <w:spacing w:lineRule="auto" w:line="240" w:before="0" w:after="240"/>
        <w:ind w:left="0" w:right="0" w:firstLine="720"/>
        <w:jc w:val="left"/>
        <w:rPr/>
      </w:pPr>
      <w:r>
        <w:rPr>
          <w:rFonts w:ascii="Times New Roman;serif" w:hAnsi="Times New Roman;serif"/>
          <w:b w:val="false"/>
          <w:color w:val="000000"/>
          <w:sz w:val="24"/>
        </w:rPr>
        <w:t>15.2</w:t>
      </w:r>
      <w:r>
        <w:rPr>
          <w:rFonts w:ascii="Times New Roman;serif" w:hAnsi="Times New Roman;serif"/>
          <w:b w:val="false"/>
          <w:i/>
          <w:color w:val="000000"/>
          <w:sz w:val="24"/>
        </w:rPr>
        <w:t>Award Agreement</w:t>
      </w:r>
      <w:r>
        <w:rPr>
          <w:rFonts w:ascii="Times New Roman;serif" w:hAnsi="Times New Roman;serif"/>
          <w:b w:val="false"/>
          <w:color w:val="000000"/>
          <w:sz w:val="24"/>
        </w:rPr>
        <w:t>. An Award under the Plan shall be evidenced by an Award Agreement in a written or electronic form approved by the Committee setting forth the number of shares of Common Stock or Restricted Stock Units subject to the Award, the exercise price, base price or purchase price of the Award, the time or times at which an Award will become vested, exercisable or payable and the term of the Award. The Award Agreement also may set forth the effect on an Award of a Change of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pStyle w:val="TextBody"/>
        <w:bidi w:val="0"/>
        <w:spacing w:lineRule="auto" w:line="240" w:before="0" w:after="240"/>
        <w:ind w:left="0" w:right="0" w:firstLine="720"/>
        <w:jc w:val="left"/>
        <w:rPr/>
      </w:pPr>
      <w:r>
        <w:rPr>
          <w:rFonts w:ascii="Times New Roman;serif" w:hAnsi="Times New Roman;serif"/>
          <w:b w:val="false"/>
          <w:color w:val="000000"/>
          <w:sz w:val="24"/>
        </w:rPr>
        <w:t>15.3</w:t>
      </w:r>
      <w:r>
        <w:rPr>
          <w:rFonts w:ascii="Times New Roman;serif" w:hAnsi="Times New Roman;serif"/>
          <w:b w:val="false"/>
          <w:i/>
          <w:color w:val="000000"/>
          <w:sz w:val="24"/>
        </w:rPr>
        <w:t>No Assignment or Transfer; Beneficiaries</w:t>
      </w:r>
      <w:r>
        <w:rPr>
          <w:rFonts w:ascii="Times New Roman;serif" w:hAnsi="Times New Roman;serif"/>
          <w:b w:val="false"/>
          <w:color w:val="000000"/>
          <w:sz w:val="24"/>
        </w:rPr>
        <w:t>. Except as provided in Section 6.6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determined under the Company 401(k) Retirement Plan or other applicable retirement or pension plan (the “</w:t>
      </w:r>
      <w:r>
        <w:rPr>
          <w:rFonts w:ascii="Times New Roman;serif" w:hAnsi="Times New Roman;serif"/>
          <w:b w:val="false"/>
          <w:i/>
          <w:color w:val="000000"/>
          <w:sz w:val="24"/>
        </w:rPr>
        <w:t>Retirement Plan</w:t>
      </w:r>
      <w:r>
        <w:rPr>
          <w:color w:val="000000"/>
        </w:rPr>
        <w:t>”</w:t>
      </w:r>
      <w:r>
        <w:rPr>
          <w:rFonts w:ascii="Times New Roman;serif" w:hAnsi="Times New Roman;serif"/>
          <w:b w:val="false"/>
          <w:color w:val="000000"/>
          <w:sz w:val="24"/>
        </w:rPr>
        <w:t xml:space="preserve">).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under the Retirement Plan or as provided above, if no validly designated beneficiary survives the Participant or if each surviving validly designated beneficiary is legally impaired or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5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pStyle w:val="TextBody"/>
        <w:bidi w:val="0"/>
        <w:spacing w:lineRule="auto" w:line="240" w:before="0" w:after="240"/>
        <w:ind w:left="0" w:right="0" w:firstLine="720"/>
        <w:jc w:val="left"/>
        <w:rPr/>
      </w:pPr>
      <w:r>
        <w:rPr>
          <w:rFonts w:ascii="Times New Roman;serif" w:hAnsi="Times New Roman;serif"/>
          <w:b w:val="false"/>
          <w:color w:val="000000"/>
          <w:sz w:val="24"/>
        </w:rPr>
        <w:t>15.4</w:t>
      </w:r>
      <w:r>
        <w:rPr>
          <w:rFonts w:ascii="Times New Roman;serif" w:hAnsi="Times New Roman;serif"/>
          <w:b w:val="false"/>
          <w:i/>
          <w:color w:val="000000"/>
          <w:sz w:val="24"/>
        </w:rPr>
        <w:t>Deferrals of Payment</w:t>
      </w:r>
      <w:r>
        <w:rPr>
          <w:rFonts w:ascii="Times New Roman;serif" w:hAnsi="Times New Roman;serif"/>
          <w:b w:val="false"/>
          <w:color w:val="000000"/>
          <w:sz w:val="24"/>
        </w:rPr>
        <w:t xml:space="preserve">. The Committee may in its discretion permit a Participant to defer the receipt of payment of cash or delivery of shares of Common Stock that would otherwise be due to the Participant by virtue of the exercise of a right or the satisfaction of vesting or other conditions with respect to an Award;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15.5</w:t>
      </w:r>
      <w:r>
        <w:rPr>
          <w:rFonts w:ascii="Times New Roman;serif" w:hAnsi="Times New Roman;serif"/>
          <w:b w:val="false"/>
          <w:i/>
          <w:color w:val="000000"/>
          <w:sz w:val="24"/>
        </w:rPr>
        <w:t>No Right to Employment or Continued Service</w:t>
      </w:r>
      <w:r>
        <w:rPr>
          <w:rFonts w:ascii="Times New Roman;serif" w:hAnsi="Times New Roman;serif"/>
          <w:b w:val="false"/>
          <w:color w:val="000000"/>
          <w:sz w:val="24"/>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15.6</w:t>
      </w:r>
      <w:r>
        <w:rPr>
          <w:rFonts w:ascii="Times New Roman;serif" w:hAnsi="Times New Roman;serif"/>
          <w:b w:val="false"/>
          <w:i/>
          <w:color w:val="000000"/>
          <w:sz w:val="24"/>
        </w:rPr>
        <w:t>Rights as Stockholder</w:t>
      </w:r>
      <w:r>
        <w:rPr>
          <w:rFonts w:ascii="Times New Roman;serif" w:hAnsi="Times New Roman;serif"/>
          <w:b w:val="false"/>
          <w:color w:val="000000"/>
          <w:sz w:val="24"/>
        </w:rPr>
        <w:t>. A Participant shall have no rights as a holder of shares of Common Stock with respect to any unissued securities covered by an Award until the date the Participant becomes the holder of record of such securities. Except as provided in Section 4.5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or should the shares of Common Stock be represented by book or electronic account entry rather than a certificate, the Committee may take such steps to restrict transfer of the shares of Common Stock as the Committee considers necessary or advisable.</w:t>
      </w:r>
    </w:p>
    <w:p>
      <w:pPr>
        <w:pStyle w:val="TextBody"/>
        <w:bidi w:val="0"/>
        <w:spacing w:lineRule="auto" w:line="240" w:before="0" w:after="240"/>
        <w:ind w:left="0" w:right="0" w:firstLine="720"/>
        <w:jc w:val="left"/>
        <w:rPr/>
      </w:pPr>
      <w:r>
        <w:rPr>
          <w:rFonts w:ascii="Times New Roman;serif" w:hAnsi="Times New Roman;serif"/>
          <w:b w:val="false"/>
          <w:color w:val="000000"/>
          <w:sz w:val="24"/>
        </w:rPr>
        <w:t>15.7</w:t>
      </w:r>
      <w:r>
        <w:rPr>
          <w:rFonts w:ascii="Times New Roman;serif" w:hAnsi="Times New Roman;serif"/>
          <w:b w:val="false"/>
          <w:i/>
          <w:color w:val="000000"/>
          <w:sz w:val="24"/>
        </w:rPr>
        <w:t>Trading Policy and Other Restrictions</w:t>
      </w:r>
      <w:r>
        <w:rPr>
          <w:rFonts w:ascii="Times New Roman;serif" w:hAnsi="Times New Roman;serif"/>
          <w:b w:val="false"/>
          <w:color w:val="000000"/>
          <w:sz w:val="24"/>
        </w:rPr>
        <w:t>. Transactions involving Awards under the Plan shall be subject to the Company’s Insider Trading and Regulation FD Policy and other restrictions, terms and conditions, to the extent established by the Committee or by applicable law, including any other applicable policies set by the Committee, from time to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15.8</w:t>
      </w:r>
      <w:r>
        <w:rPr>
          <w:rFonts w:ascii="Times New Roman;serif" w:hAnsi="Times New Roman;serif"/>
          <w:b w:val="false"/>
          <w:i/>
          <w:color w:val="000000"/>
          <w:sz w:val="24"/>
        </w:rPr>
        <w:t>Section 409A Compliance</w:t>
      </w:r>
      <w:r>
        <w:rPr>
          <w:rFonts w:ascii="Times New Roman;serif" w:hAnsi="Times New Roman;serif"/>
          <w:b w:val="false"/>
          <w:color w:val="000000"/>
          <w:sz w:val="24"/>
        </w:rPr>
        <w:t xml:space="preserve">.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action shall adversely affect any outstanding Award without the consent of the affected Participant.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In no event whatsoever shall the Company be liable for any additional tax, interest or penalties that may be imposed on a Participant by Section 409A of the Code or any damages for failing to comply with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15.9</w:t>
      </w:r>
      <w:r>
        <w:rPr>
          <w:rFonts w:ascii="Times New Roman;serif" w:hAnsi="Times New Roman;serif"/>
          <w:b w:val="false"/>
          <w:i/>
          <w:color w:val="000000"/>
          <w:sz w:val="24"/>
        </w:rPr>
        <w:t>Securities Law Compliance</w:t>
      </w:r>
      <w:r>
        <w:rPr>
          <w:rFonts w:ascii="Times New Roman;serif" w:hAnsi="Times New Roman;serif"/>
          <w:b w:val="false"/>
          <w:color w:val="000000"/>
          <w:sz w:val="24"/>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15.10</w:t>
      </w:r>
      <w:r>
        <w:rPr>
          <w:rFonts w:ascii="Times New Roman;serif" w:hAnsi="Times New Roman;serif"/>
          <w:b w:val="false"/>
          <w:i/>
          <w:color w:val="000000"/>
          <w:sz w:val="24"/>
        </w:rPr>
        <w:t>Substitute Awards in Corporate Transactions</w:t>
      </w:r>
      <w:r>
        <w:rPr>
          <w:rFonts w:ascii="Times New Roman;serif" w:hAnsi="Times New Roman;serif"/>
          <w:b w:val="false"/>
          <w:color w:val="000000"/>
          <w:sz w:val="24"/>
        </w:rPr>
        <w:t xml:space="preserve">.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reduce the Share 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treatment is permitted by applicable law and the listing requirements of the Nasdaq or other exchange or securities market on which the Common Stock is listed.</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15.11</w:t>
      </w:r>
      <w:r>
        <w:rPr>
          <w:rFonts w:ascii="Times New Roman;serif" w:hAnsi="Times New Roman;serif"/>
          <w:b w:val="false"/>
          <w:i/>
          <w:color w:val="000000"/>
          <w:sz w:val="24"/>
        </w:rPr>
        <w:t>Tax Withholding</w:t>
      </w:r>
      <w:r>
        <w:rPr>
          <w:rFonts w:ascii="Times New Roman;serif" w:hAnsi="Times New Roman;serif"/>
          <w:b w:val="false"/>
          <w:color w:val="000000"/>
          <w:sz w:val="24"/>
        </w:rPr>
        <w:t xml:space="preserve">.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respect to the particular type of Award, which may include permitting the Participant to elect to satisfy the withholding obligation by tendering shares of Common Stock to the Company or having the Company withhold a number of shares of Common Stock having a value equal to the minimum statutory tax or as otherwise specified in an Award Agreement, or similar charge required to be paid or withheld.</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15.12</w:t>
      </w:r>
      <w:r>
        <w:rPr>
          <w:rFonts w:ascii="Times New Roman;serif" w:hAnsi="Times New Roman;serif"/>
          <w:b w:val="false"/>
          <w:i/>
          <w:color w:val="000000"/>
          <w:sz w:val="24"/>
        </w:rPr>
        <w:t>Unfunded Plan</w:t>
      </w:r>
      <w:r>
        <w:rPr>
          <w:rFonts w:ascii="Times New Roman;serif" w:hAnsi="Times New Roman;serif"/>
          <w:b w:val="false"/>
          <w:color w:val="000000"/>
          <w:sz w:val="24"/>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15.13</w:t>
      </w:r>
      <w:r>
        <w:rPr>
          <w:rFonts w:ascii="Times New Roman;serif" w:hAnsi="Times New Roman;serif"/>
          <w:b w:val="false"/>
          <w:i/>
          <w:color w:val="000000"/>
          <w:sz w:val="24"/>
        </w:rPr>
        <w:t>Other Compensation and Benefit Plans</w:t>
      </w:r>
      <w:r>
        <w:rPr>
          <w:rFonts w:ascii="Times New Roman;serif" w:hAnsi="Times New Roman;serif"/>
          <w:b w:val="false"/>
          <w:color w:val="000000"/>
          <w:sz w:val="24"/>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15.14</w:t>
      </w:r>
      <w:r>
        <w:rPr>
          <w:rFonts w:ascii="Times New Roman;serif" w:hAnsi="Times New Roman;serif"/>
          <w:b w:val="false"/>
          <w:i/>
          <w:color w:val="000000"/>
          <w:sz w:val="24"/>
        </w:rPr>
        <w:t>Plan Binding on Transferees</w:t>
      </w:r>
      <w:r>
        <w:rPr>
          <w:rFonts w:ascii="Times New Roman;serif" w:hAnsi="Times New Roman;serif"/>
          <w:b w:val="false"/>
          <w:color w:val="000000"/>
          <w:sz w:val="24"/>
        </w:rPr>
        <w:t>. The Plan shall be binding upon the Company, its transferees and assigns, and the Participant, the Participant’s executor, administrator and permitted transferees and beneficiaries.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15.15</w:t>
      </w:r>
      <w:r>
        <w:rPr>
          <w:rFonts w:ascii="Times New Roman;serif" w:hAnsi="Times New Roman;serif"/>
          <w:b w:val="false"/>
          <w:i/>
          <w:color w:val="000000"/>
          <w:sz w:val="24"/>
        </w:rPr>
        <w:t>Severability</w:t>
      </w:r>
      <w:r>
        <w:rPr>
          <w:rFonts w:ascii="Times New Roman;serif" w:hAnsi="Times New Roman;serif"/>
          <w:b w:val="false"/>
          <w:color w:val="000000"/>
          <w:sz w:val="24"/>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15.16</w:t>
      </w:r>
      <w:r>
        <w:rPr>
          <w:rFonts w:ascii="Times New Roman;serif" w:hAnsi="Times New Roman;serif"/>
          <w:b w:val="false"/>
          <w:i/>
          <w:color w:val="000000"/>
          <w:sz w:val="24"/>
        </w:rPr>
        <w:t>Governing Law; Jurisdiction</w:t>
      </w:r>
      <w:r>
        <w:rPr>
          <w:rFonts w:ascii="Times New Roman;serif" w:hAnsi="Times New Roman;serif"/>
          <w:b w:val="false"/>
          <w:color w:val="000000"/>
          <w:sz w:val="24"/>
        </w:rPr>
        <w:t>. The Plan and all rights hereunder shall be governed by and interpreted in accordance with the laws of the State of Delaware, without reference to the principles of conflicts of laws, and to applicable federal laws. Any action to enforce any of the provisions of the Plan or any Award Agreement shall be brought in a court in the State of Texas located in Harris County or, if subject matter jurisdiction exists, in the Houston Division of the U.S. District Court for the Southern District of Texas. The Company and any Participant consent to the jurisdiction of such courts and to the service of process in any manner provided by applicable Texas or federal law. Each party irrevocably waives any objection which it may now or hereafter have to the laying of the venue of any such suit, action, or proceeding brought in such court and any claim that such suit, action, or proceeding brought in such court has been brought in an inconvenient forum and agrees that service of process in accordance with the foregoing sentences shall be deemed in every respect effective and valid personal service of process upon such party.</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15.17</w:t>
      </w:r>
      <w:r>
        <w:rPr>
          <w:rFonts w:ascii="Times New Roman;serif" w:hAnsi="Times New Roman;serif"/>
          <w:b w:val="false"/>
          <w:i/>
          <w:color w:val="000000"/>
          <w:sz w:val="24"/>
        </w:rPr>
        <w:t>No Fractional Shares</w:t>
      </w:r>
      <w:r>
        <w:rPr>
          <w:rFonts w:ascii="Times New Roman;serif" w:hAnsi="Times New Roman;serif"/>
          <w:b w:val="false"/>
          <w:color w:val="000000"/>
          <w:sz w:val="24"/>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15.18</w:t>
      </w:r>
      <w:r>
        <w:rPr>
          <w:rFonts w:ascii="Times New Roman;serif" w:hAnsi="Times New Roman;serif"/>
          <w:b w:val="false"/>
          <w:i/>
          <w:color w:val="000000"/>
          <w:sz w:val="24"/>
        </w:rPr>
        <w:t>No Guarantees Regarding Tax Treatment</w:t>
      </w:r>
      <w:r>
        <w:rPr>
          <w:rFonts w:ascii="Times New Roman;serif" w:hAnsi="Times New Roman;serif"/>
          <w:b w:val="false"/>
          <w:color w:val="000000"/>
          <w:sz w:val="24"/>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pStyle w:val="TextBody"/>
        <w:bidi w:val="0"/>
        <w:spacing w:lineRule="auto" w:line="240" w:before="0" w:after="240"/>
        <w:ind w:left="0" w:right="0" w:firstLine="720"/>
        <w:jc w:val="left"/>
        <w:rPr/>
      </w:pPr>
      <w:r>
        <w:rPr>
          <w:rFonts w:ascii="Times New Roman;serif" w:hAnsi="Times New Roman;serif"/>
          <w:b w:val="false"/>
          <w:color w:val="000000"/>
          <w:sz w:val="24"/>
        </w:rPr>
        <w:t>15.19</w:t>
      </w:r>
      <w:r>
        <w:rPr>
          <w:rFonts w:ascii="Times New Roman;serif" w:hAnsi="Times New Roman;serif"/>
          <w:b w:val="false"/>
          <w:i/>
          <w:color w:val="000000"/>
          <w:sz w:val="24"/>
        </w:rPr>
        <w:t>Data Protection</w:t>
      </w:r>
      <w:r>
        <w:rPr>
          <w:rFonts w:ascii="Times New Roman;serif" w:hAnsi="Times New Roman;serif"/>
          <w:b w:val="false"/>
          <w:color w:val="000000"/>
          <w:sz w:val="24"/>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15.20</w:t>
      </w:r>
      <w:r>
        <w:rPr>
          <w:rFonts w:ascii="Times New Roman;serif" w:hAnsi="Times New Roman;serif"/>
          <w:b w:val="false"/>
          <w:i/>
          <w:color w:val="000000"/>
          <w:sz w:val="24"/>
        </w:rPr>
        <w:t>Awards to Non-U.S. Participants.</w:t>
      </w:r>
      <w:r>
        <w:rPr>
          <w:color w:val="000000"/>
        </w:rPr>
        <w:t xml:space="preserve"> </w:t>
      </w:r>
      <w:r>
        <w:rPr>
          <w:rFonts w:ascii="Times New Roman;serif" w:hAnsi="Times New Roman;serif"/>
          <w:b w:val="false"/>
          <w:color w:val="000000"/>
          <w:sz w:val="24"/>
        </w:rPr>
        <w:t>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15.20 by the Committee shall be attached to this Plan document as appendices.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Term; Amendment and Termination; Stockholder Approval</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16.1</w:t>
      </w:r>
      <w:r>
        <w:rPr>
          <w:rFonts w:ascii="Times New Roman;serif" w:hAnsi="Times New Roman;serif"/>
          <w:b w:val="false"/>
          <w:i/>
          <w:color w:val="000000"/>
          <w:sz w:val="24"/>
        </w:rPr>
        <w:t>Term</w:t>
      </w:r>
      <w:r>
        <w:rPr>
          <w:rFonts w:ascii="Times New Roman;serif" w:hAnsi="Times New Roman;serif"/>
          <w:b w:val="false"/>
          <w:color w:val="000000"/>
          <w:sz w:val="24"/>
        </w:rPr>
        <w:t>. T</w:t>
      </w:r>
      <w:r>
        <w:rPr>
          <w:rFonts w:ascii="Times New Roman;serif" w:hAnsi="Times New Roman;serif"/>
          <w:b w:val="false"/>
          <w:color w:val="000000"/>
          <w:sz w:val="24"/>
          <w:shd w:fill="FFFFFF" w:val="clear"/>
        </w:rPr>
        <w:t xml:space="preserve">his amendment and restatement of the Plan shall be effective as of the Restatement Effective Date; provided, however, that, unless otherwise provided herein, any Awards granted hereunder prior to the Restatement Effective Date shall remain subject to the terms of the Plan as were in effect prior to the Restatement Effective Date. Subject to Section 16.2 hereof, the Plan shall terminate on </w:t>
      </w:r>
      <w:r>
        <w:rPr>
          <w:rFonts w:ascii="Times New Roman;serif" w:hAnsi="Times New Roman;serif"/>
          <w:b w:val="false"/>
          <w:color w:val="000000"/>
          <w:sz w:val="24"/>
        </w:rPr>
        <w:t>the tenth anniversary of the Restatement Effective Date</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16.2</w:t>
      </w:r>
      <w:r>
        <w:rPr>
          <w:rFonts w:ascii="Times New Roman;serif" w:hAnsi="Times New Roman;serif"/>
          <w:b w:val="false"/>
          <w:i/>
          <w:color w:val="000000"/>
          <w:sz w:val="24"/>
        </w:rPr>
        <w:t>Amendment and Termination</w:t>
      </w:r>
      <w:r>
        <w:rPr>
          <w:rFonts w:ascii="Times New Roman;serif" w:hAnsi="Times New Roman;serif"/>
          <w:b w:val="false"/>
          <w:color w:val="000000"/>
          <w:sz w:val="24"/>
        </w:rPr>
        <w:t xml:space="preserve">. The Board may from time to time and in any respect, amend, modify, suspend or terminate the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the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03923/000160392326000014/wfrd-20251231.htm" TargetMode="External"/><Relationship Id="rId3" Type="http://schemas.openxmlformats.org/officeDocument/2006/relationships/hyperlink" Target="https://www.sec.gov/ix?doc=/Archives/edgar/data/0001603923/000119312526166847/d120523ddef14a.htm" TargetMode="External"/><Relationship Id="rId4" Type="http://schemas.openxmlformats.org/officeDocument/2006/relationships/hyperlink" Target="https://www.sec.gov/Archives/edgar/data/1603923/000119312526302022/d136463ddef14a.htm" TargetMode="External"/><Relationship Id="rId5" Type="http://schemas.openxmlformats.org/officeDocument/2006/relationships/hyperlink" Target="https://www.sec.gov/Archives/edgar/data/1603923/000119312526302022/d136463ddef14a.htm" TargetMode="External"/><Relationship Id="rId6" Type="http://schemas.openxmlformats.org/officeDocument/2006/relationships/hyperlink" Target="https://www.sec.gov/Archives/edgar/data/1603923/000119312526302022/d136463ddef14a.htm" TargetMode="External"/><Relationship Id="rId7" Type="http://schemas.openxmlformats.org/officeDocument/2006/relationships/hyperlink" Target="https://www.sec.gov/Archives/edgar/data/1603923/000119312526302022/d136463ddef14a.htm" TargetMode="External"/><Relationship Id="rId8" Type="http://schemas.openxmlformats.org/officeDocument/2006/relationships/hyperlink" Target="https://www.sec.gov/Archives/edgar/data/1603923/000119312526302022/d136463ddef14a.htm" TargetMode="External"/><Relationship Id="rId9" Type="http://schemas.openxmlformats.org/officeDocument/2006/relationships/hyperlink" Target="https://www.sec.gov/Archives/edgar/data/1603923/000119312526302022/d136463ddef14a.htm" TargetMode="External"/><Relationship Id="rId10" Type="http://schemas.openxmlformats.org/officeDocument/2006/relationships/hyperlink" Target="https://www.sec.gov/ix?doc=/Archives/edgar/data/0001603923/000160392326000047/wfrd-20260331.htm" TargetMode="External"/><Relationship Id="rId11" Type="http://schemas.openxmlformats.org/officeDocument/2006/relationships/hyperlink" Target="https://www.sec.gov/ix?doc=/Archives/edgar/data/0001603923/000160392326000085/wfrd-20260630.htm" TargetMode="External"/><Relationship Id="rId12" Type="http://schemas.openxmlformats.org/officeDocument/2006/relationships/hyperlink" Target="https://www.sec.gov/ix?doc=/Archives/edgar/data/0001603923/000160392326000085/wfrd-20260630.htm" TargetMode="External"/><Relationship Id="rId13" Type="http://schemas.openxmlformats.org/officeDocument/2006/relationships/hyperlink" Target="https://www.sec.gov/ix?doc=/Archives/edgar/data/0001603923/000160392326000004/wft-20260127.htm" TargetMode="External"/><Relationship Id="rId14" Type="http://schemas.openxmlformats.org/officeDocument/2006/relationships/hyperlink" Target="https://www.sec.gov/ix?doc=/Archives/edgar/data/0001603923/000160392326000025/wft-20260402.htm" TargetMode="External"/><Relationship Id="rId15" Type="http://schemas.openxmlformats.org/officeDocument/2006/relationships/hyperlink" Target="https://www.sec.gov/ix?doc=/Archives/edgar/data/0001603923/000160392326000058/wfrd-20260531.htm" TargetMode="External"/><Relationship Id="rId16" Type="http://schemas.openxmlformats.org/officeDocument/2006/relationships/hyperlink" Target="https://www.sec.gov/ix?doc=/Archives/edgar/data/0001603923/000160392326000069/wft-20260611.htm" TargetMode="External"/><Relationship Id="rId17" Type="http://schemas.openxmlformats.org/officeDocument/2006/relationships/hyperlink" Target="https://www.sec.gov/ix?doc=/Archives/edgar/data/0001603923/000160392326000097/wft-20260901.htm" TargetMode="External"/><Relationship Id="rId18" Type="http://schemas.openxmlformats.org/officeDocument/2006/relationships/hyperlink" Target="https://www.sec.gov/ix?doc=/Archives/edgar/data/0001603923/000160392326000097/wft-20260901.htm" TargetMode="External"/><Relationship Id="rId19" Type="http://schemas.openxmlformats.org/officeDocument/2006/relationships/hyperlink" Target="https://www.sec.gov/Archives/edgar/data/1603923/000110465921042795/tm2110708d1_1012b.htm" TargetMode="External"/><Relationship Id="rId20" Type="http://schemas.openxmlformats.org/officeDocument/2006/relationships/hyperlink" Target="https://www.sec.gov/Archives/edgar/data/1603923/000160392322000051/exhibit41descriptionofsecu.htm" TargetMode="External"/><Relationship Id="rId21" Type="http://schemas.openxmlformats.org/officeDocument/2006/relationships/hyperlink" Target="https://www.sec.gov/Archives/edgar/data/1603923/000110465919073841/tm1925198d1_ex3-1.htm" TargetMode="External"/><Relationship Id="rId22" Type="http://schemas.openxmlformats.org/officeDocument/2006/relationships/hyperlink" Target="https://www.sec.gov/Archives/edgar/data/1603923/000110465919073841/tm1925198d1_ex3-1.htm" TargetMode="External"/><Relationship Id="rId23" Type="http://schemas.openxmlformats.org/officeDocument/2006/relationships/hyperlink" Target="https://www.sec.gov/Archives/edgar/data/1603923/000110465919073841/tm1925198d1_ex3-1.htm" TargetMode="External"/><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3.png"/><Relationship Id="rId28" Type="http://schemas.openxmlformats.org/officeDocument/2006/relationships/image" Target="media/image2.png"/><Relationship Id="rId29" Type="http://schemas.openxmlformats.org/officeDocument/2006/relationships/image" Target="media/image2.png"/><Relationship Id="rId30" Type="http://schemas.openxmlformats.org/officeDocument/2006/relationships/image" Target="media/image2.png"/><Relationship Id="rId31" Type="http://schemas.openxmlformats.org/officeDocument/2006/relationships/image" Target="media/image2.png"/><Relationship Id="rId32" Type="http://schemas.openxmlformats.org/officeDocument/2006/relationships/image" Target="media/image2.png"/><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image" Target="media/image2.pn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19642</Words>
  <Characters>102758</Characters>
  <CharactersWithSpaces>122013</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