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6992620" cy="6215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6215380"/>
                    </a:xfrm>
                    <a:prstGeom prst="rect">
                      <a:avLst/>
                    </a:prstGeom>
                    <a:noFill/>
                  </pic:spPr>
                </pic:pic>
              </a:graphicData>
            </a:graphic>
          </wp:anchor>
        </w:drawing>
      </w:r>
    </w:p>
    <w:p>
      <w:pPr>
        <w:spacing w:after="0" w:line="1258" w:lineRule="exact"/>
        <w:rPr>
          <w:sz w:val="24"/>
          <w:szCs w:val="24"/>
          <w:color w:val="auto"/>
        </w:rPr>
      </w:pPr>
    </w:p>
    <w:p>
      <w:pPr>
        <w:sectPr>
          <w:pgSz w:w="11900" w:h="16838" w:orient="portrait"/>
          <w:cols w:equalWidth="0" w:num="2">
            <w:col w:w="2300" w:space="260"/>
            <w:col w:w="8520"/>
          </w:cols>
          <w:pgMar w:left="460" w:top="216" w:right="359" w:bottom="36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Weatherholt Scott C</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Weatherford International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WFRD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01/18/2025</w:t>
      </w:r>
    </w:p>
    <w:p>
      <w:pPr>
        <w:spacing w:after="0" w:line="20" w:lineRule="exact"/>
        <w:rPr>
          <w:sz w:val="24"/>
          <w:szCs w:val="24"/>
          <w:color w:val="auto"/>
        </w:rPr>
      </w:pPr>
      <w:r>
        <w:rPr>
          <w:sz w:val="24"/>
          <w:szCs w:val="24"/>
          <w:color w:val="auto"/>
        </w:rPr>
        <w:br w:type="column"/>
      </w:r>
    </w:p>
    <w:p>
      <w:pPr>
        <w:ind w:left="5" w:right="600" w:hanging="5"/>
        <w:spacing w:after="0" w:line="261"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208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985"/>
        <w:spacing w:after="0"/>
        <w:rPr>
          <w:sz w:val="20"/>
          <w:szCs w:val="20"/>
          <w:color w:val="auto"/>
        </w:rPr>
      </w:pPr>
      <w:r>
        <w:rPr>
          <w:rFonts w:ascii="Times New Roman" w:cs="Times New Roman" w:eastAsia="Times New Roman" w:hAnsi="Times New Roman"/>
          <w:sz w:val="17"/>
          <w:szCs w:val="17"/>
          <w:color w:val="0000FF"/>
        </w:rPr>
        <w:t>EVP, GC &amp; CCO</w:t>
      </w:r>
    </w:p>
    <w:p>
      <w:pPr>
        <w:spacing w:after="0" w:line="319" w:lineRule="exact"/>
        <w:rPr>
          <w:sz w:val="24"/>
          <w:szCs w:val="24"/>
          <w:color w:val="auto"/>
        </w:rPr>
      </w:pPr>
    </w:p>
    <w:p>
      <w:pPr>
        <w:sectPr>
          <w:pgSz w:w="11900" w:h="16838" w:orient="portrait"/>
          <w:cols w:equalWidth="0" w:num="3">
            <w:col w:w="3180" w:space="720"/>
            <w:col w:w="3260" w:space="575"/>
            <w:col w:w="3345"/>
          </w:cols>
          <w:pgMar w:left="460" w:top="216" w:right="359" w:bottom="366" w:gutter="0" w:footer="0" w:header="0"/>
          <w:type w:val="continuous"/>
        </w:sectPr>
      </w:pPr>
    </w:p>
    <w:tbl>
      <w:tblPr>
        <w:tblLayout w:type="fixed"/>
        <w:tblInd w:w="0" w:type="dxa"/>
        <w:tblCellMar>
          <w:top w:w="0" w:type="dxa"/>
          <w:left w:w="0" w:type="dxa"/>
          <w:bottom w:w="0" w:type="dxa"/>
          <w:right w:w="0" w:type="dxa"/>
        </w:tblCellMar>
      </w:tblP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3660" w:type="dxa"/>
            <w:vAlign w:val="bottom"/>
            <w:gridSpan w:val="8"/>
            <w:vMerge w:val="restart"/>
          </w:tcPr>
          <w:p>
            <w:pPr>
              <w:jc w:val="center"/>
              <w:ind w:right="14"/>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60" w:type="dxa"/>
            <w:vAlign w:val="bottom"/>
            <w:gridSpan w:val="8"/>
            <w:vMerge w:val="continue"/>
          </w:tcPr>
          <w:p>
            <w:pPr>
              <w:spacing w:after="0"/>
              <w:rPr>
                <w:sz w:val="7"/>
                <w:szCs w:val="7"/>
                <w:color w:val="auto"/>
              </w:rPr>
            </w:pPr>
          </w:p>
        </w:tc>
        <w:tc>
          <w:tcPr>
            <w:tcW w:w="366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TX</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77056</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7"/>
          </w:tcPr>
          <w:p>
            <w:pPr>
              <w:ind w:left="14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jc w:val="center"/>
              <w:ind w:left="57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70"/>
              <w:spacing w:after="0"/>
              <w:rPr>
                <w:sz w:val="20"/>
                <w:szCs w:val="20"/>
                <w:color w:val="auto"/>
              </w:rPr>
            </w:pPr>
            <w:r>
              <w:rPr>
                <w:rFonts w:ascii="Times New Roman" w:cs="Times New Roman" w:eastAsia="Times New Roman" w:hAnsi="Times New Roman"/>
                <w:sz w:val="17"/>
                <w:szCs w:val="17"/>
                <w:color w:val="0000FF"/>
              </w:rPr>
              <w:t>01/18/2025</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6"/>
                <w:szCs w:val="26"/>
                <w:color w:val="0000FF"/>
                <w:w w:val="84"/>
                <w:vertAlign w:val="subscript"/>
              </w:rPr>
              <w:t>M</w:t>
            </w:r>
            <w:r>
              <w:rPr>
                <w:rFonts w:ascii="Times New Roman" w:cs="Times New Roman" w:eastAsia="Times New Roman" w:hAnsi="Times New Roman"/>
                <w:sz w:val="11"/>
                <w:szCs w:val="11"/>
                <w:color w:val="008000"/>
                <w:w w:val="84"/>
              </w:rPr>
              <w:t>(1)</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7,230</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168"/>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168,858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70"/>
              <w:spacing w:after="0"/>
              <w:rPr>
                <w:sz w:val="20"/>
                <w:szCs w:val="20"/>
                <w:color w:val="auto"/>
              </w:rPr>
            </w:pPr>
            <w:r>
              <w:rPr>
                <w:rFonts w:ascii="Times New Roman" w:cs="Times New Roman" w:eastAsia="Times New Roman" w:hAnsi="Times New Roman"/>
                <w:sz w:val="17"/>
                <w:szCs w:val="17"/>
                <w:color w:val="0000FF"/>
              </w:rPr>
              <w:t>01/18/2025</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6"/>
                <w:szCs w:val="26"/>
                <w:color w:val="0000FF"/>
                <w:w w:val="84"/>
                <w:vertAlign w:val="subscript"/>
              </w:rPr>
              <w:t>M</w:t>
            </w:r>
            <w:r>
              <w:rPr>
                <w:rFonts w:ascii="Times New Roman" w:cs="Times New Roman" w:eastAsia="Times New Roman" w:hAnsi="Times New Roman"/>
                <w:sz w:val="11"/>
                <w:szCs w:val="11"/>
                <w:color w:val="008000"/>
                <w:w w:val="84"/>
              </w:rPr>
              <w:t>(2)</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3,541</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168"/>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172,399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70"/>
              <w:spacing w:after="0"/>
              <w:rPr>
                <w:sz w:val="20"/>
                <w:szCs w:val="20"/>
                <w:color w:val="auto"/>
              </w:rPr>
            </w:pPr>
            <w:r>
              <w:rPr>
                <w:rFonts w:ascii="Times New Roman" w:cs="Times New Roman" w:eastAsia="Times New Roman" w:hAnsi="Times New Roman"/>
                <w:sz w:val="17"/>
                <w:szCs w:val="17"/>
                <w:color w:val="0000FF"/>
              </w:rPr>
              <w:t>01/18/2025</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6"/>
                <w:szCs w:val="26"/>
                <w:color w:val="0000FF"/>
                <w:w w:val="84"/>
                <w:vertAlign w:val="subscript"/>
              </w:rPr>
              <w:t>M</w:t>
            </w:r>
            <w:r>
              <w:rPr>
                <w:rFonts w:ascii="Times New Roman" w:cs="Times New Roman" w:eastAsia="Times New Roman" w:hAnsi="Times New Roman"/>
                <w:sz w:val="11"/>
                <w:szCs w:val="11"/>
                <w:color w:val="008000"/>
                <w:w w:val="84"/>
              </w:rPr>
              <w:t>(3)</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2,252</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168"/>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174,651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70"/>
              <w:spacing w:after="0"/>
              <w:rPr>
                <w:sz w:val="20"/>
                <w:szCs w:val="20"/>
                <w:color w:val="auto"/>
              </w:rPr>
            </w:pPr>
            <w:r>
              <w:rPr>
                <w:rFonts w:ascii="Times New Roman" w:cs="Times New Roman" w:eastAsia="Times New Roman" w:hAnsi="Times New Roman"/>
                <w:sz w:val="17"/>
                <w:szCs w:val="17"/>
                <w:color w:val="0000FF"/>
              </w:rPr>
              <w:t>01/18/2025</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6"/>
                <w:szCs w:val="26"/>
                <w:color w:val="0000FF"/>
                <w:w w:val="88"/>
                <w:vertAlign w:val="subscript"/>
              </w:rPr>
              <w:t>F</w:t>
            </w:r>
            <w:r>
              <w:rPr>
                <w:rFonts w:ascii="Times New Roman" w:cs="Times New Roman" w:eastAsia="Times New Roman" w:hAnsi="Times New Roman"/>
                <w:sz w:val="11"/>
                <w:szCs w:val="11"/>
                <w:color w:val="008000"/>
                <w:w w:val="88"/>
              </w:rPr>
              <w:t>(4)</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5,127</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73.99</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169,524</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80" w:type="dxa"/>
            <w:vAlign w:val="bottom"/>
            <w:gridSpan w:val="12"/>
          </w:tcPr>
          <w:p>
            <w:pPr>
              <w:jc w:val="center"/>
              <w:ind w:left="37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jc w:val="center"/>
              <w:ind w:right="14"/>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jc w:val="center"/>
              <w:ind w:right="14"/>
              <w:spacing w:after="0" w:line="130"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jc w:val="center"/>
              <w:spacing w:after="0" w:line="130" w:lineRule="exact"/>
              <w:rPr>
                <w:sz w:val="20"/>
                <w:szCs w:val="20"/>
                <w:color w:val="auto"/>
              </w:rPr>
            </w:pPr>
            <w:r>
              <w:rPr>
                <w:rFonts w:ascii="Arial" w:cs="Arial" w:eastAsia="Arial" w:hAnsi="Arial"/>
                <w:sz w:val="12"/>
                <w:szCs w:val="12"/>
                <w:b w:val="1"/>
                <w:bCs w:val="1"/>
                <w:color w:val="auto"/>
                <w:w w:val="95"/>
              </w:rPr>
              <w:t>Expiration</w:t>
            </w: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jc w:val="right"/>
              <w:ind w:right="373"/>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60" w:type="dxa"/>
            <w:vAlign w:val="bottom"/>
          </w:tcPr>
          <w:p>
            <w:pPr>
              <w:spacing w:after="0"/>
              <w:rPr>
                <w:sz w:val="15"/>
                <w:szCs w:val="15"/>
                <w:color w:val="auto"/>
              </w:rPr>
            </w:pPr>
          </w:p>
        </w:tc>
        <w:tc>
          <w:tcPr>
            <w:tcW w:w="580" w:type="dxa"/>
            <w:vAlign w:val="bottom"/>
            <w:vMerge w:val="restart"/>
          </w:tcPr>
          <w:p>
            <w:pPr>
              <w:jc w:val="center"/>
              <w:ind w:right="133"/>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7,230</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Times New Roman" w:cs="Times New Roman" w:eastAsia="Times New Roman" w:hAnsi="Times New Roman"/>
                <w:sz w:val="13"/>
                <w:szCs w:val="13"/>
                <w:color w:val="0000FF"/>
              </w:rPr>
              <w:t>Share</w:t>
            </w:r>
          </w:p>
        </w:tc>
        <w:tc>
          <w:tcPr>
            <w:tcW w:w="6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color w:val="0000FF"/>
                <w:w w:val="97"/>
              </w:rPr>
              <w:t>01/18/2025</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ind w:left="8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1"/>
                <w:szCs w:val="11"/>
                <w:color w:val="auto"/>
              </w:rPr>
            </w:pPr>
          </w:p>
        </w:tc>
        <w:tc>
          <w:tcPr>
            <w:tcW w:w="78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7,230</w:t>
            </w: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center"/>
              <w:ind w:right="174"/>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tcPr>
          <w:p>
            <w:pPr>
              <w:jc w:val="center"/>
              <w:ind w:left="160"/>
              <w:spacing w:after="0" w:line="130" w:lineRule="exact"/>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160" w:type="dxa"/>
            <w:vAlign w:val="bottom"/>
          </w:tcPr>
          <w:p>
            <w:pPr>
              <w:spacing w:after="0"/>
              <w:rPr>
                <w:sz w:val="15"/>
                <w:szCs w:val="15"/>
                <w:color w:val="auto"/>
              </w:rPr>
            </w:pPr>
          </w:p>
        </w:tc>
        <w:tc>
          <w:tcPr>
            <w:tcW w:w="580" w:type="dxa"/>
            <w:vAlign w:val="bottom"/>
            <w:vMerge w:val="restart"/>
          </w:tcPr>
          <w:p>
            <w:pPr>
              <w:jc w:val="center"/>
              <w:ind w:right="133"/>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3,541</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Times New Roman" w:cs="Times New Roman" w:eastAsia="Times New Roman" w:hAnsi="Times New Roman"/>
                <w:sz w:val="13"/>
                <w:szCs w:val="13"/>
                <w:color w:val="0000FF"/>
              </w:rPr>
              <w:t>Share</w:t>
            </w:r>
          </w:p>
        </w:tc>
        <w:tc>
          <w:tcPr>
            <w:tcW w:w="6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color w:val="0000FF"/>
                <w:w w:val="97"/>
              </w:rPr>
              <w:t>01/18/2025</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ind w:left="8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1"/>
                <w:szCs w:val="11"/>
                <w:color w:val="auto"/>
              </w:rPr>
            </w:pPr>
          </w:p>
        </w:tc>
        <w:tc>
          <w:tcPr>
            <w:tcW w:w="78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3,541</w:t>
            </w: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center"/>
              <w:ind w:right="174"/>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tcPr>
          <w:p>
            <w:pPr>
              <w:jc w:val="center"/>
              <w:ind w:left="160"/>
              <w:spacing w:after="0" w:line="130" w:lineRule="exact"/>
              <w:rPr>
                <w:sz w:val="20"/>
                <w:szCs w:val="20"/>
                <w:color w:val="auto"/>
              </w:rPr>
            </w:pPr>
            <w:r>
              <w:rPr>
                <w:rFonts w:ascii="Times New Roman" w:cs="Times New Roman" w:eastAsia="Times New Roman" w:hAnsi="Times New Roman"/>
                <w:sz w:val="13"/>
                <w:szCs w:val="13"/>
                <w:color w:val="0000FF"/>
              </w:rPr>
              <w:t>3,542</w:t>
            </w:r>
          </w:p>
        </w:tc>
        <w:tc>
          <w:tcPr>
            <w:tcW w:w="28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160" w:type="dxa"/>
            <w:vAlign w:val="bottom"/>
          </w:tcPr>
          <w:p>
            <w:pPr>
              <w:spacing w:after="0"/>
              <w:rPr>
                <w:sz w:val="15"/>
                <w:szCs w:val="15"/>
                <w:color w:val="auto"/>
              </w:rPr>
            </w:pPr>
          </w:p>
        </w:tc>
        <w:tc>
          <w:tcPr>
            <w:tcW w:w="580" w:type="dxa"/>
            <w:vAlign w:val="bottom"/>
            <w:vMerge w:val="restart"/>
          </w:tcPr>
          <w:p>
            <w:pPr>
              <w:jc w:val="center"/>
              <w:ind w:right="133"/>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2,252</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Times New Roman" w:cs="Times New Roman" w:eastAsia="Times New Roman" w:hAnsi="Times New Roman"/>
                <w:sz w:val="13"/>
                <w:szCs w:val="13"/>
                <w:color w:val="0000FF"/>
              </w:rPr>
              <w:t>Share</w:t>
            </w:r>
          </w:p>
        </w:tc>
        <w:tc>
          <w:tcPr>
            <w:tcW w:w="6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color w:val="0000FF"/>
                <w:w w:val="97"/>
              </w:rPr>
              <w:t>01/18/2025</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ind w:left="8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1"/>
                <w:szCs w:val="11"/>
                <w:color w:val="auto"/>
              </w:rPr>
            </w:pPr>
          </w:p>
        </w:tc>
        <w:tc>
          <w:tcPr>
            <w:tcW w:w="78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2,252</w:t>
            </w: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center"/>
              <w:ind w:right="174"/>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tcPr>
          <w:p>
            <w:pPr>
              <w:jc w:val="center"/>
              <w:ind w:left="160"/>
              <w:spacing w:after="0" w:line="130" w:lineRule="exact"/>
              <w:rPr>
                <w:sz w:val="20"/>
                <w:szCs w:val="20"/>
                <w:color w:val="auto"/>
              </w:rPr>
            </w:pPr>
            <w:r>
              <w:rPr>
                <w:rFonts w:ascii="Times New Roman" w:cs="Times New Roman" w:eastAsia="Times New Roman" w:hAnsi="Times New Roman"/>
                <w:sz w:val="13"/>
                <w:szCs w:val="13"/>
                <w:color w:val="0000FF"/>
              </w:rPr>
              <w:t>4,503</w:t>
            </w:r>
          </w:p>
        </w:tc>
        <w:tc>
          <w:tcPr>
            <w:tcW w:w="28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-2821940</wp:posOffset>
            </wp:positionV>
            <wp:extent cx="29210" cy="28270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8270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3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share units ("RSUs") granted on January 18, 2022 pursuant to Issuer's 2019 Equity Incentive Plan, as amended and restated (the "2019 EIP"). The RSUs vested in three equal annual installments over the three-year period following the grant date.</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RSUs granted on January 18, 2023 pursuant to the 2019 EIP. The RSUs vest in three equal annual installments over the three-year period following the grant date.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RSUs granted on January 18, 2024 pursuant to the 2019 EIP. The RSUs vest in three equal annual installments over the three-year period following the grant date.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was a withholding of a portion of vested RSUs to satisfy the reporting person's tax obligations upon vesting, pursuant to the 2019 EIP and the relevant award agreements.</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Kathy Medford by Power of</w:t>
            </w: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01/22/2025</w:t>
            </w:r>
          </w:p>
        </w:tc>
        <w:tc>
          <w:tcPr>
            <w:tcW w:w="0" w:type="dxa"/>
            <w:vAlign w:val="bottom"/>
          </w:tcPr>
          <w:p>
            <w:pPr>
              <w:spacing w:after="0"/>
              <w:rPr>
                <w:sz w:val="1"/>
                <w:szCs w:val="1"/>
                <w:color w:val="auto"/>
              </w:rPr>
            </w:pPr>
          </w:p>
        </w:tc>
      </w:tr>
      <w:tr>
        <w:trPr>
          <w:trHeight w:val="89"/>
        </w:trPr>
        <w:tc>
          <w:tcPr>
            <w:tcW w:w="620" w:type="dxa"/>
            <w:vAlign w:val="bottom"/>
            <w:tcBorders>
              <w:top w:val="single" w:sz="8" w:color="auto"/>
              <w:bottom w:val="single" w:sz="8" w:color="auto"/>
            </w:tcBorders>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9"/>
              </w:rPr>
              <w:t>Attorney</w:t>
            </w:r>
          </w:p>
        </w:tc>
        <w:tc>
          <w:tcPr>
            <w:tcW w:w="1300" w:type="dxa"/>
            <w:vAlign w:val="bottom"/>
            <w:tcBorders>
              <w:top w:val="single" w:sz="8" w:color="auto"/>
              <w:bottom w:val="single" w:sz="8" w:color="auto"/>
            </w:tcBorders>
            <w:vMerge w:val="restart"/>
          </w:tcPr>
          <w:p>
            <w:pPr>
              <w:spacing w:after="0"/>
              <w:rPr>
                <w:sz w:val="7"/>
                <w:szCs w:val="7"/>
                <w:color w:val="auto"/>
              </w:rPr>
            </w:pPr>
          </w:p>
        </w:tc>
        <w:tc>
          <w:tcPr>
            <w:tcW w:w="28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620" w:type="dxa"/>
            <w:vAlign w:val="bottom"/>
            <w:tcBorders>
              <w:bottom w:val="single" w:sz="8" w:color="auto"/>
            </w:tcBorders>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36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59429" TargetMode="External"/><Relationship Id="rId14"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2025-01-22T16:18:10Z</dcterms:created>
  <dcterms:modified xsi:type="dcterms:W3CDTF">2025-01-22T16:18:10Z</dcterms:modified>
</cp:coreProperties>
</file>