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506095</wp:posOffset>
            </wp:positionH>
            <wp:positionV relativeFrom="page">
              <wp:posOffset>719455</wp:posOffset>
            </wp:positionV>
            <wp:extent cx="6536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6690" cy="8255"/>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January 18, 2024</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9"/>
          <w:szCs w:val="39"/>
          <w:b w:val="1"/>
          <w:bCs w:val="1"/>
          <w:color w:val="auto"/>
        </w:rPr>
        <w:t>Weatherford International plc</w:t>
      </w:r>
    </w:p>
    <w:p>
      <w:pPr>
        <w:spacing w:after="0" w:line="63" w:lineRule="exact"/>
        <w:rPr>
          <w:sz w:val="24"/>
          <w:szCs w:val="24"/>
          <w:color w:val="auto"/>
        </w:rPr>
      </w:pPr>
    </w:p>
    <w:tbl>
      <w:tblPr>
        <w:tblLayout w:type="fixed"/>
        <w:tblInd w:w="160" w:type="dxa"/>
        <w:tblCellMar>
          <w:top w:w="0" w:type="dxa"/>
          <w:left w:w="0" w:type="dxa"/>
          <w:bottom w:w="0" w:type="dxa"/>
          <w:right w:w="0" w:type="dxa"/>
        </w:tblCellMar>
      </w:tblPr>
      <w:tr>
        <w:trPr>
          <w:trHeight w:val="231"/>
        </w:trPr>
        <w:tc>
          <w:tcPr>
            <w:tcW w:w="800" w:type="dxa"/>
            <w:vAlign w:val="bottom"/>
          </w:tcPr>
          <w:p>
            <w:pPr>
              <w:spacing w:after="0"/>
              <w:rPr>
                <w:sz w:val="20"/>
                <w:szCs w:val="20"/>
                <w:color w:val="auto"/>
              </w:rPr>
            </w:pPr>
          </w:p>
        </w:tc>
        <w:tc>
          <w:tcPr>
            <w:tcW w:w="6820" w:type="dxa"/>
            <w:vAlign w:val="bottom"/>
            <w:gridSpan w:val="2"/>
          </w:tcPr>
          <w:p>
            <w:pPr>
              <w:jc w:val="center"/>
              <w:ind w:left="2411"/>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7"/>
        </w:trPr>
        <w:tc>
          <w:tcPr>
            <w:tcW w:w="8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3360" w:type="dxa"/>
            <w:vAlign w:val="bottom"/>
            <w:tcBorders>
              <w:bottom w:val="single" w:sz="8" w:color="auto"/>
            </w:tcBorders>
          </w:tcPr>
          <w:p>
            <w:pPr>
              <w:jc w:val="center"/>
              <w:ind w:right="891"/>
              <w:spacing w:after="0"/>
              <w:rPr>
                <w:sz w:val="20"/>
                <w:szCs w:val="20"/>
                <w:color w:val="auto"/>
              </w:rPr>
            </w:pPr>
            <w:r>
              <w:rPr>
                <w:rFonts w:ascii="Times New Roman" w:cs="Times New Roman" w:eastAsia="Times New Roman" w:hAnsi="Times New Roman"/>
                <w:sz w:val="18"/>
                <w:szCs w:val="18"/>
                <w:b w:val="1"/>
                <w:bCs w:val="1"/>
                <w:color w:val="auto"/>
                <w:w w:val="99"/>
              </w:rPr>
              <w:t>001-36504</w:t>
            </w:r>
          </w:p>
        </w:tc>
        <w:tc>
          <w:tcPr>
            <w:tcW w:w="25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7"/>
        </w:trPr>
        <w:tc>
          <w:tcPr>
            <w:tcW w:w="4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360" w:type="dxa"/>
            <w:vAlign w:val="bottom"/>
          </w:tcPr>
          <w:p>
            <w:pPr>
              <w:jc w:val="center"/>
              <w:ind w:right="891"/>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44"/>
        </w:trPr>
        <w:tc>
          <w:tcPr>
            <w:tcW w:w="800" w:type="dxa"/>
            <w:vAlign w:val="bottom"/>
          </w:tcPr>
          <w:p>
            <w:pPr>
              <w:spacing w:after="0"/>
              <w:rPr>
                <w:sz w:val="24"/>
                <w:szCs w:val="24"/>
                <w:color w:val="auto"/>
              </w:rPr>
            </w:pPr>
          </w:p>
        </w:tc>
        <w:tc>
          <w:tcPr>
            <w:tcW w:w="34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2000 St. James Place ,  Houston,</w:t>
            </w:r>
          </w:p>
        </w:tc>
        <w:tc>
          <w:tcPr>
            <w:tcW w:w="33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25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77056</w:t>
            </w:r>
          </w:p>
        </w:tc>
        <w:tc>
          <w:tcPr>
            <w:tcW w:w="820" w:type="dxa"/>
            <w:vAlign w:val="bottom"/>
          </w:tcPr>
          <w:p>
            <w:pPr>
              <w:spacing w:after="0"/>
              <w:rPr>
                <w:sz w:val="24"/>
                <w:szCs w:val="24"/>
                <w:color w:val="auto"/>
              </w:rPr>
            </w:pPr>
          </w:p>
        </w:tc>
      </w:tr>
      <w:tr>
        <w:trPr>
          <w:trHeight w:val="227"/>
        </w:trPr>
        <w:tc>
          <w:tcPr>
            <w:tcW w:w="800" w:type="dxa"/>
            <w:vAlign w:val="bottom"/>
          </w:tcPr>
          <w:p>
            <w:pPr>
              <w:spacing w:after="0"/>
              <w:rPr>
                <w:sz w:val="19"/>
                <w:szCs w:val="19"/>
                <w:color w:val="auto"/>
              </w:rPr>
            </w:pPr>
          </w:p>
        </w:tc>
        <w:tc>
          <w:tcPr>
            <w:tcW w:w="68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00" w:type="dxa"/>
            <w:vAlign w:val="bottom"/>
          </w:tcPr>
          <w:p>
            <w:pPr>
              <w:jc w:val="center"/>
              <w:ind w:left="511"/>
              <w:spacing w:after="0"/>
              <w:rPr>
                <w:sz w:val="20"/>
                <w:szCs w:val="20"/>
                <w:color w:val="auto"/>
              </w:rPr>
            </w:pPr>
            <w:r>
              <w:rPr>
                <w:rFonts w:ascii="Times New Roman" w:cs="Times New Roman" w:eastAsia="Times New Roman" w:hAnsi="Times New Roman"/>
                <w:sz w:val="18"/>
                <w:szCs w:val="18"/>
                <w:color w:val="auto"/>
                <w:w w:val="98"/>
              </w:rPr>
              <w:t>(Zip Code)</w:t>
            </w:r>
          </w:p>
        </w:tc>
        <w:tc>
          <w:tcPr>
            <w:tcW w:w="820" w:type="dxa"/>
            <w:vAlign w:val="bottom"/>
          </w:tcPr>
          <w:p>
            <w:pPr>
              <w:spacing w:after="0"/>
              <w:rPr>
                <w:sz w:val="19"/>
                <w:szCs w:val="19"/>
                <w:color w:val="auto"/>
              </w:rPr>
            </w:pPr>
          </w:p>
        </w:tc>
      </w:tr>
    </w:tbl>
    <w:p>
      <w:pPr>
        <w:spacing w:after="0" w:line="66"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29" w:lineRule="exact"/>
        <w:rPr>
          <w:sz w:val="24"/>
          <w:szCs w:val="24"/>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464820</wp:posOffset>
            </wp:positionH>
            <wp:positionV relativeFrom="paragraph">
              <wp:posOffset>19050</wp:posOffset>
            </wp:positionV>
            <wp:extent cx="6195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5695" cy="8255"/>
                    </a:xfrm>
                    <a:prstGeom prst="rect">
                      <a:avLst/>
                    </a:prstGeom>
                    <a:noFill/>
                  </pic:spPr>
                </pic:pic>
              </a:graphicData>
            </a:graphic>
          </wp:anchor>
        </w:drawing>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02"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4" w:lineRule="exact"/>
        <w:rPr>
          <w:sz w:val="24"/>
          <w:szCs w:val="24"/>
          <w:color w:val="auto"/>
        </w:rPr>
      </w:pPr>
    </w:p>
    <w:p>
      <w:pPr>
        <w:ind w:left="380" w:hanging="373"/>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9" w:lineRule="exact"/>
        <w:rPr>
          <w:rFonts w:ascii="MS PGothic" w:cs="MS PGothic" w:eastAsia="MS PGothic" w:hAnsi="MS PGothic"/>
          <w:sz w:val="21"/>
          <w:szCs w:val="21"/>
          <w:color w:val="auto"/>
        </w:rPr>
      </w:pPr>
    </w:p>
    <w:p>
      <w:pPr>
        <w:ind w:left="380" w:hanging="373"/>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9" w:lineRule="exact"/>
        <w:rPr>
          <w:rFonts w:ascii="MS PGothic" w:cs="MS PGothic" w:eastAsia="MS PGothic" w:hAnsi="MS PGothic"/>
          <w:sz w:val="21"/>
          <w:szCs w:val="21"/>
          <w:color w:val="auto"/>
        </w:rPr>
      </w:pPr>
    </w:p>
    <w:p>
      <w:pPr>
        <w:ind w:left="380" w:hanging="373"/>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9" w:lineRule="exact"/>
        <w:rPr>
          <w:rFonts w:ascii="MS PGothic" w:cs="MS PGothic" w:eastAsia="MS PGothic" w:hAnsi="MS PGothic"/>
          <w:sz w:val="21"/>
          <w:szCs w:val="21"/>
          <w:color w:val="auto"/>
        </w:rPr>
      </w:pPr>
    </w:p>
    <w:p>
      <w:pPr>
        <w:ind w:left="380" w:hanging="373"/>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35"/>
        </w:trPr>
        <w:tc>
          <w:tcPr>
            <w:tcW w:w="80" w:type="dxa"/>
            <w:vAlign w:val="bottom"/>
          </w:tcPr>
          <w:p>
            <w:pPr>
              <w:spacing w:after="0"/>
              <w:rPr>
                <w:sz w:val="24"/>
                <w:szCs w:val="24"/>
                <w:color w:val="auto"/>
              </w:rPr>
            </w:pPr>
          </w:p>
        </w:tc>
        <w:tc>
          <w:tcPr>
            <w:tcW w:w="440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color w:val="auto"/>
                <w:w w:val="98"/>
              </w:rPr>
              <w:t>Trading Symbol</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7"/>
        </w:trPr>
        <w:tc>
          <w:tcPr>
            <w:tcW w:w="80" w:type="dxa"/>
            <w:vAlign w:val="bottom"/>
          </w:tcPr>
          <w:p>
            <w:pPr>
              <w:spacing w:after="0"/>
              <w:rPr>
                <w:sz w:val="19"/>
                <w:szCs w:val="19"/>
                <w:color w:val="auto"/>
              </w:rPr>
            </w:pPr>
          </w:p>
        </w:tc>
        <w:tc>
          <w:tcPr>
            <w:tcW w:w="440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Ordinary shares, $0.001 par value per share</w:t>
            </w:r>
          </w:p>
        </w:tc>
        <w:tc>
          <w:tcPr>
            <w:tcW w:w="216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WFRD</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0" w:lineRule="exact"/>
        <w:rPr>
          <w:sz w:val="24"/>
          <w:szCs w:val="24"/>
          <w:color w:val="auto"/>
        </w:rPr>
      </w:pPr>
    </w:p>
    <w:p>
      <w:pPr>
        <w:ind w:right="560"/>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4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5" w:lineRule="exact"/>
        <w:rPr>
          <w:sz w:val="24"/>
          <w:szCs w:val="24"/>
          <w:color w:val="auto"/>
        </w:rPr>
      </w:pPr>
    </w:p>
    <w:p>
      <w:pPr>
        <w:ind w:right="2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855980</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06" w:right="35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760"/>
        <w:spacing w:after="0" w:line="268"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75" w:lineRule="exact"/>
        <w:rPr>
          <w:sz w:val="20"/>
          <w:szCs w:val="20"/>
          <w:color w:val="auto"/>
        </w:rPr>
      </w:pPr>
    </w:p>
    <w:p>
      <w:pPr>
        <w:sectPr>
          <w:pgSz w:w="11900" w:h="16838" w:orient="portrait"/>
          <w:cols w:equalWidth="0" w:num="2">
            <w:col w:w="920" w:space="720"/>
            <w:col w:w="9520"/>
          </w:cols>
          <w:pgMar w:left="320" w:top="922" w:right="41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2024 Executive Officer Compensation</w:t>
      </w:r>
    </w:p>
    <w:p>
      <w:pPr>
        <w:spacing w:after="0" w:line="25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On January 18, 2024, the Board of Directors (the “Board”) of Weatherford International plc (the “Company”), on the recommendation of the Compensation and Human Resources Committee (the “Committee”), approved the following annual compensation for our named executive officers: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29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Annual Incentive Target</w:t>
            </w:r>
            <w:r>
              <w:rPr>
                <w:rFonts w:ascii="Times New Roman" w:cs="Times New Roman" w:eastAsia="Times New Roman" w:hAnsi="Times New Roman"/>
                <w:sz w:val="23"/>
                <w:szCs w:val="23"/>
                <w:b w:val="1"/>
                <w:bCs w:val="1"/>
                <w:color w:val="auto"/>
                <w:vertAlign w:val="superscript"/>
              </w:rPr>
              <w:t>1</w:t>
            </w:r>
          </w:p>
        </w:tc>
        <w:tc>
          <w:tcPr>
            <w:tcW w:w="30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Long-Term Incentive Target</w:t>
            </w:r>
            <w:r>
              <w:rPr>
                <w:rFonts w:ascii="Times New Roman" w:cs="Times New Roman" w:eastAsia="Times New Roman" w:hAnsi="Times New Roman"/>
                <w:sz w:val="23"/>
                <w:szCs w:val="23"/>
                <w:b w:val="1"/>
                <w:bCs w:val="1"/>
                <w:color w:val="auto"/>
                <w:vertAlign w:val="superscript"/>
              </w:rPr>
              <w:t>1</w:t>
            </w:r>
          </w:p>
        </w:tc>
      </w:tr>
      <w:tr>
        <w:trPr>
          <w:trHeight w:val="235"/>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Girishchandra K. Saligram</w:t>
            </w:r>
          </w:p>
        </w:tc>
        <w:tc>
          <w:tcPr>
            <w:tcW w:w="2400" w:type="dxa"/>
            <w:vAlign w:val="bottom"/>
            <w:tcBorders>
              <w:bottom w:val="single" w:sz="8" w:color="CCEEFF"/>
            </w:tcBorders>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w w:val="98"/>
              </w:rPr>
              <w:t>$1,250,000</w:t>
            </w:r>
          </w:p>
        </w:tc>
        <w:tc>
          <w:tcPr>
            <w:tcW w:w="2900" w:type="dxa"/>
            <w:vAlign w:val="bottom"/>
            <w:tcBorders>
              <w:bottom w:val="single" w:sz="8" w:color="CCEEFF"/>
            </w:tcBorders>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135%</w:t>
            </w:r>
          </w:p>
        </w:tc>
        <w:tc>
          <w:tcPr>
            <w:tcW w:w="3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700%</w:t>
            </w:r>
          </w:p>
        </w:tc>
      </w:tr>
      <w:tr>
        <w:trPr>
          <w:trHeight w:val="23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Arunava Mitra</w:t>
            </w:r>
          </w:p>
        </w:tc>
        <w:tc>
          <w:tcPr>
            <w:tcW w:w="24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$585,000</w:t>
            </w:r>
          </w:p>
        </w:tc>
        <w:tc>
          <w:tcPr>
            <w:tcW w:w="290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rPr>
              <w:t>90%</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350%</w:t>
            </w:r>
          </w:p>
        </w:tc>
      </w:tr>
      <w:tr>
        <w:trPr>
          <w:trHeight w:val="22"/>
        </w:trPr>
        <w:tc>
          <w:tcPr>
            <w:tcW w:w="28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35"/>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C. Weatherholt</w:t>
            </w:r>
          </w:p>
        </w:tc>
        <w:tc>
          <w:tcPr>
            <w:tcW w:w="2400" w:type="dxa"/>
            <w:vAlign w:val="bottom"/>
            <w:tcBorders>
              <w:bottom w:val="single" w:sz="8" w:color="CCEEFF"/>
            </w:tcBorders>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rPr>
              <w:t>$500,000</w:t>
            </w:r>
          </w:p>
        </w:tc>
        <w:tc>
          <w:tcPr>
            <w:tcW w:w="2900" w:type="dxa"/>
            <w:vAlign w:val="bottom"/>
            <w:tcBorders>
              <w:bottom w:val="single" w:sz="8" w:color="CCEEFF"/>
            </w:tcBorders>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rPr>
              <w:t>90%</w:t>
            </w:r>
          </w:p>
        </w:tc>
        <w:tc>
          <w:tcPr>
            <w:tcW w:w="3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310%</w:t>
            </w:r>
          </w:p>
        </w:tc>
      </w:tr>
      <w:tr>
        <w:trPr>
          <w:trHeight w:val="23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H. Mongrain</w:t>
            </w:r>
          </w:p>
        </w:tc>
        <w:tc>
          <w:tcPr>
            <w:tcW w:w="24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$410,000</w:t>
            </w:r>
          </w:p>
        </w:tc>
        <w:tc>
          <w:tcPr>
            <w:tcW w:w="290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rPr>
              <w:t>90%</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0%</w:t>
            </w:r>
          </w:p>
        </w:tc>
      </w:tr>
      <w:tr>
        <w:trPr>
          <w:trHeight w:val="22"/>
        </w:trPr>
        <w:tc>
          <w:tcPr>
            <w:tcW w:w="28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35"/>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Charles W. Davison, Jr.</w:t>
            </w:r>
          </w:p>
        </w:tc>
        <w:tc>
          <w:tcPr>
            <w:tcW w:w="2400" w:type="dxa"/>
            <w:vAlign w:val="bottom"/>
            <w:tcBorders>
              <w:bottom w:val="single" w:sz="8" w:color="CCEEFF"/>
            </w:tcBorders>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rPr>
              <w:t>$500,000</w:t>
            </w:r>
          </w:p>
        </w:tc>
        <w:tc>
          <w:tcPr>
            <w:tcW w:w="2900" w:type="dxa"/>
            <w:vAlign w:val="bottom"/>
            <w:tcBorders>
              <w:bottom w:val="single" w:sz="8" w:color="CCEEFF"/>
            </w:tcBorders>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rPr>
              <w:t>90%</w:t>
            </w:r>
          </w:p>
        </w:tc>
        <w:tc>
          <w:tcPr>
            <w:tcW w:w="3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3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Desmond J. Mills</w:t>
            </w:r>
          </w:p>
        </w:tc>
        <w:tc>
          <w:tcPr>
            <w:tcW w:w="24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$420,000</w:t>
            </w:r>
          </w:p>
        </w:tc>
        <w:tc>
          <w:tcPr>
            <w:tcW w:w="290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rPr>
              <w:t>65%</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r>
      <w:tr>
        <w:trPr>
          <w:trHeight w:val="22"/>
        </w:trPr>
        <w:tc>
          <w:tcPr>
            <w:tcW w:w="2820" w:type="dxa"/>
            <w:vAlign w:val="bottom"/>
            <w:tcBorders>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bl>
    <w:p>
      <w:pPr>
        <w:spacing w:after="0" w:line="71" w:lineRule="exact"/>
        <w:rPr>
          <w:sz w:val="20"/>
          <w:szCs w:val="20"/>
          <w:color w:val="auto"/>
        </w:rPr>
      </w:pPr>
    </w:p>
    <w:p>
      <w:pPr>
        <w:ind w:left="120" w:hanging="113"/>
        <w:spacing w:after="0"/>
        <w:tabs>
          <w:tab w:leader="none" w:pos="120"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a percentage of base salary.</w:t>
      </w:r>
    </w:p>
    <w:p>
      <w:pPr>
        <w:spacing w:after="0" w:line="23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Pursuant to the above compensation program, the Board also approved the following awards of restricted share units (“RSUs”) and performance share units (“PSUs”) to our named executive officers under the Third Amended and Restated 2019 Equity Incentive Plan: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8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23"/>
                <w:szCs w:val="23"/>
                <w:b w:val="1"/>
                <w:bCs w:val="1"/>
                <w:color w:val="auto"/>
                <w:vertAlign w:val="superscript"/>
              </w:rPr>
              <w:t>(1)</w:t>
            </w:r>
          </w:p>
        </w:tc>
        <w:tc>
          <w:tcPr>
            <w:tcW w:w="308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23"/>
                <w:szCs w:val="23"/>
                <w:b w:val="1"/>
                <w:bCs w:val="1"/>
                <w:color w:val="auto"/>
                <w:vertAlign w:val="superscript"/>
              </w:rPr>
              <w:t>(2)</w:t>
            </w:r>
          </w:p>
        </w:tc>
      </w:tr>
      <w:tr>
        <w:trPr>
          <w:trHeight w:val="235"/>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Girishchandra K. Saligram</w:t>
            </w:r>
          </w:p>
        </w:tc>
        <w:tc>
          <w:tcPr>
            <w:tcW w:w="3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28,602</w:t>
            </w:r>
          </w:p>
        </w:tc>
        <w:tc>
          <w:tcPr>
            <w:tcW w:w="3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66,740</w:t>
            </w:r>
          </w:p>
        </w:tc>
      </w:tr>
      <w:tr>
        <w:trPr>
          <w:trHeight w:val="23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Arunava Mitra</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8,924</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13,386</w:t>
            </w:r>
          </w:p>
        </w:tc>
      </w:tr>
      <w:tr>
        <w:trPr>
          <w:trHeight w:val="22"/>
        </w:trPr>
        <w:tc>
          <w:tcPr>
            <w:tcW w:w="28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35"/>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C. Weatherholt</w:t>
            </w:r>
          </w:p>
        </w:tc>
        <w:tc>
          <w:tcPr>
            <w:tcW w:w="3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6,755</w:t>
            </w:r>
          </w:p>
        </w:tc>
        <w:tc>
          <w:tcPr>
            <w:tcW w:w="3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10,133</w:t>
            </w:r>
          </w:p>
        </w:tc>
      </w:tr>
      <w:tr>
        <w:trPr>
          <w:trHeight w:val="23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W. Davison, Jr.</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3,268</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4,903</w:t>
            </w:r>
          </w:p>
        </w:tc>
      </w:tr>
      <w:tr>
        <w:trPr>
          <w:trHeight w:val="22"/>
        </w:trPr>
        <w:tc>
          <w:tcPr>
            <w:tcW w:w="28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35"/>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Desmond J. Mills</w:t>
            </w:r>
          </w:p>
        </w:tc>
        <w:tc>
          <w:tcPr>
            <w:tcW w:w="3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2,860</w:t>
            </w:r>
          </w:p>
        </w:tc>
        <w:tc>
          <w:tcPr>
            <w:tcW w:w="3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2,860</w:t>
            </w:r>
          </w:p>
        </w:tc>
      </w:tr>
      <w:tr>
        <w:trPr>
          <w:trHeight w:val="20"/>
        </w:trPr>
        <w:tc>
          <w:tcPr>
            <w:tcW w:w="282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bl>
    <w:p>
      <w:pPr>
        <w:spacing w:after="0" w:line="71" w:lineRule="exact"/>
        <w:rPr>
          <w:sz w:val="20"/>
          <w:szCs w:val="20"/>
          <w:color w:val="auto"/>
        </w:rPr>
      </w:pPr>
    </w:p>
    <w:p>
      <w:pPr>
        <w:ind w:left="120" w:hanging="113"/>
        <w:spacing w:after="0"/>
        <w:tabs>
          <w:tab w:leader="none" w:pos="12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RSUs will vest in three equal annual installments over the three-year period from the date of grant.</w:t>
      </w:r>
    </w:p>
    <w:p>
      <w:pPr>
        <w:spacing w:after="0" w:line="42" w:lineRule="exact"/>
        <w:rPr>
          <w:sz w:val="20"/>
          <w:szCs w:val="20"/>
          <w:color w:val="auto"/>
        </w:rPr>
      </w:pPr>
    </w:p>
    <w:p>
      <w:pPr>
        <w:ind w:right="220" w:firstLine="7"/>
        <w:spacing w:after="0" w:line="232" w:lineRule="auto"/>
        <w:tabs>
          <w:tab w:leader="none" w:pos="112"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number of PSUs represents the target award and may be subject to a payout ranging from 0% to 200% of the target award, depending on the actual achievement of the performance goals at the end of the performance period. The PSUs vest based on actual performance at the end of the performance period, which is the three fiscal years beginning on January 1, 2024 and ending December 31,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Mr. Mills was granted an additional long-term incentive award of 2,724 RSUs that will vest in full on the third anniversary of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3"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673735</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922" w:right="419" w:bottom="1440" w:gutter="0" w:footer="0" w:header="0"/>
          <w:type w:val="continuous"/>
        </w:sectPr>
      </w:pPr>
    </w:p>
    <w:bookmarkStart w:id="2" w:name="page3"/>
    <w:bookmarkEnd w:id="2"/>
    <w:p>
      <w:pPr>
        <w:ind w:left="676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22, 2024</w:t>
      </w:r>
    </w:p>
    <w:p>
      <w:pPr>
        <w:spacing w:after="0" w:line="21"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3104515</wp:posOffset>
            </wp:positionH>
            <wp:positionV relativeFrom="paragraph">
              <wp:posOffset>13335</wp:posOffset>
            </wp:positionV>
            <wp:extent cx="3804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04285" cy="8255"/>
                    </a:xfrm>
                    <a:prstGeom prst="rect">
                      <a:avLst/>
                    </a:prstGeom>
                    <a:noFill/>
                  </pic:spPr>
                </pic:pic>
              </a:graphicData>
            </a:graphic>
          </wp:anchor>
        </w:drawing>
      </w:r>
    </w:p>
    <w:p>
      <w:pPr>
        <w:spacing w:after="0" w:line="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Scott C. Weatherholt</w:t>
      </w:r>
    </w:p>
    <w:p>
      <w:pPr>
        <w:spacing w:after="0" w:line="20"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7"/>
          <w:szCs w:val="17"/>
          <w:color w:val="auto"/>
        </w:rPr>
        <w:t>Executive Vice President, General Counsel,</w:t>
      </w:r>
    </w:p>
    <w:p>
      <w:pPr>
        <w:jc w:val="center"/>
        <w:ind w:left="5500"/>
        <w:spacing w:after="0"/>
        <w:rPr>
          <w:sz w:val="20"/>
          <w:szCs w:val="20"/>
          <w:color w:val="auto"/>
        </w:rPr>
      </w:pPr>
      <w:r>
        <w:rPr>
          <w:rFonts w:ascii="Times New Roman" w:cs="Times New Roman" w:eastAsia="Times New Roman" w:hAnsi="Times New Roman"/>
          <w:sz w:val="18"/>
          <w:szCs w:val="18"/>
          <w:color w:val="auto"/>
        </w:rPr>
        <w:t>and Chief Compliance Officer</w:t>
      </w:r>
    </w:p>
    <w:sectPr>
      <w:pgSz w:w="11900" w:h="16838" w:orient="portrait"/>
      <w:cols w:equalWidth="0" w:num="1">
        <w:col w:w="9679"/>
      </w:cols>
      <w:pgMar w:left="780" w:top="9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1"/>
      <w:numFmt w:val="bullet"/>
      <w:start w:val="1"/>
    </w:lvl>
  </w:abstractNum>
  <w:abstractNum w:abstractNumId="3">
    <w:nsid w:val="625558EC"/>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2024-01-22T15:40:50Z</dcterms:created>
  <dcterms:modified xsi:type="dcterms:W3CDTF">2024-01-22T15:40:50Z</dcterms:modified>
</cp:coreProperties>
</file>