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Weatherford International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21, 2026, Weatherford International plc (“Weatherford” and together with its subsidiaries, “we” or the “Company”) issued a news release announcing results for the second quarter ended June 30, 2026.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Weatherford will host a conference call on Wednesday, July 22, 2026, to discuss the Company’s results for the second quarter ended June 30, 2026.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telephonic replay of the conference call will be available until August 5, 2026, at 5:00 p.m. Eastern Time. To access the replay, please dial +1 855-669-9658 (within the U.S.) or +1 412-317-0088 (outside of the U.S.) and reference conference number 2958915. A replay and transcript of the earnings call will also be available in the investor relations section of the Company’s website. </w:t>
      </w:r>
    </w:p>
    <w:p>
      <w:pPr>
        <w:pStyle w:val="TextBody"/>
        <w:bidi w:val="0"/>
        <w:spacing w:before="0" w:after="0"/>
        <w:ind w:left="0" w:right="0" w:firstLine="540"/>
        <w:jc w:val="left"/>
        <w:rPr/>
      </w:pPr>
      <w:r>
        <w:rPr/>
      </w:r>
    </w:p>
    <w:p>
      <w:pPr>
        <w:pStyle w:val="TextBody"/>
        <w:bidi w:val="0"/>
        <w:spacing w:before="0" w:after="0"/>
        <w:ind w:left="0" w:right="0" w:firstLine="180"/>
        <w:jc w:val="both"/>
        <w:rPr/>
      </w:pPr>
      <w:r>
        <w:rPr/>
      </w:r>
    </w:p>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q2ex991earningsrelea.htm">
              <w:r>
                <w:rPr>
                  <w:rStyle w:val="InternetLink"/>
                  <w:rFonts w:ascii="Times New Roman;serif" w:hAnsi="Times New Roman;serif"/>
                  <w:b w:val="false"/>
                  <w:color w:val="000080"/>
                  <w:sz w:val="20"/>
                  <w:u w:val="single"/>
                </w:rPr>
                <w:t xml:space="preserve">News Release dated </w:t>
              </w:r>
            </w:hyperlink>
            <w:hyperlink w:anchor="a2026-q2ex991earningsrelea.htm">
              <w:r>
                <w:rPr>
                  <w:rStyle w:val="InternetLink"/>
                  <w:rFonts w:ascii="Times New Roman;serif" w:hAnsi="Times New Roman;serif"/>
                  <w:b w:val="false"/>
                  <w:color w:val="000080"/>
                  <w:sz w:val="20"/>
                  <w:u w:val="single"/>
                </w:rPr>
                <w:t>July</w:t>
              </w:r>
            </w:hyperlink>
            <w:hyperlink w:anchor="a2026-q2ex991earningsrelea.htm">
              <w:r>
                <w:rPr>
                  <w:rStyle w:val="InternetLink"/>
                  <w:rFonts w:ascii="Times New Roman;serif" w:hAnsi="Times New Roman;serif"/>
                  <w:b w:val="false"/>
                  <w:color w:val="000080"/>
                  <w:sz w:val="20"/>
                  <w:u w:val="single"/>
                </w:rPr>
                <w:t xml:space="preserve"> 21, 2026 announcing results for the </w:t>
              </w:r>
            </w:hyperlink>
            <w:hyperlink w:anchor="a2026-q2ex991earningsrelea.htm">
              <w:r>
                <w:rPr>
                  <w:rStyle w:val="InternetLink"/>
                  <w:rFonts w:ascii="Times New Roman;serif" w:hAnsi="Times New Roman;serif"/>
                  <w:b w:val="false"/>
                  <w:color w:val="000080"/>
                  <w:sz w:val="20"/>
                  <w:u w:val="single"/>
                </w:rPr>
                <w:t>second</w:t>
              </w:r>
            </w:hyperlink>
            <w:hyperlink w:anchor="a2026-q2ex991earningsrelea.htm">
              <w:r>
                <w:rPr>
                  <w:rStyle w:val="InternetLink"/>
                  <w:rFonts w:ascii="Times New Roman;serif" w:hAnsi="Times New Roman;serif"/>
                  <w:b w:val="false"/>
                  <w:color w:val="000080"/>
                  <w:sz w:val="20"/>
                  <w:u w:val="single"/>
                </w:rPr>
                <w:t xml:space="preserve"> quarter ended </w:t>
              </w:r>
            </w:hyperlink>
            <w:hyperlink w:anchor="a2026-q2ex991earningsrelea.htm">
              <w:r>
                <w:rPr>
                  <w:rStyle w:val="InternetLink"/>
                  <w:rFonts w:ascii="Times New Roman;serif" w:hAnsi="Times New Roman;serif"/>
                  <w:b w:val="false"/>
                  <w:color w:val="000080"/>
                  <w:sz w:val="20"/>
                  <w:u w:val="single"/>
                </w:rPr>
                <w:t>June</w:t>
              </w:r>
            </w:hyperlink>
            <w:hyperlink w:anchor="a2026-q2ex991earningsrelea.htm">
              <w:r>
                <w:rPr>
                  <w:rStyle w:val="InternetLink"/>
                  <w:rFonts w:ascii="Times New Roman;serif" w:hAnsi="Times New Roman;serif"/>
                  <w:b w:val="false"/>
                  <w:color w:val="000080"/>
                  <w:sz w:val="20"/>
                  <w:u w:val="single"/>
                </w:rPr>
                <w:t xml:space="preserve"> 3</w:t>
              </w:r>
            </w:hyperlink>
            <w:hyperlink w:anchor="a2026-q2ex991earningsrelea.htm">
              <w:r>
                <w:rPr>
                  <w:rStyle w:val="InternetLink"/>
                  <w:rFonts w:ascii="Times New Roman;serif" w:hAnsi="Times New Roman;serif"/>
                  <w:b w:val="false"/>
                  <w:color w:val="000080"/>
                  <w:sz w:val="20"/>
                  <w:u w:val="single"/>
                </w:rPr>
                <w:t>0</w:t>
              </w:r>
            </w:hyperlink>
            <w:hyperlink w:anchor="a2026-q2ex991earningsrelea.htm">
              <w:r>
                <w:rPr>
                  <w:rStyle w:val="InternetLink"/>
                  <w:rFonts w:ascii="Times New Roman;serif" w:hAnsi="Times New Roman;serif"/>
                  <w:b w:val="false"/>
                  <w:color w:val="000080"/>
                  <w:sz w:val="20"/>
                  <w:u w:val="single"/>
                </w:rPr>
                <w:t>, 2026.</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148" w:type="dxa"/>
        <w:jc w:val="left"/>
        <w:tblInd w:w="0" w:type="dxa"/>
        <w:tblLayout w:type="fixed"/>
        <w:tblCellMar>
          <w:top w:w="28" w:type="dxa"/>
          <w:left w:w="28" w:type="dxa"/>
          <w:bottom w:w="28" w:type="dxa"/>
          <w:right w:w="28" w:type="dxa"/>
        </w:tblCellMar>
      </w:tblPr>
      <w:tblGrid>
        <w:gridCol w:w="618"/>
        <w:gridCol w:w="544"/>
        <w:gridCol w:w="547"/>
        <w:gridCol w:w="1297"/>
        <w:gridCol w:w="1297"/>
        <w:gridCol w:w="184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News Release</w:t>
            </w:r>
          </w:p>
        </w:tc>
      </w:tr>
    </w:tbl>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 xml:space="preserve">Weatherford Announces Second Quarter 2026 Results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Second quarter revenue of $1,105 million decreased 4% sequentially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Second quarter operating income of $107 million decreased 13% sequentially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Second quarter net income of $39 million decreased 64% sequentially; net income margin of 3.5%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Second quarter adjusted EBITDA* of $223 million, decreased 4% sequentially; adjusted EBITDA margin* of 20.2% decreased 4 basis points sequentially</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2"/>
        </w:rPr>
        <w:t>Second</w:t>
      </w:r>
      <w:r>
        <w:rPr>
          <w:color w:val="000000"/>
          <w:shd w:fill="FFFFFF" w:val="clear"/>
        </w:rPr>
        <w:t xml:space="preserve"> </w:t>
      </w:r>
      <w:r>
        <w:rPr>
          <w:rFonts w:ascii="Times New Roman;serif" w:hAnsi="Times New Roman;serif"/>
          <w:b w:val="false"/>
          <w:color w:val="000000"/>
          <w:sz w:val="22"/>
          <w:shd w:fill="FFFFFF" w:val="clear"/>
        </w:rPr>
        <w:t>quarter cash provided by operating activities of $175 million and adjusted free cash flow* of $139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Shareholder return of $36 million for the quarter, which included dividend payments of $20 million and share repurchases of $16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Announced the acquisition of NCS Multistage in a stock-and-cash transaction, expanding Weatherford’s well completions portfolio</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Introduced an updated plan to redomesticate to Delaware, reflecting continued confidence in the initiative’s long-term value creation potential</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Awarded several Managed Pressure Drilling (“MPD”) contracts from Noble Corporation, Constellation Oil Services and Ventura Offshore Holding Ltd.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erif" w:hAnsi="Times New Roman;serif"/>
          <w:b/>
          <w:color w:val="000000"/>
          <w:sz w:val="22"/>
        </w:rPr>
        <w:t>Houston, July 21, 2026 –</w:t>
      </w:r>
      <w:r>
        <w:rPr>
          <w:color w:val="000000"/>
        </w:rPr>
        <w:t xml:space="preserve"> </w:t>
      </w:r>
      <w:r>
        <w:rPr>
          <w:rFonts w:ascii="Times New Roman;serif" w:hAnsi="Times New Roman;serif"/>
          <w:b w:val="false"/>
          <w:color w:val="000000"/>
          <w:sz w:val="22"/>
        </w:rPr>
        <w:t xml:space="preserve">Weatherford International plc (NASDAQ: WFRD) (“Weatherford” or the “Company”) announced today its results for the second quarter of 2026. </w:t>
      </w:r>
    </w:p>
    <w:p>
      <w:pPr>
        <w:pStyle w:val="TextBody"/>
        <w:bidi w:val="0"/>
        <w:spacing w:lineRule="auto" w:line="417" w:before="0" w:after="180"/>
        <w:jc w:val="both"/>
        <w:rPr/>
      </w:pPr>
      <w:r>
        <w:rPr>
          <w:rFonts w:ascii="Times New Roman;serif" w:hAnsi="Times New Roman;serif"/>
          <w:b w:val="false"/>
          <w:color w:val="000000"/>
          <w:sz w:val="22"/>
        </w:rPr>
        <w:t>Revenues for the second quarter of 2026 were $1,105 million, a decrease of 4%</w:t>
      </w:r>
      <w:r>
        <w:rPr>
          <w:color w:val="000000"/>
        </w:rPr>
        <w:t xml:space="preserve"> </w:t>
      </w:r>
      <w:r>
        <w:rPr>
          <w:rFonts w:ascii="Times New Roman;serif" w:hAnsi="Times New Roman;serif"/>
          <w:b w:val="false"/>
          <w:color w:val="000000"/>
          <w:sz w:val="22"/>
        </w:rPr>
        <w:t>sequentially and a decrease of 8% year-over-year. Operating income in the second quarter of 2026 was $107 million, a decrease of 13% sequentially and a decrease of 55% year-over-year. Net income in the second quarter of 2026 was $39 million, with a 3.5% margin, a decrease of 64%, or 585 basis points, sequentially, and a decrease of 71%, or 777 basis points, year-over-year. Adjusted EBITDA* was $223 million, with a 20.2% margin*, a decrease of 4% or 4 basis points, sequentially, and a decrease of 12% or 92 basis points, year-over-year. Basic income per share in the second quarter of 2026 was $0.55, a decrease of 63% sequentially and a decrease of 70% year-over-year. Diluted income per share in the second quarter of 2026 was $0.55, a decrease of 63% sequentially and a decrease of 70% year-over-year.</w:t>
      </w:r>
    </w:p>
    <w:p>
      <w:pPr>
        <w:pStyle w:val="TextBody"/>
        <w:bidi w:val="0"/>
        <w:spacing w:lineRule="auto" w:line="417" w:before="0" w:after="180"/>
        <w:jc w:val="both"/>
        <w:rPr/>
      </w:pPr>
      <w:r>
        <w:rPr>
          <w:rFonts w:ascii="Times New Roman;serif" w:hAnsi="Times New Roman;serif"/>
          <w:b w:val="false"/>
          <w:color w:val="000000"/>
          <w:sz w:val="22"/>
        </w:rPr>
        <w:t>Second quarter 2026 cash flows provided by operating activities were $175 million, an increase of 29% sequentially and an increase of 37% year-over-year. Adjusted free cash flow* was $139 million, an increase of 64% sequentially and an increase of 76% year-over-year. Capital expenditures were $42 million in the second quarter of 2026, a decrease of 22% sequentially and a decrease</w:t>
      </w:r>
      <w:r>
        <w:rPr>
          <w:color w:val="000000"/>
        </w:rPr>
        <w:t xml:space="preserve"> </w:t>
      </w:r>
      <w:r>
        <w:rPr>
          <w:rFonts w:ascii="Times New Roman;serif" w:hAnsi="Times New Roman;serif"/>
          <w:b w:val="false"/>
          <w:color w:val="000000"/>
          <w:sz w:val="22"/>
        </w:rPr>
        <w:t>of 22% year-over-year.</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Girish Saligram, President and Chief Executive Officer, commented, “Despite the significant disruption in the Middle East due to the Iran conflict, our second-quarter results, especially adjusted free cash flow, were strong, demonstrating the reliability and resilience of our operating paradigm. I am proud of the One Weatherford team for coming together to deliver once again. </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While the Middle East situation remains volatile and creates activity headwinds in the short term, our longer-term thesis remains intact. A return to the pre-conflict operating levels is expected to be gradual, contingent on continued regional stability, and requires an absence of further geopolitical escalation. Our second half 2026 outlook is appropriately adjusted to reflect these dynamics and while our total year outlook has slightly reduced, the second half represents a significant ramp up in margin contribution versus the first half. </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We remain focused on the factors within our control, driving long-term shareholder value through disciplined execution, portfolio strengthening, and structural simplification. The adjusted free cash flow performance and improved outlook on conversion is a consequence of this focus. The acquisition of NCS Multistage strengthens our completions portfolio, expands our technology offering, and gives us at least $15 million of cost synergies upon closing and integration. In parallel, our updated proposal to redomesticate to Delaware reinforces our commitment and our shareholders’ confidence in the multi-faceted benefits of this initiative. When completed, we expect the redomestication and related corporate restructuring to generate $20 to $30 million of annual cash savings, further enhancing our cash flow profile.”</w:t>
      </w:r>
    </w:p>
    <w:p>
      <w:pPr>
        <w:pStyle w:val="TextBody"/>
        <w:bidi w:val="0"/>
        <w:spacing w:before="0" w:after="180"/>
        <w:jc w:val="both"/>
        <w:rPr/>
      </w:pPr>
      <w:r>
        <w:rPr/>
      </w:r>
    </w:p>
    <w:p>
      <w:pPr>
        <w:pStyle w:val="TextBody"/>
        <w:bidi w:val="0"/>
        <w:spacing w:lineRule="auto" w:line="417" w:before="0" w:after="140"/>
        <w:jc w:val="both"/>
        <w:rPr>
          <w:rFonts w:ascii="Times New Roman;serif" w:hAnsi="Times New Roman;serif"/>
          <w:b w:val="false"/>
          <w:color w:val="000000"/>
          <w:sz w:val="18"/>
        </w:rPr>
      </w:pPr>
      <w:r>
        <w:rPr>
          <w:rFonts w:ascii="Times New Roman;serif" w:hAnsi="Times New Roman;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erif" w:hAnsi="Times New Roman;serif"/>
          <w:b/>
          <w:color w:val="000000"/>
          <w:sz w:val="28"/>
          <w:u w:val="single"/>
        </w:rPr>
      </w:pPr>
      <w:r>
        <w:rPr>
          <w:rFonts w:ascii="Times New Roman;serif" w:hAnsi="Times New Roman;serif"/>
          <w:b/>
          <w:color w:val="000000"/>
          <w:sz w:val="28"/>
          <w:u w:val="single"/>
        </w:rPr>
        <w:t>Operational &amp; Commercial Highlights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Noble Corporation awarded Weatherford multiple MPD contracts and a global aftermarket agreement in Nigeria.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Constellation Oil Services awarded Weatherford two contracts to provide offshore well intervention operations and MPD in deepwater Brazil.</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Ventura Offshore Holding Ltd. awarded Weatherford a complete MPD solution contract for the SSV Victoria offshore drilling rig in Brazil.</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Valaris awarded Weatherford a two-year contract to provide MPD equipment and services in offshore Brazil.</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Esso Exploration &amp; Production Nigeria Ltd., an ExxonMobil affiliate, awarded Weatherford a deepwater integrated completions contract including integrated upper and lower completions solutions for deepwater wells in offshore Nigeria.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Petroleum Development Oman awarded Weatherford a three-year contract to provide Integrated Drilling Services covering 247 wells in the Marmul field, supporting both production and injection operations, following the successful completion of the 837-well contract awarded in 2022.</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Chevron awarded Weatherford a five-year framework contract, which establishes the basis for Weatherford to provide Tubular Running Services (“TRS”), casing accessories, remote controlled top drive cement head, Fishing/Milling &amp; Whipstocks services for Chevron’s Gorgon Stage 3 multi-well deepwater development project in Australia.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Oil &amp; Gas Development Company Limited awarded Weatherford a three-year contract to provide Wireline services in Pakistan.</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PTTEP Thailand awarded Weatherford a 22-month contract to supply downhole deployment valves and services for Sinphuhorm oil and gas field.</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A major operator awarded Weatherford a one-year contract to provide Artificial Lift in Australia.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Kuwait Oil Company awarded two five-year contracts for the supply of Annular Casing Packer for Triassic-Paleozoic High-Pressure High-Temperature Wells and the supply of Electronic Submersible Pumps feed-through packers for multiple wells.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Shell awarded Weatherford the non-welded mandrel scope for its offshore Gulf of America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20" w:before="0" w:after="0"/>
        <w:jc w:val="both"/>
        <w:rPr>
          <w:rFonts w:ascii="Times New Roman;serif" w:hAnsi="Times New Roman;serif"/>
          <w:b/>
          <w:color w:val="000000"/>
          <w:sz w:val="28"/>
          <w:u w:val="single"/>
        </w:rPr>
      </w:pPr>
      <w:r>
        <w:rPr>
          <w:rFonts w:ascii="Times New Roman;serif" w:hAnsi="Times New Roman;serif"/>
          <w:b/>
          <w:color w:val="000000"/>
          <w:sz w:val="28"/>
          <w:u w:val="single"/>
        </w:rPr>
        <w:t xml:space="preserve">Technology Highlights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Drilling &amp; Evaluation (“DRE”)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Saudi Arabia, Weatherford completed the first qualification deployment of ArrayPro</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with Aramco, validating a fully integrated production logging solution for horizontal wells. The ruggedized system delivered high quality real time data and reliable performance in demanding environments, supporting improved reservoir insight and production optimization.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France, Weatherford supported Lithium de France’s geothermal and lithium exploration at Schwabwiller in Alsace using a PressurePro</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MPD Lite configuration with a Rotating Control Device and choke. The system maintained near balanced conditions and effectively managed influx behavior, enabling safe operations within a narrow operating window. This approach improved drilling efficiency and enabled the well to reach target depth, reinforcing Weatherford’s differentiated capability in European geothermal and lithium developments.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Well Construction and Completions (“WCC”)</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Denmark, Weatherford delivered its first MARS</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operation in Europe within a geothermal application for Innargi A/S. Selected over conventional logging for its multipoint array sensing capability, the system provided clear visualization across injection zones. Over a five-day campaign, it delivered detailed real-time insights into reservoir behavior, enabling the identification of previously undetected anomalies and supporting improved reservoir understanding.</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United Arab Emirates (“UAE”), Weatherford was recognized as “Best Liner Hanger Supplier and Services Provider” by a National Oil Company, reflecting strong execution and partnership performance. The Liner Hanger Systems team completed over 100 liner deployments across more than 22,000 operational hours in the previous year, demonstrating consistent delivery that reduces operational variability and supports efficient well construction and schedule reliability.</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 xml:space="preserve">Production and Intervention (“PRI”)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UAE, Weatherford introduced the Rotaflex</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1160 long stroke pumping unit, delivered as a fully integrated solution to address highly challenging unconventional reservoirs. Designed for rigless operations, the system is engineered to maximize recovery and accelerate payback. By optimizing performance across the full production system, it enhances reliability, reduces operational complexity, and supports lower power consumption and emissions.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Permian Basin, Weatherford deployed its Hi-VOL</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hydraulic jet pump technology for key operators, replacing Electric Submersible Pump systems that had experienced premature failures in corrosive environments. This solution improves reliability, reduces intervention frequency and workover costs, and sustains production rates. Following the initial deployments at the end of 2025, the program expanded to 15 active units by the second quarter of 2026 with strong performance standards. </w:t>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 xml:space="preserve">Shareholder Return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second quarter of 2026, Weatherford paid dividends of $20 million and repurchased shares for $16 million, resulting in a total shareholder return of $36 million. In the first half of the year, Weatherford paid dividends of $40 million and repurchased shares for approximately $26 million, resulting in a total shareholder return of $66 million.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On July 16, 2026, our Board declared a cash dividend of $0.275 per share of the Company’s ordinary shares. The dividend is payable on September 3, 2026, to shareholders of record as of August 6, 2026. </w: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Other Events</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The previous proposal to redomesticate to Texas received support in excess of 60% of votes cast at the Company’s June 2026 shareholder meetings, but did not receive the requisite 75% support needed to pass. Consequently, the Company introduced an updated plan to redomesticate to Delaware. This revised proposal reinforces Weatherford’s conviction in the value creation potential through simplified corporate structure, effective execution of merger and acquisition transactions, improved financial market access, and increased shareholder value. Subject to approval in 2026, the redomestication and related corporate restructuring is expected to generate annual cash savings of approximately $20 to $30 million beginning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100"/>
        <w:jc w:val="both"/>
        <w:rPr>
          <w:rFonts w:ascii="Times New Roman;serif" w:hAnsi="Times New Roman;serif"/>
          <w:b/>
          <w:color w:val="000000"/>
          <w:sz w:val="28"/>
          <w:u w:val="single"/>
        </w:rPr>
      </w:pPr>
      <w:r>
        <w:rPr>
          <w:rFonts w:ascii="Times New Roman;serif" w:hAnsi="Times New Roman;serif"/>
          <w:b/>
          <w:color w:val="000000"/>
          <w:sz w:val="28"/>
          <w:u w:val="single"/>
        </w:rPr>
        <w:t>Results by Reportable Segment</w:t>
      </w:r>
    </w:p>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Drilling and Evaluation (“DRE”)</w:t>
      </w:r>
    </w:p>
    <w:tbl>
      <w:tblPr>
        <w:tblW w:w="10205" w:type="dxa"/>
        <w:jc w:val="left"/>
        <w:tblInd w:w="0" w:type="dxa"/>
        <w:tblLayout w:type="fixed"/>
        <w:tblCellMar>
          <w:top w:w="28" w:type="dxa"/>
          <w:left w:w="28" w:type="dxa"/>
          <w:bottom w:w="28" w:type="dxa"/>
          <w:right w:w="28" w:type="dxa"/>
        </w:tblCellMar>
      </w:tblPr>
      <w:tblGrid>
        <w:gridCol w:w="888"/>
        <w:gridCol w:w="775"/>
        <w:gridCol w:w="779"/>
        <w:gridCol w:w="109"/>
        <w:gridCol w:w="109"/>
        <w:gridCol w:w="109"/>
        <w:gridCol w:w="259"/>
        <w:gridCol w:w="573"/>
        <w:gridCol w:w="334"/>
        <w:gridCol w:w="109"/>
        <w:gridCol w:w="109"/>
        <w:gridCol w:w="109"/>
        <w:gridCol w:w="272"/>
        <w:gridCol w:w="601"/>
        <w:gridCol w:w="349"/>
        <w:gridCol w:w="109"/>
        <w:gridCol w:w="109"/>
        <w:gridCol w:w="109"/>
        <w:gridCol w:w="259"/>
        <w:gridCol w:w="573"/>
        <w:gridCol w:w="334"/>
        <w:gridCol w:w="109"/>
        <w:gridCol w:w="109"/>
        <w:gridCol w:w="109"/>
        <w:gridCol w:w="265"/>
        <w:gridCol w:w="269"/>
        <w:gridCol w:w="451"/>
        <w:gridCol w:w="109"/>
        <w:gridCol w:w="109"/>
        <w:gridCol w:w="109"/>
        <w:gridCol w:w="215"/>
        <w:gridCol w:w="215"/>
        <w:gridCol w:w="451"/>
        <w:gridCol w:w="109"/>
        <w:gridCol w:w="109"/>
        <w:gridCol w:w="109"/>
        <w:gridCol w:w="109"/>
        <w:gridCol w:w="109"/>
        <w:gridCol w:w="163"/>
      </w:tblGrid>
      <w:tr>
        <w:trPr/>
        <w:tc>
          <w:tcPr>
            <w:tcW w:w="88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Second quarter 2026 DRE revenue of $291 million decreased by $30 million, or 9% sequentially, primarily from lower MPD and Wireline activity in the Middle East on account of the heightened geopolitical tensions and lower Wireline activity in North America, partly offset by higher MPD activity in Europe/Sub-Sahara Africa/Russia. Year-over-year DRE revenue decreased by $44 million, or 13%, primarily from lower Wireline and Drilling-related Services activity, partly offset by higher MPD activity in Europe/Sub-Sahara Africa/Russia.</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Second quarter 2026 DRE segment adjusted EBITDA of $58 million decreased by $14 million, or 19% sequentially, primarily from lower MPD and Wireline activity in the Middle East on account of the heightened geopolitical tensions and lower Wireline activity in North America, partly offset by higher MPD activity and strong fall through in Europe/Sub-Sahara Africa/Russia. Year-over-year DRE segment adjusted EBITDA decreased by $11 million, or 16%, primarily from lower Wireline and Drilling-related Services activity, partly offset by higher MPD activity and fall through in Europe/Sub-Sahara Africa/Russia.</w:t>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40"/>
        <w:jc w:val="both"/>
        <w:rPr/>
      </w:pPr>
      <w:r>
        <w:rPr/>
      </w:r>
    </w:p>
    <w:p>
      <w:pPr>
        <w:pStyle w:val="TextBody"/>
        <w:bidi w:val="0"/>
        <w:spacing w:lineRule="auto" w:line="417" w:before="0" w:after="60"/>
        <w:jc w:val="both"/>
        <w:rPr>
          <w:rFonts w:ascii="Times New Roman;serif" w:hAnsi="Times New Roman;serif"/>
          <w:b/>
          <w:i/>
          <w:color w:val="000000"/>
          <w:sz w:val="24"/>
          <w:u w:val="single"/>
        </w:rPr>
      </w:pPr>
      <w:r>
        <w:rPr>
          <w:rFonts w:ascii="Times New Roman;serif" w:hAnsi="Times New Roman;serif"/>
          <w:b/>
          <w:i/>
          <w:color w:val="000000"/>
          <w:sz w:val="24"/>
          <w:u w:val="single"/>
        </w:rPr>
        <w:t>Well Construction and Completions (“WCC”)</w:t>
      </w:r>
    </w:p>
    <w:tbl>
      <w:tblPr>
        <w:tblW w:w="10205" w:type="dxa"/>
        <w:jc w:val="left"/>
        <w:tblInd w:w="0" w:type="dxa"/>
        <w:tblLayout w:type="fixed"/>
        <w:tblCellMar>
          <w:top w:w="28" w:type="dxa"/>
          <w:left w:w="28" w:type="dxa"/>
          <w:bottom w:w="28" w:type="dxa"/>
          <w:right w:w="28" w:type="dxa"/>
        </w:tblCellMar>
      </w:tblPr>
      <w:tblGrid>
        <w:gridCol w:w="915"/>
        <w:gridCol w:w="801"/>
        <w:gridCol w:w="805"/>
        <w:gridCol w:w="109"/>
        <w:gridCol w:w="109"/>
        <w:gridCol w:w="109"/>
        <w:gridCol w:w="261"/>
        <w:gridCol w:w="579"/>
        <w:gridCol w:w="337"/>
        <w:gridCol w:w="109"/>
        <w:gridCol w:w="109"/>
        <w:gridCol w:w="109"/>
        <w:gridCol w:w="275"/>
        <w:gridCol w:w="608"/>
        <w:gridCol w:w="353"/>
        <w:gridCol w:w="109"/>
        <w:gridCol w:w="109"/>
        <w:gridCol w:w="109"/>
        <w:gridCol w:w="261"/>
        <w:gridCol w:w="579"/>
        <w:gridCol w:w="337"/>
        <w:gridCol w:w="109"/>
        <w:gridCol w:w="109"/>
        <w:gridCol w:w="109"/>
        <w:gridCol w:w="215"/>
        <w:gridCol w:w="218"/>
        <w:gridCol w:w="391"/>
        <w:gridCol w:w="109"/>
        <w:gridCol w:w="109"/>
        <w:gridCol w:w="109"/>
        <w:gridCol w:w="267"/>
        <w:gridCol w:w="271"/>
        <w:gridCol w:w="391"/>
        <w:gridCol w:w="109"/>
        <w:gridCol w:w="109"/>
        <w:gridCol w:w="109"/>
        <w:gridCol w:w="109"/>
        <w:gridCol w:w="109"/>
        <w:gridCol w:w="161"/>
      </w:tblGrid>
      <w:tr>
        <w:trPr/>
        <w:tc>
          <w:tcPr>
            <w:tcW w:w="9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Second quarter 2026 WCC revenue of $433 million decreased by $10 million, or 2% sequentially, primarily from lower Liner Hanger and Completions activity in the Middle East/North Africa/Asia, partly offset by higher Cementation Products activity in Middle East/North Africa/Asia and higher Completions activity in Europe/Sub-Sahara Africa/Russia. Year-over-year, WCC revenues decreased by $23 million, or 5%</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2"/>
        </w:rPr>
        <w:t>primarily from lower activity in Middle East/North Africa/Asia, partly offset by higher Completions activity in Latin America.</w:t>
      </w:r>
    </w:p>
    <w:p>
      <w:pPr>
        <w:pStyle w:val="TextBody"/>
        <w:bidi w:val="0"/>
        <w:spacing w:lineRule="auto" w:line="417" w:before="100" w:after="180"/>
        <w:jc w:val="both"/>
        <w:rPr/>
      </w:pPr>
      <w:r>
        <w:rPr>
          <w:rFonts w:ascii="Times New Roman;serif" w:hAnsi="Times New Roman;serif"/>
          <w:b w:val="false"/>
          <w:color w:val="000000"/>
          <w:sz w:val="22"/>
        </w:rPr>
        <w:t>Second quarter 2026 WCC segment adjusted EBITDA of $107 million 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$3 million, or 3% sequentially, primarily from lower Liner Hanger and Completions activity in the Middle East/North Africa/Asia and lower fall through in Latin America, partly offset by higher Cementation Products activity in Middle East/North Africa/Asia and higher Completions activity in Europe/Sub-Sahara Africa/Russia. Year-over-year WCC segment adjusted EBITDA decreased by $11 million, or 9% primarily from lower activity in Middle East/North Africa/Asia, partly offset by higher Cementation Products fall through in the region.</w:t>
      </w:r>
    </w:p>
    <w:p>
      <w:pPr>
        <w:pStyle w:val="TextBody"/>
        <w:bidi w:val="0"/>
        <w:spacing w:lineRule="auto" w:line="417" w:before="100" w:after="180"/>
        <w:jc w:val="both"/>
        <w:rPr>
          <w:rFonts w:ascii="Times New Roman;serif" w:hAnsi="Times New Roman;serif"/>
          <w:b/>
          <w:i/>
          <w:color w:val="000000"/>
          <w:sz w:val="24"/>
          <w:u w:val="single"/>
        </w:rPr>
      </w:pPr>
      <w:r>
        <w:rPr>
          <w:rFonts w:ascii="Times New Roman;serif" w:hAnsi="Times New Roman;serif"/>
          <w:b/>
          <w:i/>
          <w:color w:val="000000"/>
          <w:sz w:val="24"/>
          <w:u w:val="single"/>
        </w:rPr>
        <w:t>Production and Intervention (“PRI”)</w:t>
      </w:r>
    </w:p>
    <w:tbl>
      <w:tblPr>
        <w:tblW w:w="10205" w:type="dxa"/>
        <w:jc w:val="left"/>
        <w:tblInd w:w="0" w:type="dxa"/>
        <w:tblLayout w:type="fixed"/>
        <w:tblCellMar>
          <w:top w:w="28" w:type="dxa"/>
          <w:left w:w="28" w:type="dxa"/>
          <w:bottom w:w="28" w:type="dxa"/>
          <w:right w:w="28" w:type="dxa"/>
        </w:tblCellMar>
      </w:tblPr>
      <w:tblGrid>
        <w:gridCol w:w="910"/>
        <w:gridCol w:w="797"/>
        <w:gridCol w:w="800"/>
        <w:gridCol w:w="109"/>
        <w:gridCol w:w="109"/>
        <w:gridCol w:w="109"/>
        <w:gridCol w:w="261"/>
        <w:gridCol w:w="578"/>
        <w:gridCol w:w="336"/>
        <w:gridCol w:w="109"/>
        <w:gridCol w:w="109"/>
        <w:gridCol w:w="109"/>
        <w:gridCol w:w="274"/>
        <w:gridCol w:w="607"/>
        <w:gridCol w:w="353"/>
        <w:gridCol w:w="109"/>
        <w:gridCol w:w="109"/>
        <w:gridCol w:w="109"/>
        <w:gridCol w:w="261"/>
        <w:gridCol w:w="578"/>
        <w:gridCol w:w="336"/>
        <w:gridCol w:w="109"/>
        <w:gridCol w:w="109"/>
        <w:gridCol w:w="109"/>
        <w:gridCol w:w="232"/>
        <w:gridCol w:w="234"/>
        <w:gridCol w:w="451"/>
        <w:gridCol w:w="109"/>
        <w:gridCol w:w="109"/>
        <w:gridCol w:w="109"/>
        <w:gridCol w:w="231"/>
        <w:gridCol w:w="235"/>
        <w:gridCol w:w="391"/>
        <w:gridCol w:w="109"/>
        <w:gridCol w:w="109"/>
        <w:gridCol w:w="109"/>
        <w:gridCol w:w="109"/>
        <w:gridCol w:w="109"/>
        <w:gridCol w:w="160"/>
      </w:tblGrid>
      <w:tr>
        <w:trPr/>
        <w:tc>
          <w:tcPr>
            <w:tcW w:w="91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Second quarter 2026 PRI revenue of $316 million increased by $20 million, or 7% sequentially, primarily from higher international Pressure Pumping activity and higher Artificial Lift activity in North America, partly offset by lower Artificial Lift activity in Latin America and Europe/Sub-Sahara Africa/Russia. Year-over-year PRI revenue decreased</w:t>
      </w:r>
      <w:r>
        <w:rPr>
          <w:color w:val="000000"/>
        </w:rPr>
        <w:t xml:space="preserve"> </w:t>
      </w:r>
      <w:r>
        <w:rPr>
          <w:rFonts w:ascii="Times New Roman;serif" w:hAnsi="Times New Roman;serif"/>
          <w:b w:val="false"/>
          <w:color w:val="000000"/>
          <w:sz w:val="22"/>
        </w:rPr>
        <w:t>by $11 million,</w:t>
      </w:r>
      <w:r>
        <w:rPr>
          <w:color w:val="000000"/>
        </w:rPr>
        <w:t xml:space="preserve"> </w:t>
      </w:r>
      <w:r>
        <w:rPr>
          <w:rFonts w:ascii="Times New Roman;serif" w:hAnsi="Times New Roman;serif"/>
          <w:b w:val="false"/>
          <w:color w:val="000000"/>
          <w:sz w:val="22"/>
        </w:rPr>
        <w:t>or 3%, primarily from lower Artificial Lift activity in North America and Latin America, partly offset by higher Pressure Pumping activity.</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Second quarter 2026 PRI segment adjusted EBITDA of $70 million increased by $16 million, or 30%, sequentially, primarily from higher international Pressure Pumping activity and fall through, partly offset by lower Artificial Lift activity in Latin America and Europe/Sub-Sahara Africa/Russia. Year-over-year PRI segment adjusted EBITDA increased by $7 million, or 11% primarily from higher Intervention Services &amp; Drilling Tools fall through in North </w:t>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America and Europe/Sub-Sahara Africa/Russia, partly offset by lower Subsea Intervention activity and fall through in Latin America.</w:t>
      </w:r>
    </w:p>
    <w:p>
      <w:pPr>
        <w:pStyle w:val="TextBody"/>
        <w:bidi w:val="0"/>
        <w:spacing w:before="100" w:after="180"/>
        <w:jc w:val="both"/>
        <w:rPr/>
      </w:pPr>
      <w:r>
        <w:rPr/>
      </w:r>
    </w:p>
    <w:p>
      <w:pPr>
        <w:pStyle w:val="TextBody"/>
        <w:bidi w:val="0"/>
        <w:spacing w:lineRule="auto" w:line="417" w:before="100" w:after="180"/>
        <w:jc w:val="both"/>
        <w:rPr>
          <w:rFonts w:ascii="Times New Roman;serif" w:hAnsi="Times New Roman;serif"/>
          <w:b/>
          <w:color w:val="000000"/>
          <w:sz w:val="28"/>
          <w:u w:val="single"/>
        </w:rPr>
      </w:pPr>
      <w:r>
        <w:rPr>
          <w:rFonts w:ascii="Times New Roman;serif" w:hAnsi="Times New Roman;serif"/>
          <w:b/>
          <w:color w:val="000000"/>
          <w:sz w:val="28"/>
          <w:u w:val="single"/>
        </w:rPr>
        <w:t xml:space="preserve">Revenue by Geography </w:t>
      </w:r>
    </w:p>
    <w:tbl>
      <w:tblPr>
        <w:tblW w:w="10205" w:type="dxa"/>
        <w:jc w:val="left"/>
        <w:tblInd w:w="0" w:type="dxa"/>
        <w:tblLayout w:type="fixed"/>
        <w:tblCellMar>
          <w:top w:w="28" w:type="dxa"/>
          <w:left w:w="28" w:type="dxa"/>
          <w:bottom w:w="28" w:type="dxa"/>
          <w:right w:w="28" w:type="dxa"/>
        </w:tblCellMar>
      </w:tblPr>
      <w:tblGrid>
        <w:gridCol w:w="1051"/>
        <w:gridCol w:w="923"/>
        <w:gridCol w:w="920"/>
        <w:gridCol w:w="109"/>
        <w:gridCol w:w="109"/>
        <w:gridCol w:w="109"/>
        <w:gridCol w:w="263"/>
        <w:gridCol w:w="770"/>
        <w:gridCol w:w="136"/>
        <w:gridCol w:w="109"/>
        <w:gridCol w:w="109"/>
        <w:gridCol w:w="109"/>
        <w:gridCol w:w="276"/>
        <w:gridCol w:w="808"/>
        <w:gridCol w:w="142"/>
        <w:gridCol w:w="109"/>
        <w:gridCol w:w="109"/>
        <w:gridCol w:w="109"/>
        <w:gridCol w:w="263"/>
        <w:gridCol w:w="770"/>
        <w:gridCol w:w="136"/>
        <w:gridCol w:w="109"/>
        <w:gridCol w:w="109"/>
        <w:gridCol w:w="109"/>
        <w:gridCol w:w="214"/>
        <w:gridCol w:w="217"/>
        <w:gridCol w:w="271"/>
        <w:gridCol w:w="109"/>
        <w:gridCol w:w="109"/>
        <w:gridCol w:w="109"/>
        <w:gridCol w:w="216"/>
        <w:gridCol w:w="216"/>
        <w:gridCol w:w="271"/>
        <w:gridCol w:w="109"/>
        <w:gridCol w:w="109"/>
        <w:gridCol w:w="109"/>
        <w:gridCol w:w="109"/>
        <w:gridCol w:w="109"/>
        <w:gridCol w:w="162"/>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North America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Second quarter 2026 North America revenue of $205 million decreased by $15 million, or 7%, sequentially, primarily from lower Wireline and Completions activity in Canada, partly offset by higher Artificial Lift activity in U.S. land. Year-over-year, North America revenue decreased by $36 million, or 15%, primarily from lower Artificial Lift and Cementation Products activity, partly offset by higher Completions activity in U.S. offshore.</w:t>
      </w:r>
    </w:p>
    <w:p>
      <w:pPr>
        <w:pStyle w:val="TextBody"/>
        <w:bidi w:val="0"/>
        <w:spacing w:lineRule="auto" w:line="417" w:before="100" w:after="40"/>
        <w:jc w:val="both"/>
        <w:rPr>
          <w:rFonts w:ascii="Times New Roman;serif" w:hAnsi="Times New Roman;serif"/>
          <w:b/>
          <w:i/>
          <w:color w:val="000000"/>
          <w:sz w:val="24"/>
          <w:u w:val="single"/>
          <w:shd w:fill="FFFFFF" w:val="clear"/>
        </w:rPr>
      </w:pPr>
      <w:r>
        <w:rPr>
          <w:rFonts w:ascii="Times New Roman;serif" w:hAnsi="Times New Roman;serif"/>
          <w:b/>
          <w:i/>
          <w:color w:val="000000"/>
          <w:sz w:val="24"/>
          <w:u w:val="single"/>
          <w:shd w:fill="FFFFFF" w:val="clear"/>
        </w:rPr>
        <w:t>International</w:t>
      </w:r>
    </w:p>
    <w:p>
      <w:pPr>
        <w:pStyle w:val="TextBody"/>
        <w:bidi w:val="0"/>
        <w:spacing w:lineRule="auto" w:line="417" w:before="100" w:after="180"/>
        <w:jc w:val="both"/>
        <w:rPr/>
      </w:pPr>
      <w:r>
        <w:rPr>
          <w:rFonts w:ascii="Times New Roman;serif" w:hAnsi="Times New Roman;serif"/>
          <w:b w:val="false"/>
          <w:color w:val="000000"/>
          <w:sz w:val="22"/>
          <w:shd w:fill="FFFFFF" w:val="clear"/>
        </w:rPr>
        <w:t xml:space="preserve">Second quarter 2026 international revenue of $900 million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$32 million, or 3% sequentially and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$63 million</w:t>
      </w:r>
      <w:r>
        <w:rPr>
          <w:rFonts w:ascii="Times New Roman;serif" w:hAnsi="Times New Roman;serif"/>
          <w:b w:val="false"/>
          <w:color w:val="000000"/>
          <w:sz w:val="22"/>
          <w:shd w:fill="FFFFFF" w:val="clear"/>
        </w:rPr>
        <w:t>, or 7% year-over-year.</w:t>
      </w:r>
    </w:p>
    <w:p>
      <w:pPr>
        <w:pStyle w:val="TextBody"/>
        <w:bidi w:val="0"/>
        <w:spacing w:lineRule="auto" w:line="417" w:before="100" w:after="180"/>
        <w:jc w:val="both"/>
        <w:rPr/>
      </w:pPr>
      <w:r>
        <w:rPr>
          <w:rFonts w:ascii="Times New Roman;serif" w:hAnsi="Times New Roman;serif"/>
          <w:b w:val="false"/>
          <w:color w:val="000000"/>
          <w:sz w:val="22"/>
        </w:rPr>
        <w:t xml:space="preserve">Second quarter 2026 Latin America revenue of $197 million decreased by $26 million, or </w:t>
      </w:r>
      <w:r>
        <w:rPr>
          <w:rFonts w:ascii="Times New Roman;serif" w:hAnsi="Times New Roman;serif"/>
          <w:b w:val="false"/>
          <w:color w:val="000000"/>
          <w:sz w:val="22"/>
          <w:shd w:fill="FFFFFF" w:val="clear"/>
        </w:rPr>
        <w:t>12% s</w:t>
      </w:r>
      <w:r>
        <w:rPr>
          <w:rFonts w:ascii="Times New Roman;serif" w:hAnsi="Times New Roman;serif"/>
          <w:b w:val="false"/>
          <w:color w:val="000000"/>
          <w:sz w:val="22"/>
        </w:rPr>
        <w:t xml:space="preserve">equentially, primarily from lower Drilling-related Services and Integrated Services &amp; Projects activity in Mexico, partly offset by higher Completions activity in the country. Year-over-year, Latin America revenue increased by $2 million, or </w:t>
      </w:r>
      <w:r>
        <w:rPr>
          <w:rFonts w:ascii="Times New Roman;serif" w:hAnsi="Times New Roman;serif"/>
          <w:b w:val="false"/>
          <w:color w:val="000000"/>
          <w:sz w:val="22"/>
          <w:shd w:fill="FFFFFF" w:val="clear"/>
        </w:rPr>
        <w:t>1%,</w:t>
      </w:r>
      <w:r>
        <w:rPr>
          <w:color w:val="000000"/>
        </w:rPr>
        <w:t xml:space="preserve"> </w:t>
      </w:r>
      <w:r>
        <w:rPr>
          <w:rFonts w:ascii="Times New Roman;serif" w:hAnsi="Times New Roman;serif"/>
          <w:b w:val="false"/>
          <w:color w:val="000000"/>
          <w:sz w:val="22"/>
        </w:rPr>
        <w:t xml:space="preserve">primarily from higher Completions activity in the Caribbean and higher MPD in Mexico, partly offset by lower Drilling-related Services activity in Argentina and Mexico. </w:t>
      </w: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100" w:after="180"/>
        <w:jc w:val="both"/>
        <w:rPr/>
      </w:pPr>
      <w:r>
        <w:rPr>
          <w:rFonts w:ascii="Times New Roman;serif" w:hAnsi="Times New Roman;serif"/>
          <w:b w:val="false"/>
          <w:color w:val="000000"/>
          <w:sz w:val="22"/>
        </w:rPr>
        <w:t xml:space="preserve">Second quarter 2026 Middle East/North Africa/Asia revenue of $446 million decreased by $30 million, or </w:t>
      </w:r>
      <w:r>
        <w:rPr>
          <w:rFonts w:ascii="Times New Roman;serif" w:hAnsi="Times New Roman;serif"/>
          <w:b w:val="false"/>
          <w:color w:val="000000"/>
          <w:sz w:val="22"/>
          <w:shd w:fill="FFFFFF" w:val="clear"/>
        </w:rPr>
        <w:t>6% s</w:t>
      </w:r>
      <w:r>
        <w:rPr>
          <w:rFonts w:ascii="Times New Roman;serif" w:hAnsi="Times New Roman;serif"/>
          <w:b w:val="false"/>
          <w:color w:val="000000"/>
          <w:sz w:val="22"/>
        </w:rPr>
        <w:t xml:space="preserve">equentially, primarily from lower activity on account of heightened geopolitical tensions partly offset by higher Cementation Products activity in Saudi Arabia. Year-over-year, the Middle East/North Africa/Asia revenue decreased by $78 million, or </w:t>
      </w:r>
      <w:r>
        <w:rPr>
          <w:rFonts w:ascii="Times New Roman;serif" w:hAnsi="Times New Roman;serif"/>
          <w:b w:val="false"/>
          <w:color w:val="000000"/>
          <w:sz w:val="22"/>
          <w:shd w:fill="FFFFFF" w:val="clear"/>
        </w:rPr>
        <w:t>15%</w:t>
      </w:r>
      <w:r>
        <w:rPr>
          <w:rFonts w:ascii="Times New Roman;serif" w:hAnsi="Times New Roman;serif"/>
          <w:b w:val="false"/>
          <w:color w:val="000000"/>
          <w:sz w:val="22"/>
        </w:rPr>
        <w:t>, primarily from lower activity on account of heightened geopolitical tensions partly offset by higher Drilling Services in Kuwait.</w:t>
      </w:r>
    </w:p>
    <w:p>
      <w:pPr>
        <w:pStyle w:val="TextBody"/>
        <w:bidi w:val="0"/>
        <w:spacing w:lineRule="auto" w:line="417" w:before="100" w:after="180"/>
        <w:jc w:val="both"/>
        <w:rPr/>
      </w:pPr>
      <w:r>
        <w:rPr>
          <w:rFonts w:ascii="Times New Roman;serif" w:hAnsi="Times New Roman;serif"/>
          <w:b w:val="false"/>
          <w:color w:val="000000"/>
          <w:sz w:val="22"/>
        </w:rPr>
        <w:t>Second quarter 2026 Europe/Sub-Sahara Africa/Russia revenue of $257 million increased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$24 million</w:t>
      </w:r>
      <w:r>
        <w:rPr>
          <w:color w:val="000000"/>
          <w:shd w:fill="FFFFFF" w:val="clear"/>
        </w:rPr>
        <w:t xml:space="preserve"> </w:t>
      </w:r>
      <w:r>
        <w:rPr>
          <w:rFonts w:ascii="Times New Roman;serif" w:hAnsi="Times New Roman;serif"/>
          <w:b w:val="false"/>
          <w:color w:val="000000"/>
          <w:sz w:val="22"/>
          <w:shd w:fill="FFFFFF" w:val="clear"/>
        </w:rPr>
        <w:t>or 10%</w:t>
      </w:r>
      <w:r>
        <w:rPr>
          <w:color w:val="000000"/>
        </w:rPr>
        <w:t xml:space="preserve"> </w:t>
      </w:r>
      <w:r>
        <w:rPr>
          <w:rFonts w:ascii="Times New Roman;serif" w:hAnsi="Times New Roman;serif"/>
          <w:b w:val="false"/>
          <w:color w:val="000000"/>
          <w:sz w:val="22"/>
        </w:rPr>
        <w:t>sequentially</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primarily from higher Pressure Pumping, Completions and MPD activity, partly offset by lower Drilling Services activity in Europe. Y</w:t>
      </w:r>
      <w:r>
        <w:rPr>
          <w:rFonts w:ascii="Times New Roman;serif" w:hAnsi="Times New Roman;serif"/>
          <w:b w:val="false"/>
          <w:color w:val="000000"/>
          <w:sz w:val="22"/>
          <w:shd w:fill="FFFFFF" w:val="clear"/>
        </w:rPr>
        <w:t>ear-over-year</w:t>
      </w:r>
      <w:r>
        <w:rPr>
          <w:rFonts w:ascii="Times New Roman;serif" w:hAnsi="Times New Roman;serif"/>
          <w:b w:val="false"/>
          <w:color w:val="000000"/>
          <w:sz w:val="22"/>
        </w:rPr>
        <w:t>,</w:t>
      </w:r>
      <w:r>
        <w:rPr>
          <w:color w:val="000000"/>
          <w:shd w:fill="FFFFFF" w:val="clear"/>
        </w:rPr>
        <w:t xml:space="preserve"> </w:t>
      </w:r>
      <w:r>
        <w:rPr>
          <w:rFonts w:ascii="Times New Roman;serif" w:hAnsi="Times New Roman;serif"/>
          <w:b w:val="false"/>
          <w:color w:val="000000"/>
          <w:sz w:val="22"/>
          <w:shd w:fill="FFFFFF" w:val="clear"/>
        </w:rPr>
        <w:t xml:space="preserve">Europe/Sub-Sahara Africa/Russia revenue </w:t>
      </w:r>
      <w:r>
        <w:rPr>
          <w:rFonts w:ascii="Times New Roman;serif" w:hAnsi="Times New Roman;serif"/>
          <w:b w:val="false"/>
          <w:color w:val="000000"/>
          <w:sz w:val="22"/>
        </w:rPr>
        <w:t>increased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$13 million</w:t>
      </w:r>
      <w:r>
        <w:rPr>
          <w:color w:val="000000"/>
        </w:rPr>
        <w:t xml:space="preserve"> </w:t>
      </w:r>
      <w:r>
        <w:rPr>
          <w:rFonts w:ascii="Times New Roman;serif" w:hAnsi="Times New Roman;serif"/>
          <w:b w:val="false"/>
          <w:color w:val="000000"/>
          <w:sz w:val="22"/>
          <w:shd w:fill="FFFFFF" w:val="clear"/>
        </w:rPr>
        <w:t>or 5%,</w:t>
      </w:r>
      <w:r>
        <w:rPr>
          <w:color w:val="000000"/>
        </w:rPr>
        <w:t xml:space="preserve"> </w:t>
      </w:r>
      <w:r>
        <w:rPr>
          <w:rFonts w:ascii="Times New Roman;serif" w:hAnsi="Times New Roman;serif"/>
          <w:b w:val="false"/>
          <w:color w:val="000000"/>
          <w:sz w:val="22"/>
        </w:rPr>
        <w:t>primarily from higher Pressure Pumping and MPD activity, partly offset by lower Drilling Services activity in Europe.</w:t>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8"/>
          <w:u w:val="single"/>
        </w:rPr>
      </w:pPr>
      <w:r>
        <w:rPr>
          <w:rFonts w:ascii="Times New Roman;serif" w:hAnsi="Times New Roman;serif"/>
          <w:b/>
          <w:color w:val="000000"/>
          <w:sz w:val="28"/>
          <w:u w:val="single"/>
        </w:rPr>
        <w:t>About Weatherford</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w:t>
      </w:r>
    </w:p>
    <w:p>
      <w:pPr>
        <w:pStyle w:val="TextBody"/>
        <w:bidi w:val="0"/>
        <w:spacing w:lineRule="auto" w:line="417" w:before="300" w:after="180"/>
        <w:jc w:val="both"/>
        <w:rPr>
          <w:rFonts w:ascii="Times New Roman;serif" w:hAnsi="Times New Roman;serif"/>
          <w:b/>
          <w:color w:val="000000"/>
          <w:sz w:val="28"/>
          <w:u w:val="single"/>
        </w:rPr>
      </w:pPr>
      <w:r>
        <w:rPr>
          <w:rFonts w:ascii="Times New Roman;serif" w:hAnsi="Times New Roman;serif"/>
          <w:b/>
          <w:color w:val="000000"/>
          <w:sz w:val="28"/>
          <w:u w:val="single"/>
        </w:rPr>
        <w:t>Conference Call Details</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Weatherford will host a conference call on Wednesday, July 22, 2026, to discuss the Company’s results for the second quarter ended June 30, 2026. The conference call will begin at 8:30 a.m. Eastern Time (7:30 a.m. Central Time).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A telephonic replay of the conference call will be available until August 5, 2026, at 5:00 p.m. Eastern Time. To access the replay, please dial +1 855-669-9658 (within the U.S.) or +1 412-317-0088 (outside of the U.S.) and reference conference number 2958915. A replay and transcript of the earnings call will also be available in the investor relations section of the Company’s website. </w: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Contacts</w:t>
      </w:r>
    </w:p>
    <w:p>
      <w:pPr>
        <w:pStyle w:val="TextBody"/>
        <w:bidi w:val="0"/>
        <w:spacing w:lineRule="auto" w:line="288" w:before="0" w:after="6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Luke Lemoine</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Vice President, Corporate Development &amp; Investor Relations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+1 713-836-7777</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investor.relations@weatherford.com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Director, Communications, Marketing &amp; Sustainability</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media@weatherford.com</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Forward-Looking Statements</w: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various effects from the Russia Ukraine conflict, conflicts in the Middle East (including the Iran conflict) or instability in Latin America,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and our incorporation of artificial intelligence tools, increases in the prices and lead times, and the lack of availability of our procured products and services, including due to macroeconomic and geopolitical conditions such as tariffs and changes in trade policies, our ability to timely collect from customers; our ability to manage our workforce and systems, including the impact of our enterprise resource planning system implementation and business enhancements; our ability to effectively execute our capital allocation framework; our ability to return capital to shareholders, including those related to the timing and amounts (including any plans or commitments in respect thereof) of any dividends and share repurchases; the realization of additional cost savings and operational efficiencies, including as a result of our proposed Redomestication from Ireland to Delaware;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the future financial </w:t>
      </w: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performance of Weatherford following the Redomestication; the risk that the proposed acquisition of NCS Multistage is not consummated as expected, in a timely manner or at all; and our ability to achieve the anticipated benefits of the proposed acquisition within the expected time period or at all. </w:t>
      </w:r>
    </w:p>
    <w:p>
      <w:pPr>
        <w:pStyle w:val="TextBody"/>
        <w:bidi w:val="0"/>
        <w:spacing w:lineRule="auto" w:line="384" w:before="0" w:after="0"/>
        <w:jc w:val="both"/>
        <w:rPr/>
      </w:pPr>
      <w:r>
        <w:rPr>
          <w:rFonts w:ascii="Times New Roman;serif" w:hAnsi="Times New Roman;serif"/>
          <w:b w:val="false"/>
          <w:color w:val="000000"/>
          <w:sz w:val="22"/>
        </w:rPr>
        <w:t>These risks and uncertainties are more fully described in Weatherford’s reports and registration statements filed with the U.S.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r>
        <w:rPr>
          <w:rFonts w:ascii="Times New Roman;serif" w:hAnsi="Times New Roman;serif"/>
          <w:b w:val="false"/>
          <w:color w:val="000000"/>
          <w:sz w:val="22"/>
        </w:rPr>
        <w:t>.</w:t>
      </w:r>
    </w:p>
    <w:p>
      <w:pPr>
        <w:pStyle w:val="TextBody"/>
        <w:bidi w:val="0"/>
        <w:spacing w:lineRule="auto" w:line="417"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Additional Information and Where to Find It</w:t>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proposed Redomestication, Weatherford filed a definitive proxy statement with the SEC on July 13, 2026. Weatherford may also file other relevant documents with the SEC regarding the proposed Redomestication. The definitive proxy statement will be mailed to shareholders of Weatherford. This communication is not a substitute for any proxy statement or any other document that may be filed with the SEC or sent to Weatherford’s shareholders in connection with the proposed Redomestication.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Investors and security holders are able to obtain free copies of the definitive proxy statement and other documents containing important information about Weatherford and the proposed Redomestication through the website maintained by the SEC at www.sec.gov. Copies of the documents filed with the SEC by Weatherford are available free of charge on Weatherford’s website at www.weatherford.com.</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Participants in the Solicitation</w:t>
      </w:r>
    </w:p>
    <w:p>
      <w:pPr>
        <w:pStyle w:val="TextBody"/>
        <w:bidi w:val="0"/>
        <w:spacing w:lineRule="auto" w:line="384" w:before="0" w:after="0"/>
        <w:jc w:val="both"/>
        <w:rPr/>
      </w:pPr>
      <w:r>
        <w:rPr>
          <w:rFonts w:ascii="Times New Roman;serif" w:hAnsi="Times New Roman;serif"/>
          <w:b w:val="false"/>
          <w:color w:val="000000"/>
          <w:sz w:val="22"/>
        </w:rPr>
        <w:t xml:space="preserve">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relating to the proposed Redomestication </w:t>
      </w:r>
      <w:hyperlink r:id="rId3">
        <w:r>
          <w:rPr>
            <w:rStyle w:val="InternetLink"/>
            <w:rFonts w:ascii="Times New Roman;serif" w:hAnsi="Times New Roman;serif"/>
            <w:b w:val="false"/>
            <w:color w:val="0000FF"/>
            <w:sz w:val="22"/>
            <w:u w:val="single"/>
          </w:rPr>
          <w:t>https://www.sec.gov/Archives/edgar/data/1603923/000119312526302022/d136463ddef14a.htm</w:t>
        </w:r>
      </w:hyperlink>
      <w:r>
        <w:rPr>
          <w:rFonts w:ascii="Times New Roman;serif" w:hAnsi="Times New Roman;serif"/>
          <w:b w:val="false"/>
          <w:color w:val="000000"/>
          <w:sz w:val="22"/>
        </w:rPr>
        <w:t>, which was filed with the SEC on July 13, 2026, including under the section “Share Ownership”. Additional information regarding Weatherford’s directors and executive officers is also included in Weatherford’s 2026 Proxy Statement, which was filed with the SEC on April 21, 2026. You may obtain free copies of these documents using the sources indicated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89"/>
        <w:gridCol w:w="968"/>
        <w:gridCol w:w="975"/>
        <w:gridCol w:w="109"/>
        <w:gridCol w:w="109"/>
        <w:gridCol w:w="109"/>
        <w:gridCol w:w="259"/>
        <w:gridCol w:w="629"/>
        <w:gridCol w:w="134"/>
        <w:gridCol w:w="109"/>
        <w:gridCol w:w="109"/>
        <w:gridCol w:w="109"/>
        <w:gridCol w:w="278"/>
        <w:gridCol w:w="674"/>
        <w:gridCol w:w="143"/>
        <w:gridCol w:w="109"/>
        <w:gridCol w:w="109"/>
        <w:gridCol w:w="109"/>
        <w:gridCol w:w="259"/>
        <w:gridCol w:w="629"/>
        <w:gridCol w:w="134"/>
        <w:gridCol w:w="109"/>
        <w:gridCol w:w="109"/>
        <w:gridCol w:w="109"/>
        <w:gridCol w:w="259"/>
        <w:gridCol w:w="629"/>
        <w:gridCol w:w="134"/>
        <w:gridCol w:w="109"/>
        <w:gridCol w:w="109"/>
        <w:gridCol w:w="109"/>
        <w:gridCol w:w="257"/>
        <w:gridCol w:w="623"/>
        <w:gridCol w:w="197"/>
      </w:tblGrid>
      <w:tr>
        <w:trPr/>
        <w:tc>
          <w:tcPr>
            <w:tcW w:w="138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Statements of Operations (Unaudited)</w:t>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 in Millions, Except Per Share Amounts)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DRE Segment 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WCC Segment 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 Segment 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$11, $10, $14, $21, and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r>
    </w:tbl>
    <w:p>
      <w:pPr>
        <w:pStyle w:val="TextBody"/>
        <w:bidi w:val="0"/>
        <w:spacing w:before="0" w:after="0"/>
        <w:jc w:val="center"/>
        <w:rPr/>
      </w:pPr>
      <w:r>
        <w:rPr/>
      </w:r>
    </w:p>
    <w:p>
      <w:pPr>
        <w:pStyle w:val="TextBody"/>
        <w:bidi w:val="0"/>
        <w:spacing w:lineRule="auto" w:line="288" w:before="0" w:after="0"/>
        <w:ind w:left="0" w:right="0" w:hanging="270"/>
        <w:jc w:val="left"/>
        <w:rPr/>
      </w:pPr>
      <w:r>
        <w:rPr>
          <w:rFonts w:ascii="sans-serif" w:hAnsi="sans-serif"/>
          <w:b w:val="false"/>
          <w:color w:val="000000"/>
          <w:sz w:val="10"/>
        </w:rPr>
        <w:t>[1]</w:t>
      </w:r>
      <w:r>
        <w:rPr>
          <w:rFonts w:ascii="Times New Roman;serif" w:hAnsi="Times New Roman;serif"/>
          <w:b w:val="false"/>
          <w:color w:val="000000"/>
          <w:sz w:val="16"/>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pStyle w:val="TextBody"/>
        <w:bidi w:val="0"/>
        <w:spacing w:lineRule="auto" w:line="288" w:before="0" w:after="0"/>
        <w:ind w:left="0" w:right="0" w:hanging="270"/>
        <w:jc w:val="left"/>
        <w:rPr/>
      </w:pPr>
      <w:r>
        <w:rPr>
          <w:rFonts w:ascii="sans-serif" w:hAnsi="sans-serif"/>
          <w:b w:val="false"/>
          <w:color w:val="000000"/>
          <w:sz w:val="10"/>
        </w:rPr>
        <w:t>[2]</w:t>
      </w:r>
      <w:r>
        <w:rPr>
          <w:rFonts w:ascii="Times New Roman;serif" w:hAnsi="Times New Roman;serif"/>
          <w:b w:val="false"/>
          <w:color w:val="000000"/>
          <w:sz w:val="16"/>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6601" w:type="dxa"/>
        <w:jc w:val="center"/>
        <w:tblInd w:w="0" w:type="dxa"/>
        <w:tblLayout w:type="fixed"/>
        <w:tblCellMar>
          <w:top w:w="28" w:type="dxa"/>
          <w:left w:w="28" w:type="dxa"/>
          <w:bottom w:w="28" w:type="dxa"/>
          <w:right w:w="28" w:type="dxa"/>
        </w:tblCellMar>
      </w:tblPr>
      <w:tblGrid>
        <w:gridCol w:w="1080"/>
        <w:gridCol w:w="950"/>
        <w:gridCol w:w="954"/>
        <w:gridCol w:w="309"/>
        <w:gridCol w:w="903"/>
        <w:gridCol w:w="159"/>
        <w:gridCol w:w="159"/>
        <w:gridCol w:w="159"/>
        <w:gridCol w:w="159"/>
        <w:gridCol w:w="449"/>
        <w:gridCol w:w="993"/>
        <w:gridCol w:w="32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60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660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55"/>
        <w:gridCol w:w="1108"/>
        <w:gridCol w:w="1113"/>
        <w:gridCol w:w="109"/>
        <w:gridCol w:w="109"/>
        <w:gridCol w:w="109"/>
        <w:gridCol w:w="253"/>
        <w:gridCol w:w="480"/>
        <w:gridCol w:w="130"/>
        <w:gridCol w:w="109"/>
        <w:gridCol w:w="109"/>
        <w:gridCol w:w="109"/>
        <w:gridCol w:w="262"/>
        <w:gridCol w:w="579"/>
        <w:gridCol w:w="135"/>
        <w:gridCol w:w="109"/>
        <w:gridCol w:w="109"/>
        <w:gridCol w:w="109"/>
        <w:gridCol w:w="249"/>
        <w:gridCol w:w="550"/>
        <w:gridCol w:w="128"/>
        <w:gridCol w:w="109"/>
        <w:gridCol w:w="109"/>
        <w:gridCol w:w="109"/>
        <w:gridCol w:w="240"/>
        <w:gridCol w:w="574"/>
        <w:gridCol w:w="124"/>
        <w:gridCol w:w="109"/>
        <w:gridCol w:w="109"/>
        <w:gridCol w:w="109"/>
        <w:gridCol w:w="238"/>
        <w:gridCol w:w="570"/>
        <w:gridCol w:w="182"/>
      </w:tblGrid>
      <w:tr>
        <w:trPr/>
        <w:tc>
          <w:tcPr>
            <w:tcW w:w="165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Cash Flows Information (Unaudited)</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 Inventory, Accounts Payable, Accrued Salaries and Benefits and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Blue Chip Swap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Remittance on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Leverage* - Net Leverage* is a non-GAAP measure which is calculated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erif" w:hAnsi="Times New Roman;serif"/>
          <w:b w:val="false"/>
          <w:color w:val="000000"/>
          <w:sz w:val="18"/>
        </w:rPr>
      </w:pPr>
      <w:r>
        <w:rPr>
          <w:rFonts w:ascii="Times New Roman;serif" w:hAnsi="Times New Roman;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84"/>
        <w:gridCol w:w="689"/>
        <w:gridCol w:w="693"/>
        <w:gridCol w:w="109"/>
        <w:gridCol w:w="109"/>
        <w:gridCol w:w="109"/>
        <w:gridCol w:w="218"/>
        <w:gridCol w:w="637"/>
        <w:gridCol w:w="280"/>
        <w:gridCol w:w="109"/>
        <w:gridCol w:w="109"/>
        <w:gridCol w:w="109"/>
        <w:gridCol w:w="225"/>
        <w:gridCol w:w="658"/>
        <w:gridCol w:w="289"/>
        <w:gridCol w:w="109"/>
        <w:gridCol w:w="109"/>
        <w:gridCol w:w="109"/>
        <w:gridCol w:w="218"/>
        <w:gridCol w:w="637"/>
        <w:gridCol w:w="280"/>
        <w:gridCol w:w="109"/>
        <w:gridCol w:w="109"/>
        <w:gridCol w:w="109"/>
        <w:gridCol w:w="218"/>
        <w:gridCol w:w="637"/>
        <w:gridCol w:w="280"/>
        <w:gridCol w:w="109"/>
        <w:gridCol w:w="109"/>
        <w:gridCol w:w="109"/>
        <w:gridCol w:w="218"/>
        <w:gridCol w:w="637"/>
        <w:gridCol w:w="280"/>
        <w:gridCol w:w="109"/>
        <w:gridCol w:w="109"/>
        <w:gridCol w:w="109"/>
        <w:gridCol w:w="165"/>
      </w:tblGrid>
      <w:tr>
        <w:trPr/>
        <w:tc>
          <w:tcPr>
            <w:tcW w:w="9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 Except Margin 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Weatherford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Weatherford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$11, $10, $14, $21, and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Charges Credits,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both"/>
        <w:rPr/>
      </w:pPr>
      <w:r>
        <w:rPr>
          <w:rFonts w:ascii="sans-serif" w:hAnsi="sans-serif"/>
          <w:b w:val="false"/>
          <w:color w:val="000000"/>
          <w:sz w:val="14"/>
        </w:rPr>
        <w:t>[1]</w:t>
      </w:r>
      <w:r>
        <w:rPr>
          <w:rFonts w:ascii="Times New Roman;serif" w:hAnsi="Times New Roman;serif"/>
          <w:b w:val="false"/>
          <w:color w:val="000000"/>
          <w:sz w:val="16"/>
        </w:rPr>
        <w:t>Other Charges, Net in the three and six months ended June 30, 2026 primarily includes redomestication and mergers and acquisitions. Other Charges, Net in the three and six months ended June 30, 2025 primarily includes fees to third-party financial institutions related to collections of certain receivables from our largest customer in Mexico and other miscellaneous charges and credits.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4"/>
        <w:gridCol w:w="1137"/>
        <w:gridCol w:w="1141"/>
        <w:gridCol w:w="150"/>
        <w:gridCol w:w="150"/>
        <w:gridCol w:w="150"/>
        <w:gridCol w:w="292"/>
        <w:gridCol w:w="855"/>
        <w:gridCol w:w="150"/>
        <w:gridCol w:w="150"/>
        <w:gridCol w:w="150"/>
        <w:gridCol w:w="150"/>
        <w:gridCol w:w="307"/>
        <w:gridCol w:w="899"/>
        <w:gridCol w:w="158"/>
        <w:gridCol w:w="150"/>
        <w:gridCol w:w="150"/>
        <w:gridCol w:w="150"/>
        <w:gridCol w:w="292"/>
        <w:gridCol w:w="855"/>
        <w:gridCol w:w="150"/>
        <w:gridCol w:w="150"/>
        <w:gridCol w:w="150"/>
        <w:gridCol w:w="150"/>
        <w:gridCol w:w="109"/>
        <w:gridCol w:w="109"/>
        <w:gridCol w:w="109"/>
        <w:gridCol w:w="109"/>
        <w:gridCol w:w="109"/>
        <w:gridCol w:w="109"/>
        <w:gridCol w:w="171"/>
      </w:tblGrid>
      <w:tr>
        <w:trPr/>
        <w:tc>
          <w:tcPr>
            <w:tcW w:w="134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gridSpan w:val="3"/>
            <w:tcBorders/>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gridSpan w:val="3"/>
            <w:tcBorders/>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7"/>
            <w:tcBorders/>
          </w:tcPr>
          <w:p>
            <w:pPr>
              <w:pStyle w:val="TableContents"/>
              <w:bidi w:val="0"/>
              <w:spacing w:before="0" w:after="283"/>
              <w:jc w:val="left"/>
              <w:rPr>
                <w:sz w:val="4"/>
                <w:szCs w:val="4"/>
              </w:rPr>
            </w:pPr>
            <w:r>
              <w:rPr>
                <w:sz w:val="4"/>
                <w:szCs w:val="4"/>
              </w:rPr>
            </w:r>
          </w:p>
        </w:tc>
      </w:tr>
      <w:tr>
        <w:trPr/>
        <w:tc>
          <w:tcPr>
            <w:tcW w:w="3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3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Debt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for trailing 12 months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for trailing 12 months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 (Net Debt*/Adjusted EBITDA*)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3923/000119312526302022/d136463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6456</Words>
  <Characters>36466</Characters>
  <CharactersWithSpaces>42343</CharactersWithSpaces>
  <Paragraphs>1061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