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506095</wp:posOffset>
            </wp:positionH>
            <wp:positionV relativeFrom="page">
              <wp:posOffset>719455</wp:posOffset>
            </wp:positionV>
            <wp:extent cx="65366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36690" cy="8255"/>
                    </a:xfrm>
                    <a:prstGeom prst="rect">
                      <a:avLst/>
                    </a:prstGeom>
                    <a:noFill/>
                  </pic:spPr>
                </pic:pic>
              </a:graphicData>
            </a:graphic>
          </wp:anchor>
        </w:drawing>
        <w:t>UNITED STATES</w:t>
      </w:r>
    </w:p>
    <w:p>
      <w:pPr>
        <w:spacing w:after="0" w:line="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Pursuant to Section 13 or 15(d) of the Securities Exchange Act of 1934</w:t>
      </w:r>
    </w:p>
    <w:p>
      <w:pPr>
        <w:spacing w:after="0" w:line="2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 January 18, 2023</w:t>
      </w:r>
    </w:p>
    <w:p>
      <w:pPr>
        <w:spacing w:after="0" w:line="2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9"/>
          <w:szCs w:val="39"/>
          <w:b w:val="1"/>
          <w:bCs w:val="1"/>
          <w:color w:val="auto"/>
        </w:rPr>
        <w:t>Weatherford International plc</w:t>
      </w:r>
    </w:p>
    <w:p>
      <w:pPr>
        <w:spacing w:after="0" w:line="63" w:lineRule="exact"/>
        <w:rPr>
          <w:sz w:val="24"/>
          <w:szCs w:val="24"/>
          <w:color w:val="auto"/>
        </w:rPr>
      </w:pPr>
    </w:p>
    <w:tbl>
      <w:tblPr>
        <w:tblLayout w:type="fixed"/>
        <w:tblInd w:w="160" w:type="dxa"/>
        <w:tblCellMar>
          <w:top w:w="0" w:type="dxa"/>
          <w:left w:w="0" w:type="dxa"/>
          <w:bottom w:w="0" w:type="dxa"/>
          <w:right w:w="0" w:type="dxa"/>
        </w:tblCellMar>
      </w:tblPr>
      <w:tr>
        <w:trPr>
          <w:trHeight w:val="231"/>
        </w:trPr>
        <w:tc>
          <w:tcPr>
            <w:tcW w:w="800" w:type="dxa"/>
            <w:vAlign w:val="bottom"/>
          </w:tcPr>
          <w:p>
            <w:pPr>
              <w:spacing w:after="0"/>
              <w:rPr>
                <w:sz w:val="20"/>
                <w:szCs w:val="20"/>
                <w:color w:val="auto"/>
              </w:rPr>
            </w:pPr>
          </w:p>
        </w:tc>
        <w:tc>
          <w:tcPr>
            <w:tcW w:w="6820" w:type="dxa"/>
            <w:vAlign w:val="bottom"/>
            <w:gridSpan w:val="2"/>
          </w:tcPr>
          <w:p>
            <w:pPr>
              <w:jc w:val="center"/>
              <w:ind w:left="2411"/>
              <w:spacing w:after="0"/>
              <w:rPr>
                <w:sz w:val="20"/>
                <w:szCs w:val="20"/>
                <w:color w:val="auto"/>
              </w:rPr>
            </w:pPr>
            <w:r>
              <w:rPr>
                <w:rFonts w:ascii="Times New Roman" w:cs="Times New Roman" w:eastAsia="Times New Roman" w:hAnsi="Times New Roman"/>
                <w:sz w:val="18"/>
                <w:szCs w:val="18"/>
                <w:b w:val="1"/>
                <w:bCs w:val="1"/>
                <w:color w:val="auto"/>
                <w:w w:val="99"/>
              </w:rPr>
              <w:t>(Exact name of registrant as specified in its charter)</w:t>
            </w:r>
          </w:p>
        </w:tc>
        <w:tc>
          <w:tcPr>
            <w:tcW w:w="25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37"/>
        </w:trPr>
        <w:tc>
          <w:tcPr>
            <w:tcW w:w="80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b w:val="1"/>
                <w:bCs w:val="1"/>
                <w:color w:val="auto"/>
              </w:rPr>
              <w:t>Ireland</w:t>
            </w:r>
          </w:p>
        </w:tc>
        <w:tc>
          <w:tcPr>
            <w:tcW w:w="3360" w:type="dxa"/>
            <w:vAlign w:val="bottom"/>
            <w:tcBorders>
              <w:bottom w:val="single" w:sz="8" w:color="auto"/>
            </w:tcBorders>
          </w:tcPr>
          <w:p>
            <w:pPr>
              <w:jc w:val="center"/>
              <w:ind w:right="891"/>
              <w:spacing w:after="0"/>
              <w:rPr>
                <w:sz w:val="20"/>
                <w:szCs w:val="20"/>
                <w:color w:val="auto"/>
              </w:rPr>
            </w:pPr>
            <w:r>
              <w:rPr>
                <w:rFonts w:ascii="Times New Roman" w:cs="Times New Roman" w:eastAsia="Times New Roman" w:hAnsi="Times New Roman"/>
                <w:sz w:val="18"/>
                <w:szCs w:val="18"/>
                <w:b w:val="1"/>
                <w:bCs w:val="1"/>
                <w:color w:val="auto"/>
                <w:w w:val="99"/>
              </w:rPr>
              <w:t>001-36504</w:t>
            </w:r>
          </w:p>
        </w:tc>
        <w:tc>
          <w:tcPr>
            <w:tcW w:w="25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b w:val="1"/>
                <w:bCs w:val="1"/>
                <w:color w:val="auto"/>
              </w:rPr>
              <w:t>98-0606750</w:t>
            </w:r>
          </w:p>
        </w:tc>
        <w:tc>
          <w:tcPr>
            <w:tcW w:w="820" w:type="dxa"/>
            <w:vAlign w:val="bottom"/>
            <w:tcBorders>
              <w:bottom w:val="single" w:sz="8" w:color="auto"/>
            </w:tcBorders>
          </w:tcPr>
          <w:p>
            <w:pPr>
              <w:spacing w:after="0"/>
              <w:rPr>
                <w:sz w:val="20"/>
                <w:szCs w:val="20"/>
                <w:color w:val="auto"/>
              </w:rPr>
            </w:pPr>
          </w:p>
        </w:tc>
      </w:tr>
      <w:tr>
        <w:trPr>
          <w:trHeight w:val="227"/>
        </w:trPr>
        <w:tc>
          <w:tcPr>
            <w:tcW w:w="42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(State or other jurisdiction of incorporation)</w:t>
            </w:r>
          </w:p>
        </w:tc>
        <w:tc>
          <w:tcPr>
            <w:tcW w:w="3360" w:type="dxa"/>
            <w:vAlign w:val="bottom"/>
          </w:tcPr>
          <w:p>
            <w:pPr>
              <w:jc w:val="center"/>
              <w:ind w:right="891"/>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33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344"/>
        </w:trPr>
        <w:tc>
          <w:tcPr>
            <w:tcW w:w="800" w:type="dxa"/>
            <w:vAlign w:val="bottom"/>
          </w:tcPr>
          <w:p>
            <w:pPr>
              <w:spacing w:after="0"/>
              <w:rPr>
                <w:sz w:val="24"/>
                <w:szCs w:val="24"/>
                <w:color w:val="auto"/>
              </w:rPr>
            </w:pPr>
          </w:p>
        </w:tc>
        <w:tc>
          <w:tcPr>
            <w:tcW w:w="346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b w:val="1"/>
                <w:bCs w:val="1"/>
                <w:color w:val="auto"/>
              </w:rPr>
              <w:t>2000 St. James Place ,  Houston,</w:t>
            </w:r>
          </w:p>
        </w:tc>
        <w:tc>
          <w:tcPr>
            <w:tcW w:w="336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Texas</w:t>
            </w:r>
          </w:p>
        </w:tc>
        <w:tc>
          <w:tcPr>
            <w:tcW w:w="250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8"/>
                <w:szCs w:val="18"/>
                <w:b w:val="1"/>
                <w:bCs w:val="1"/>
                <w:color w:val="auto"/>
              </w:rPr>
              <w:t>77056</w:t>
            </w:r>
          </w:p>
        </w:tc>
        <w:tc>
          <w:tcPr>
            <w:tcW w:w="820" w:type="dxa"/>
            <w:vAlign w:val="bottom"/>
          </w:tcPr>
          <w:p>
            <w:pPr>
              <w:spacing w:after="0"/>
              <w:rPr>
                <w:sz w:val="24"/>
                <w:szCs w:val="24"/>
                <w:color w:val="auto"/>
              </w:rPr>
            </w:pPr>
          </w:p>
        </w:tc>
      </w:tr>
      <w:tr>
        <w:trPr>
          <w:trHeight w:val="227"/>
        </w:trPr>
        <w:tc>
          <w:tcPr>
            <w:tcW w:w="800" w:type="dxa"/>
            <w:vAlign w:val="bottom"/>
          </w:tcPr>
          <w:p>
            <w:pPr>
              <w:spacing w:after="0"/>
              <w:rPr>
                <w:sz w:val="19"/>
                <w:szCs w:val="19"/>
                <w:color w:val="auto"/>
              </w:rPr>
            </w:pPr>
          </w:p>
        </w:tc>
        <w:tc>
          <w:tcPr>
            <w:tcW w:w="682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500" w:type="dxa"/>
            <w:vAlign w:val="bottom"/>
          </w:tcPr>
          <w:p>
            <w:pPr>
              <w:jc w:val="center"/>
              <w:ind w:left="511"/>
              <w:spacing w:after="0"/>
              <w:rPr>
                <w:sz w:val="20"/>
                <w:szCs w:val="20"/>
                <w:color w:val="auto"/>
              </w:rPr>
            </w:pPr>
            <w:r>
              <w:rPr>
                <w:rFonts w:ascii="Times New Roman" w:cs="Times New Roman" w:eastAsia="Times New Roman" w:hAnsi="Times New Roman"/>
                <w:sz w:val="18"/>
                <w:szCs w:val="18"/>
                <w:color w:val="auto"/>
                <w:w w:val="98"/>
              </w:rPr>
              <w:t>(Zip Code)</w:t>
            </w:r>
          </w:p>
        </w:tc>
        <w:tc>
          <w:tcPr>
            <w:tcW w:w="820" w:type="dxa"/>
            <w:vAlign w:val="bottom"/>
          </w:tcPr>
          <w:p>
            <w:pPr>
              <w:spacing w:after="0"/>
              <w:rPr>
                <w:sz w:val="19"/>
                <w:szCs w:val="19"/>
                <w:color w:val="auto"/>
              </w:rPr>
            </w:pPr>
          </w:p>
        </w:tc>
      </w:tr>
    </w:tbl>
    <w:p>
      <w:pPr>
        <w:spacing w:after="0" w:line="66" w:lineRule="exact"/>
        <w:rPr>
          <w:sz w:val="24"/>
          <w:szCs w:val="24"/>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713.836.4000</w:t>
      </w:r>
    </w:p>
    <w:p>
      <w:pPr>
        <w:spacing w:after="0" w:line="129" w:lineRule="exact"/>
        <w:rPr>
          <w:sz w:val="24"/>
          <w:szCs w:val="24"/>
          <w:color w:val="auto"/>
        </w:rPr>
      </w:pPr>
    </w:p>
    <w:p>
      <w:pPr>
        <w:ind w:left="544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464820</wp:posOffset>
            </wp:positionH>
            <wp:positionV relativeFrom="paragraph">
              <wp:posOffset>19050</wp:posOffset>
            </wp:positionV>
            <wp:extent cx="61956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95695" cy="8255"/>
                    </a:xfrm>
                    <a:prstGeom prst="rect">
                      <a:avLst/>
                    </a:prstGeom>
                    <a:noFill/>
                  </pic:spPr>
                </pic:pic>
              </a:graphicData>
            </a:graphic>
          </wp:anchor>
        </w:drawing>
      </w:r>
    </w:p>
    <w:p>
      <w:pPr>
        <w:spacing w:after="0" w:line="1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02" w:lineRule="exact"/>
        <w:rPr>
          <w:sz w:val="24"/>
          <w:szCs w:val="24"/>
          <w:color w:val="auto"/>
        </w:rPr>
      </w:pPr>
    </w:p>
    <w:p>
      <w:pPr>
        <w:spacing w:after="0" w:line="279"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84" w:lineRule="exact"/>
        <w:rPr>
          <w:sz w:val="24"/>
          <w:szCs w:val="24"/>
          <w:color w:val="auto"/>
        </w:rPr>
      </w:pPr>
    </w:p>
    <w:p>
      <w:pPr>
        <w:ind w:left="380" w:hanging="373"/>
        <w:spacing w:after="0"/>
        <w:tabs>
          <w:tab w:leader="none" w:pos="3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89" w:lineRule="exact"/>
        <w:rPr>
          <w:rFonts w:ascii="MS PGothic" w:cs="MS PGothic" w:eastAsia="MS PGothic" w:hAnsi="MS PGothic"/>
          <w:sz w:val="21"/>
          <w:szCs w:val="21"/>
          <w:color w:val="auto"/>
        </w:rPr>
      </w:pPr>
    </w:p>
    <w:p>
      <w:pPr>
        <w:ind w:left="380" w:hanging="373"/>
        <w:spacing w:after="0"/>
        <w:tabs>
          <w:tab w:leader="none" w:pos="3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89" w:lineRule="exact"/>
        <w:rPr>
          <w:rFonts w:ascii="MS PGothic" w:cs="MS PGothic" w:eastAsia="MS PGothic" w:hAnsi="MS PGothic"/>
          <w:sz w:val="21"/>
          <w:szCs w:val="21"/>
          <w:color w:val="auto"/>
        </w:rPr>
      </w:pPr>
    </w:p>
    <w:p>
      <w:pPr>
        <w:ind w:left="380" w:hanging="373"/>
        <w:spacing w:after="0"/>
        <w:tabs>
          <w:tab w:leader="none" w:pos="3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89" w:lineRule="exact"/>
        <w:rPr>
          <w:rFonts w:ascii="MS PGothic" w:cs="MS PGothic" w:eastAsia="MS PGothic" w:hAnsi="MS PGothic"/>
          <w:sz w:val="21"/>
          <w:szCs w:val="21"/>
          <w:color w:val="auto"/>
        </w:rPr>
      </w:pPr>
    </w:p>
    <w:p>
      <w:pPr>
        <w:ind w:left="380" w:hanging="373"/>
        <w:spacing w:after="0"/>
        <w:tabs>
          <w:tab w:leader="none" w:pos="3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50" w:lineRule="exact"/>
        <w:rPr>
          <w:sz w:val="24"/>
          <w:szCs w:val="24"/>
          <w:color w:val="auto"/>
        </w:rPr>
      </w:pPr>
    </w:p>
    <w:tbl>
      <w:tblPr>
        <w:tblLayout w:type="fixed"/>
        <w:tblInd w:w="0" w:type="dxa"/>
        <w:tblCellMar>
          <w:top w:w="0" w:type="dxa"/>
          <w:left w:w="0" w:type="dxa"/>
          <w:bottom w:w="0" w:type="dxa"/>
          <w:right w:w="0" w:type="dxa"/>
        </w:tblCellMar>
      </w:tblPr>
      <w:tr>
        <w:trPr>
          <w:trHeight w:val="233"/>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160" w:type="dxa"/>
            <w:vAlign w:val="bottom"/>
          </w:tcPr>
          <w:p>
            <w:pPr>
              <w:spacing w:after="0"/>
              <w:rPr>
                <w:sz w:val="20"/>
                <w:szCs w:val="20"/>
                <w:color w:val="auto"/>
              </w:rPr>
            </w:pPr>
          </w:p>
        </w:tc>
        <w:tc>
          <w:tcPr>
            <w:tcW w:w="4540" w:type="dxa"/>
            <w:vAlign w:val="bottom"/>
          </w:tcPr>
          <w:p>
            <w:pPr>
              <w:spacing w:after="0"/>
              <w:rPr>
                <w:sz w:val="20"/>
                <w:szCs w:val="20"/>
                <w:color w:val="auto"/>
              </w:rPr>
            </w:pPr>
          </w:p>
        </w:tc>
      </w:tr>
      <w:tr>
        <w:trPr>
          <w:trHeight w:val="335"/>
        </w:trPr>
        <w:tc>
          <w:tcPr>
            <w:tcW w:w="80" w:type="dxa"/>
            <w:vAlign w:val="bottom"/>
          </w:tcPr>
          <w:p>
            <w:pPr>
              <w:spacing w:after="0"/>
              <w:rPr>
                <w:sz w:val="24"/>
                <w:szCs w:val="24"/>
                <w:color w:val="auto"/>
              </w:rPr>
            </w:pPr>
          </w:p>
        </w:tc>
        <w:tc>
          <w:tcPr>
            <w:tcW w:w="4400" w:type="dxa"/>
            <w:vAlign w:val="bottom"/>
            <w:tcBorders>
              <w:bottom w:val="single" w:sz="8" w:color="auto"/>
            </w:tcBorders>
          </w:tcPr>
          <w:p>
            <w:pPr>
              <w:jc w:val="center"/>
              <w:ind w:right="171"/>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160" w:type="dxa"/>
            <w:vAlign w:val="bottom"/>
            <w:tcBorders>
              <w:bottom w:val="single" w:sz="8" w:color="auto"/>
            </w:tcBorders>
          </w:tcPr>
          <w:p>
            <w:pPr>
              <w:jc w:val="center"/>
              <w:ind w:right="231"/>
              <w:spacing w:after="0"/>
              <w:rPr>
                <w:sz w:val="20"/>
                <w:szCs w:val="20"/>
                <w:color w:val="auto"/>
              </w:rPr>
            </w:pPr>
            <w:r>
              <w:rPr>
                <w:rFonts w:ascii="Times New Roman" w:cs="Times New Roman" w:eastAsia="Times New Roman" w:hAnsi="Times New Roman"/>
                <w:sz w:val="18"/>
                <w:szCs w:val="18"/>
                <w:color w:val="auto"/>
                <w:w w:val="98"/>
              </w:rPr>
              <w:t>Trading Symbol</w:t>
            </w:r>
          </w:p>
        </w:tc>
        <w:tc>
          <w:tcPr>
            <w:tcW w:w="4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7"/>
        </w:trPr>
        <w:tc>
          <w:tcPr>
            <w:tcW w:w="80" w:type="dxa"/>
            <w:vAlign w:val="bottom"/>
          </w:tcPr>
          <w:p>
            <w:pPr>
              <w:spacing w:after="0"/>
              <w:rPr>
                <w:sz w:val="19"/>
                <w:szCs w:val="19"/>
                <w:color w:val="auto"/>
              </w:rPr>
            </w:pPr>
          </w:p>
        </w:tc>
        <w:tc>
          <w:tcPr>
            <w:tcW w:w="4400" w:type="dxa"/>
            <w:vAlign w:val="bottom"/>
          </w:tcPr>
          <w:p>
            <w:pPr>
              <w:jc w:val="center"/>
              <w:ind w:right="191"/>
              <w:spacing w:after="0"/>
              <w:rPr>
                <w:sz w:val="20"/>
                <w:szCs w:val="20"/>
                <w:color w:val="auto"/>
              </w:rPr>
            </w:pPr>
            <w:r>
              <w:rPr>
                <w:rFonts w:ascii="Times New Roman" w:cs="Times New Roman" w:eastAsia="Times New Roman" w:hAnsi="Times New Roman"/>
                <w:sz w:val="18"/>
                <w:szCs w:val="18"/>
                <w:color w:val="auto"/>
                <w:w w:val="99"/>
              </w:rPr>
              <w:t>Ordinary shares, $0.001 par value per share</w:t>
            </w:r>
          </w:p>
        </w:tc>
        <w:tc>
          <w:tcPr>
            <w:tcW w:w="2160" w:type="dxa"/>
            <w:vAlign w:val="bottom"/>
          </w:tcPr>
          <w:p>
            <w:pPr>
              <w:jc w:val="center"/>
              <w:ind w:right="231"/>
              <w:spacing w:after="0"/>
              <w:rPr>
                <w:sz w:val="20"/>
                <w:szCs w:val="20"/>
                <w:color w:val="auto"/>
              </w:rPr>
            </w:pPr>
            <w:r>
              <w:rPr>
                <w:rFonts w:ascii="Times New Roman" w:cs="Times New Roman" w:eastAsia="Times New Roman" w:hAnsi="Times New Roman"/>
                <w:sz w:val="18"/>
                <w:szCs w:val="18"/>
                <w:color w:val="auto"/>
                <w:w w:val="99"/>
              </w:rPr>
              <w:t>WFRD</w:t>
            </w:r>
          </w:p>
        </w:tc>
        <w:tc>
          <w:tcPr>
            <w:tcW w:w="4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bl>
    <w:p>
      <w:pPr>
        <w:spacing w:after="0" w:line="70" w:lineRule="exact"/>
        <w:rPr>
          <w:sz w:val="24"/>
          <w:szCs w:val="24"/>
          <w:color w:val="auto"/>
        </w:rPr>
      </w:pPr>
    </w:p>
    <w:p>
      <w:pPr>
        <w:ind w:right="560"/>
        <w:spacing w:after="0" w:line="259"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1840"/>
        <w:spacing w:after="0" w:line="242"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21"/>
          <w:szCs w:val="21"/>
          <w:color w:val="auto"/>
        </w:rPr>
        <w:t>☐</w:t>
      </w:r>
    </w:p>
    <w:p>
      <w:pPr>
        <w:spacing w:after="0" w:line="15" w:lineRule="exact"/>
        <w:rPr>
          <w:sz w:val="24"/>
          <w:szCs w:val="24"/>
          <w:color w:val="auto"/>
        </w:rPr>
      </w:pPr>
    </w:p>
    <w:p>
      <w:pPr>
        <w:ind w:right="20"/>
        <w:spacing w:after="0" w:line="224"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861695</wp:posOffset>
            </wp:positionV>
            <wp:extent cx="71583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06" w:right="359" w:bottom="1440" w:gutter="0" w:footer="0" w:header="0"/>
        </w:sectPr>
      </w:pPr>
    </w:p>
    <w:bookmarkStart w:id="1" w:name="page2"/>
    <w:bookmarkEnd w:id="1"/>
    <w:tbl>
      <w:tblPr>
        <w:tblLayout w:type="fixed"/>
        <w:tblInd w:w="20" w:type="dxa"/>
        <w:tblCellMar>
          <w:top w:w="0" w:type="dxa"/>
          <w:left w:w="0" w:type="dxa"/>
          <w:bottom w:w="0" w:type="dxa"/>
          <w:right w:w="0" w:type="dxa"/>
        </w:tblCellMar>
      </w:tblPr>
      <w:tr>
        <w:trPr>
          <w:trHeight w:val="207"/>
        </w:trPr>
        <w:tc>
          <w:tcPr>
            <w:tcW w:w="11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Item 5.02</w:t>
            </w:r>
          </w:p>
        </w:tc>
        <w:tc>
          <w:tcPr>
            <w:tcW w:w="920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w w:val="99"/>
              </w:rPr>
              <w:t>Departure of Directors or Certain Officers; Election of Directors; Appointment of Certain Officers; Compensatory</w:t>
            </w:r>
          </w:p>
        </w:tc>
        <w:tc>
          <w:tcPr>
            <w:tcW w:w="0" w:type="dxa"/>
            <w:vAlign w:val="bottom"/>
          </w:tcPr>
          <w:p>
            <w:pPr>
              <w:spacing w:after="0"/>
              <w:rPr>
                <w:sz w:val="1"/>
                <w:szCs w:val="1"/>
                <w:color w:val="auto"/>
              </w:rPr>
            </w:pPr>
          </w:p>
        </w:tc>
      </w:tr>
      <w:tr>
        <w:trPr>
          <w:trHeight w:val="148"/>
        </w:trPr>
        <w:tc>
          <w:tcPr>
            <w:tcW w:w="1180" w:type="dxa"/>
            <w:vAlign w:val="bottom"/>
            <w:vMerge w:val="continue"/>
          </w:tcPr>
          <w:p>
            <w:pPr>
              <w:spacing w:after="0"/>
              <w:rPr>
                <w:sz w:val="12"/>
                <w:szCs w:val="12"/>
                <w:color w:val="auto"/>
              </w:rPr>
            </w:pPr>
          </w:p>
        </w:tc>
        <w:tc>
          <w:tcPr>
            <w:tcW w:w="9200" w:type="dxa"/>
            <w:vAlign w:val="bottom"/>
            <w:vMerge w:val="restart"/>
          </w:tcPr>
          <w:p>
            <w:pPr>
              <w:ind w:left="440"/>
              <w:spacing w:after="0"/>
              <w:rPr>
                <w:sz w:val="20"/>
                <w:szCs w:val="20"/>
                <w:color w:val="auto"/>
              </w:rPr>
            </w:pPr>
            <w:r>
              <w:rPr>
                <w:rFonts w:ascii="Times New Roman" w:cs="Times New Roman" w:eastAsia="Times New Roman" w:hAnsi="Times New Roman"/>
                <w:sz w:val="18"/>
                <w:szCs w:val="18"/>
                <w:b w:val="1"/>
                <w:bCs w:val="1"/>
                <w:color w:val="auto"/>
              </w:rPr>
              <w:t>Arrangements of Certain Officers.</w:t>
            </w:r>
          </w:p>
        </w:tc>
        <w:tc>
          <w:tcPr>
            <w:tcW w:w="0" w:type="dxa"/>
            <w:vAlign w:val="bottom"/>
          </w:tcPr>
          <w:p>
            <w:pPr>
              <w:spacing w:after="0"/>
              <w:rPr>
                <w:sz w:val="1"/>
                <w:szCs w:val="1"/>
                <w:color w:val="auto"/>
              </w:rPr>
            </w:pPr>
          </w:p>
        </w:tc>
      </w:tr>
      <w:tr>
        <w:trPr>
          <w:trHeight w:val="89"/>
        </w:trPr>
        <w:tc>
          <w:tcPr>
            <w:tcW w:w="1180" w:type="dxa"/>
            <w:vAlign w:val="bottom"/>
          </w:tcPr>
          <w:p>
            <w:pPr>
              <w:spacing w:after="0"/>
              <w:rPr>
                <w:sz w:val="7"/>
                <w:szCs w:val="7"/>
                <w:color w:val="auto"/>
              </w:rPr>
            </w:pPr>
          </w:p>
        </w:tc>
        <w:tc>
          <w:tcPr>
            <w:tcW w:w="9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Executive Officer Compensation</w:t>
      </w:r>
    </w:p>
    <w:p>
      <w:pPr>
        <w:spacing w:after="0" w:line="253" w:lineRule="exact"/>
        <w:rPr>
          <w:sz w:val="20"/>
          <w:szCs w:val="20"/>
          <w:color w:val="auto"/>
        </w:rPr>
      </w:pPr>
    </w:p>
    <w:p>
      <w:pPr>
        <w:ind w:right="80"/>
        <w:spacing w:after="0" w:line="310" w:lineRule="auto"/>
        <w:rPr>
          <w:sz w:val="20"/>
          <w:szCs w:val="20"/>
          <w:color w:val="auto"/>
        </w:rPr>
      </w:pPr>
      <w:r>
        <w:rPr>
          <w:rFonts w:ascii="Times New Roman" w:cs="Times New Roman" w:eastAsia="Times New Roman" w:hAnsi="Times New Roman"/>
          <w:sz w:val="17"/>
          <w:szCs w:val="17"/>
          <w:color w:val="auto"/>
        </w:rPr>
        <w:t>On January 18, 2023, the Board of Directors (the “Board”) of Weatherford International plc (the “Company”), on the recommendation of the Compensation and Human Resources Committee (the “C&amp;HR Committee”), approved the following annual compensation for our named executive officers: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260" w:type="dxa"/>
            <w:vAlign w:val="bottom"/>
          </w:tcPr>
          <w:p>
            <w:pPr>
              <w:ind w:left="760"/>
              <w:spacing w:after="0"/>
              <w:rPr>
                <w:sz w:val="20"/>
                <w:szCs w:val="20"/>
                <w:color w:val="auto"/>
              </w:rPr>
            </w:pPr>
            <w:r>
              <w:rPr>
                <w:rFonts w:ascii="Times New Roman" w:cs="Times New Roman" w:eastAsia="Times New Roman" w:hAnsi="Times New Roman"/>
                <w:sz w:val="18"/>
                <w:szCs w:val="18"/>
                <w:b w:val="1"/>
                <w:bCs w:val="1"/>
                <w:color w:val="auto"/>
              </w:rPr>
              <w:t>Base Salary</w:t>
            </w:r>
          </w:p>
        </w:tc>
        <w:tc>
          <w:tcPr>
            <w:tcW w:w="304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Annual Incentive Target</w:t>
            </w:r>
            <w:r>
              <w:rPr>
                <w:rFonts w:ascii="Times New Roman" w:cs="Times New Roman" w:eastAsia="Times New Roman" w:hAnsi="Times New Roman"/>
                <w:sz w:val="23"/>
                <w:szCs w:val="23"/>
                <w:b w:val="1"/>
                <w:bCs w:val="1"/>
                <w:color w:val="auto"/>
                <w:vertAlign w:val="superscript"/>
              </w:rPr>
              <w:t>1</w:t>
            </w: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Long-Term Incentive Target</w:t>
            </w:r>
            <w:r>
              <w:rPr>
                <w:rFonts w:ascii="Times New Roman" w:cs="Times New Roman" w:eastAsia="Times New Roman" w:hAnsi="Times New Roman"/>
                <w:sz w:val="23"/>
                <w:szCs w:val="23"/>
                <w:b w:val="1"/>
                <w:bCs w:val="1"/>
                <w:color w:val="auto"/>
                <w:w w:val="97"/>
                <w:vertAlign w:val="superscript"/>
              </w:rPr>
              <w:t>1</w:t>
            </w:r>
          </w:p>
        </w:tc>
      </w:tr>
      <w:tr>
        <w:trPr>
          <w:trHeight w:val="228"/>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Girishchandra K. Saligram</w:t>
            </w:r>
          </w:p>
        </w:tc>
        <w:tc>
          <w:tcPr>
            <w:tcW w:w="2260" w:type="dxa"/>
            <w:vAlign w:val="bottom"/>
            <w:shd w:val="clear" w:color="auto" w:fill="CCEEFF"/>
          </w:tcPr>
          <w:p>
            <w:pPr>
              <w:jc w:val="center"/>
              <w:ind w:left="51"/>
              <w:spacing w:after="0"/>
              <w:rPr>
                <w:sz w:val="20"/>
                <w:szCs w:val="20"/>
                <w:color w:val="auto"/>
              </w:rPr>
            </w:pPr>
            <w:r>
              <w:rPr>
                <w:rFonts w:ascii="Times New Roman" w:cs="Times New Roman" w:eastAsia="Times New Roman" w:hAnsi="Times New Roman"/>
                <w:sz w:val="18"/>
                <w:szCs w:val="18"/>
                <w:color w:val="auto"/>
                <w:w w:val="98"/>
              </w:rPr>
              <w:t>$1,000,000</w:t>
            </w:r>
          </w:p>
        </w:tc>
        <w:tc>
          <w:tcPr>
            <w:tcW w:w="3040" w:type="dxa"/>
            <w:vAlign w:val="bottom"/>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w w:val="99"/>
              </w:rPr>
              <w:t>125%</w:t>
            </w:r>
          </w:p>
        </w:tc>
        <w:tc>
          <w:tcPr>
            <w:tcW w:w="3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690%</w:t>
            </w:r>
          </w:p>
        </w:tc>
      </w:tr>
      <w:tr>
        <w:trPr>
          <w:trHeight w:val="228"/>
        </w:trPr>
        <w:tc>
          <w:tcPr>
            <w:tcW w:w="2700" w:type="dxa"/>
            <w:vAlign w:val="bottom"/>
          </w:tcPr>
          <w:p>
            <w:pPr>
              <w:ind w:left="20"/>
              <w:spacing w:after="0" w:line="229" w:lineRule="exact"/>
              <w:rPr>
                <w:sz w:val="20"/>
                <w:szCs w:val="20"/>
                <w:color w:val="auto"/>
              </w:rPr>
            </w:pPr>
            <w:r>
              <w:rPr>
                <w:rFonts w:ascii="Times New Roman" w:cs="Times New Roman" w:eastAsia="Times New Roman" w:hAnsi="Times New Roman"/>
                <w:sz w:val="18"/>
                <w:szCs w:val="18"/>
                <w:color w:val="auto"/>
              </w:rPr>
              <w:t>Arunava Mitra</w:t>
            </w:r>
            <w:r>
              <w:rPr>
                <w:rFonts w:ascii="Times New Roman" w:cs="Times New Roman" w:eastAsia="Times New Roman" w:hAnsi="Times New Roman"/>
                <w:sz w:val="23"/>
                <w:szCs w:val="23"/>
                <w:color w:val="auto"/>
                <w:vertAlign w:val="superscript"/>
              </w:rPr>
              <w:t>2</w:t>
            </w:r>
          </w:p>
        </w:tc>
        <w:tc>
          <w:tcPr>
            <w:tcW w:w="2260" w:type="dxa"/>
            <w:vAlign w:val="bottom"/>
          </w:tcPr>
          <w:p>
            <w:pPr>
              <w:jc w:val="center"/>
              <w:ind w:left="71"/>
              <w:spacing w:after="0"/>
              <w:rPr>
                <w:sz w:val="20"/>
                <w:szCs w:val="20"/>
                <w:color w:val="auto"/>
              </w:rPr>
            </w:pPr>
            <w:r>
              <w:rPr>
                <w:rFonts w:ascii="Times New Roman" w:cs="Times New Roman" w:eastAsia="Times New Roman" w:hAnsi="Times New Roman"/>
                <w:sz w:val="18"/>
                <w:szCs w:val="18"/>
                <w:color w:val="auto"/>
                <w:w w:val="97"/>
              </w:rPr>
              <w:t>$525,000</w:t>
            </w:r>
          </w:p>
        </w:tc>
        <w:tc>
          <w:tcPr>
            <w:tcW w:w="304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w w:val="96"/>
              </w:rPr>
              <w:t>90%</w:t>
            </w: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330%</w:t>
            </w:r>
          </w:p>
        </w:tc>
      </w:tr>
      <w:tr>
        <w:trPr>
          <w:trHeight w:val="228"/>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Scott C. Weatherholt</w:t>
            </w:r>
          </w:p>
        </w:tc>
        <w:tc>
          <w:tcPr>
            <w:tcW w:w="2260" w:type="dxa"/>
            <w:vAlign w:val="bottom"/>
            <w:shd w:val="clear" w:color="auto" w:fill="CCEEFF"/>
          </w:tcPr>
          <w:p>
            <w:pPr>
              <w:jc w:val="center"/>
              <w:ind w:left="71"/>
              <w:spacing w:after="0"/>
              <w:rPr>
                <w:sz w:val="20"/>
                <w:szCs w:val="20"/>
                <w:color w:val="auto"/>
              </w:rPr>
            </w:pPr>
            <w:r>
              <w:rPr>
                <w:rFonts w:ascii="Times New Roman" w:cs="Times New Roman" w:eastAsia="Times New Roman" w:hAnsi="Times New Roman"/>
                <w:sz w:val="18"/>
                <w:szCs w:val="18"/>
                <w:color w:val="auto"/>
                <w:w w:val="97"/>
              </w:rPr>
              <w:t>$475,000</w:t>
            </w:r>
          </w:p>
        </w:tc>
        <w:tc>
          <w:tcPr>
            <w:tcW w:w="3040" w:type="dxa"/>
            <w:vAlign w:val="bottom"/>
            <w:shd w:val="clear" w:color="auto" w:fill="CCEEFF"/>
          </w:tcPr>
          <w:p>
            <w:pPr>
              <w:jc w:val="center"/>
              <w:ind w:left="31"/>
              <w:spacing w:after="0"/>
              <w:rPr>
                <w:sz w:val="20"/>
                <w:szCs w:val="20"/>
                <w:color w:val="auto"/>
              </w:rPr>
            </w:pPr>
            <w:r>
              <w:rPr>
                <w:rFonts w:ascii="Times New Roman" w:cs="Times New Roman" w:eastAsia="Times New Roman" w:hAnsi="Times New Roman"/>
                <w:sz w:val="18"/>
                <w:szCs w:val="18"/>
                <w:color w:val="auto"/>
                <w:w w:val="96"/>
              </w:rPr>
              <w:t>90%</w:t>
            </w:r>
          </w:p>
        </w:tc>
        <w:tc>
          <w:tcPr>
            <w:tcW w:w="3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300%</w:t>
            </w:r>
          </w:p>
        </w:tc>
      </w:tr>
      <w:tr>
        <w:trPr>
          <w:trHeight w:val="228"/>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Joseph H. Mongrain</w:t>
            </w:r>
          </w:p>
        </w:tc>
        <w:tc>
          <w:tcPr>
            <w:tcW w:w="2260" w:type="dxa"/>
            <w:vAlign w:val="bottom"/>
          </w:tcPr>
          <w:p>
            <w:pPr>
              <w:jc w:val="center"/>
              <w:ind w:left="71"/>
              <w:spacing w:after="0"/>
              <w:rPr>
                <w:sz w:val="20"/>
                <w:szCs w:val="20"/>
                <w:color w:val="auto"/>
              </w:rPr>
            </w:pPr>
            <w:r>
              <w:rPr>
                <w:rFonts w:ascii="Times New Roman" w:cs="Times New Roman" w:eastAsia="Times New Roman" w:hAnsi="Times New Roman"/>
                <w:sz w:val="18"/>
                <w:szCs w:val="18"/>
                <w:color w:val="auto"/>
                <w:w w:val="97"/>
              </w:rPr>
              <w:t>$410,000</w:t>
            </w:r>
          </w:p>
        </w:tc>
        <w:tc>
          <w:tcPr>
            <w:tcW w:w="304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w w:val="96"/>
              </w:rPr>
              <w:t>90%</w:t>
            </w: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160%</w:t>
            </w:r>
          </w:p>
        </w:tc>
      </w:tr>
      <w:tr>
        <w:trPr>
          <w:trHeight w:val="228"/>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Desmond J. Mills</w:t>
            </w:r>
          </w:p>
        </w:tc>
        <w:tc>
          <w:tcPr>
            <w:tcW w:w="2260" w:type="dxa"/>
            <w:vAlign w:val="bottom"/>
            <w:shd w:val="clear" w:color="auto" w:fill="CCEEFF"/>
          </w:tcPr>
          <w:p>
            <w:pPr>
              <w:jc w:val="center"/>
              <w:ind w:left="71"/>
              <w:spacing w:after="0"/>
              <w:rPr>
                <w:sz w:val="20"/>
                <w:szCs w:val="20"/>
                <w:color w:val="auto"/>
              </w:rPr>
            </w:pPr>
            <w:r>
              <w:rPr>
                <w:rFonts w:ascii="Times New Roman" w:cs="Times New Roman" w:eastAsia="Times New Roman" w:hAnsi="Times New Roman"/>
                <w:sz w:val="18"/>
                <w:szCs w:val="18"/>
                <w:color w:val="auto"/>
                <w:w w:val="97"/>
              </w:rPr>
              <w:t>$400,000</w:t>
            </w:r>
          </w:p>
        </w:tc>
        <w:tc>
          <w:tcPr>
            <w:tcW w:w="3040" w:type="dxa"/>
            <w:vAlign w:val="bottom"/>
            <w:shd w:val="clear" w:color="auto" w:fill="CCEEFF"/>
          </w:tcPr>
          <w:p>
            <w:pPr>
              <w:jc w:val="center"/>
              <w:ind w:left="31"/>
              <w:spacing w:after="0"/>
              <w:rPr>
                <w:sz w:val="20"/>
                <w:szCs w:val="20"/>
                <w:color w:val="auto"/>
              </w:rPr>
            </w:pPr>
            <w:r>
              <w:rPr>
                <w:rFonts w:ascii="Times New Roman" w:cs="Times New Roman" w:eastAsia="Times New Roman" w:hAnsi="Times New Roman"/>
                <w:sz w:val="18"/>
                <w:szCs w:val="18"/>
                <w:color w:val="auto"/>
                <w:w w:val="96"/>
              </w:rPr>
              <w:t>90%</w:t>
            </w:r>
          </w:p>
        </w:tc>
        <w:tc>
          <w:tcPr>
            <w:tcW w:w="3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bl>
    <w:p>
      <w:pPr>
        <w:spacing w:after="0" w:line="31" w:lineRule="exact"/>
        <w:rPr>
          <w:sz w:val="20"/>
          <w:szCs w:val="20"/>
          <w:color w:val="auto"/>
        </w:rPr>
      </w:pPr>
    </w:p>
    <w:p>
      <w:pPr>
        <w:ind w:left="240" w:hanging="233"/>
        <w:spacing w:after="0"/>
        <w:tabs>
          <w:tab w:leader="none" w:pos="240" w:val="left"/>
        </w:tabs>
        <w:numPr>
          <w:ilvl w:val="0"/>
          <w:numId w:val="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As a percentage of base salary.</w:t>
      </w:r>
    </w:p>
    <w:p>
      <w:pPr>
        <w:ind w:left="240" w:hanging="233"/>
        <w:spacing w:after="0" w:line="194" w:lineRule="auto"/>
        <w:tabs>
          <w:tab w:leader="none" w:pos="240" w:val="left"/>
        </w:tabs>
        <w:numPr>
          <w:ilvl w:val="0"/>
          <w:numId w:val="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Mr. Mitra joined the Company on January 3, 2023 and his compensation was established at that time so is unchanged.</w:t>
      </w:r>
    </w:p>
    <w:p>
      <w:pPr>
        <w:spacing w:after="0" w:line="210" w:lineRule="exact"/>
        <w:rPr>
          <w:sz w:val="20"/>
          <w:szCs w:val="20"/>
          <w:color w:val="auto"/>
        </w:rPr>
      </w:pPr>
    </w:p>
    <w:p>
      <w:pPr>
        <w:ind w:right="120"/>
        <w:spacing w:after="0" w:line="243" w:lineRule="auto"/>
        <w:rPr>
          <w:sz w:val="20"/>
          <w:szCs w:val="20"/>
          <w:color w:val="auto"/>
        </w:rPr>
      </w:pPr>
      <w:r>
        <w:rPr>
          <w:rFonts w:ascii="Times New Roman" w:cs="Times New Roman" w:eastAsia="Times New Roman" w:hAnsi="Times New Roman"/>
          <w:sz w:val="18"/>
          <w:szCs w:val="18"/>
          <w:color w:val="auto"/>
        </w:rPr>
        <w:t>In addition, in connection with his service as our Interim Chief Financial Officer prior to the appointment of Mr. Mitra, Mr. Mills was granted an additional long-term incentive award of 5,000 performance restricted share units (“PSU”) under the Third Amended and Restated 2019 Equity Incentive Plan (the “2019 EIP”) which will be earned based upon the sustained achievement of certain share price targets that must be reached within the period ending on December 31, 2024 and will technically vest, subject to the achievement of the performance metric, on January 2, 2025.</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 to Change in Control Severance Plan</w:t>
      </w:r>
    </w:p>
    <w:p>
      <w:pPr>
        <w:spacing w:after="0" w:line="25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January 18, 2023, the C&amp;HR Committee approved the Third Amended and Restated Weatherford International plc Change in Control Severance Plan (as amended the “ CIC Plan”). The amendment changed the definition of the “Applicable Multiple” so that, as amended, the Applicable Multiple means (i) two and one half times for the Chief Executive Officer, (ii) two times for the Executive Vice Presidents of the Company and (iii) one and one half times for other Participants (as defined in the CIC Plan). The amendment also changed the definition of a Qualifying Termination (as defined in the CIC Plan) to include a termination of employment up to 24 months following a Change in Control (as defined in the CIC Plan). Finally, the amendment clarified that any severance payments under the CIC Plan would not be paid until after the executive had executed and delivered the required release of claims.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foregoing summary is qualified in its entirety by the CIC Plan, which is filed as Exhibit 10.1 to this Form 8-K and incorporated herein by reference.</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Approval of Third Amended and Restated 2019 Equity Incentive Plan and Forms of Award Agreement</w:t>
      </w:r>
    </w:p>
    <w:p>
      <w:pPr>
        <w:spacing w:after="0" w:line="253"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8"/>
          <w:szCs w:val="18"/>
          <w:color w:val="auto"/>
        </w:rPr>
        <w:t>On January 18, 2023, the Board, upon the recommendation of the C&amp;HR Committee, approved the 2019 EIP as well as a new form of restricted share unit (“RSU”) award agreement and PSU award agreement for executive officers and a new form of RSU award agreement for non-executive directors (collectively, the “Award Agreements”).</w:t>
      </w:r>
    </w:p>
    <w:p>
      <w:pPr>
        <w:spacing w:after="0" w:line="203" w:lineRule="exact"/>
        <w:rPr>
          <w:sz w:val="20"/>
          <w:szCs w:val="20"/>
          <w:color w:val="auto"/>
        </w:rPr>
      </w:pPr>
    </w:p>
    <w:p>
      <w:pPr>
        <w:ind w:right="60"/>
        <w:spacing w:after="0" w:line="279" w:lineRule="auto"/>
        <w:rPr>
          <w:sz w:val="20"/>
          <w:szCs w:val="20"/>
          <w:color w:val="auto"/>
        </w:rPr>
      </w:pPr>
      <w:r>
        <w:rPr>
          <w:rFonts w:ascii="Times New Roman" w:cs="Times New Roman" w:eastAsia="Times New Roman" w:hAnsi="Times New Roman"/>
          <w:sz w:val="18"/>
          <w:szCs w:val="18"/>
          <w:color w:val="auto"/>
        </w:rPr>
        <w:t>The primary purpose of the amendments to the 2019 EIP was to simplify and streamline the form Award Agreements by incorporating many of the standard terms that were previously in the Award Agreements directly in its 2019 EIP.</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Form RSU Award Agreement - Executive Officers</w:t>
      </w:r>
    </w:p>
    <w:p>
      <w:pPr>
        <w:spacing w:after="0" w:line="251" w:lineRule="exact"/>
        <w:rPr>
          <w:sz w:val="20"/>
          <w:szCs w:val="20"/>
          <w:color w:val="auto"/>
        </w:rPr>
      </w:pPr>
    </w:p>
    <w:p>
      <w:pPr>
        <w:jc w:val="both"/>
        <w:ind w:right="180"/>
        <w:spacing w:after="0" w:line="279" w:lineRule="auto"/>
        <w:rPr>
          <w:sz w:val="20"/>
          <w:szCs w:val="20"/>
          <w:color w:val="auto"/>
        </w:rPr>
      </w:pPr>
      <w:r>
        <w:rPr>
          <w:rFonts w:ascii="Times New Roman" w:cs="Times New Roman" w:eastAsia="Times New Roman" w:hAnsi="Times New Roman"/>
          <w:sz w:val="18"/>
          <w:szCs w:val="18"/>
          <w:color w:val="auto"/>
        </w:rPr>
        <w:t>Awards made under the form RSU award agreement for our executive officers (such form, the “EO RSU Award”) generally vest in one, two or three equal annual installments over a similar one-year, two-year or three-year period from the date of grant.</w:t>
      </w:r>
    </w:p>
    <w:p>
      <w:pPr>
        <w:spacing w:after="0" w:line="190" w:lineRule="exact"/>
        <w:rPr>
          <w:sz w:val="20"/>
          <w:szCs w:val="20"/>
          <w:color w:val="auto"/>
        </w:rPr>
      </w:pPr>
    </w:p>
    <w:p>
      <w:pPr>
        <w:jc w:val="both"/>
        <w:ind w:right="180"/>
        <w:spacing w:after="0" w:line="264" w:lineRule="auto"/>
        <w:rPr>
          <w:sz w:val="20"/>
          <w:szCs w:val="20"/>
          <w:color w:val="auto"/>
        </w:rPr>
      </w:pPr>
      <w:r>
        <w:rPr>
          <w:rFonts w:ascii="Times New Roman" w:cs="Times New Roman" w:eastAsia="Times New Roman" w:hAnsi="Times New Roman"/>
          <w:sz w:val="18"/>
          <w:szCs w:val="18"/>
          <w:color w:val="auto"/>
        </w:rPr>
        <w:t>Under the EO RSU Award, upon a termination of employment by the Company without “Cause” or by the participant for “Good Reason” (each as defined in the CIC Plan), all unvested RSUs shall continue to vest on each Vesting Date (as defined in the EO RSU Award) as if the participant had not incurred a termination of employment. If a termination of employment is due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528320</wp:posOffset>
            </wp:positionV>
            <wp:extent cx="71583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 w:name="page3"/>
    <w:bookmarkEnd w:id="2"/>
    <w:p>
      <w:pPr>
        <w:ind w:right="60"/>
        <w:spacing w:after="0" w:line="272" w:lineRule="auto"/>
        <w:rPr>
          <w:sz w:val="20"/>
          <w:szCs w:val="20"/>
          <w:color w:val="auto"/>
        </w:rPr>
      </w:pPr>
      <w:r>
        <w:rPr>
          <w:rFonts w:ascii="Times New Roman" w:cs="Times New Roman" w:eastAsia="Times New Roman" w:hAnsi="Times New Roman"/>
          <w:sz w:val="17"/>
          <w:szCs w:val="17"/>
          <w:color w:val="auto"/>
        </w:rPr>
        <w:t>to the participant’s death or Disability (as defined in the 2019 EIP), as applicable, all unvested RSUs will accelerate and fully vest and all remaining forfeiture restrictions shall immediately lapse as of the time immediately prior to such termination of employment. If a Change in Control (as defined in the 2019 EIP Plan) occurs and the participant experiences a Qualifying Termination (as defined in the CIC Plan), all outstanding RSUs granted under the award agreement will accelerate and vest and all remaining forfeiture restrictions shall immediately lapse as of the time immediately prior to such Qualifying Termination. In addition to the foregoing conditions, the Committee (as defined in the 2019 EIP) may, in its sole discretion, accelerate vesting of the RSUs at any time and for any reason. All unvested RSUs are immediately forfeited if a participant’s service to the Company is terminated for any other reason.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Form PSU Award Agreement - Executive Officers</w:t>
      </w:r>
    </w:p>
    <w:p>
      <w:pPr>
        <w:spacing w:after="0" w:line="251"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color w:val="auto"/>
        </w:rPr>
        <w:t>Awards made under the form PSU award agreement applicable to our executive officers (such form, the “PSU Award”) may be earned between 0% and 200% of the target award based on achievement of performance goals determined by the Committee (as defined in the 2019 EIP) and will vest following the completion of a three-year performance period. The underlying metrics are competitively sensitive information; therefore, they will be disclosed only in our future disclosures as performance periods are completed and are omitted from the form PSU Award filed as an exhibit to this Form 8-K.</w:t>
      </w:r>
    </w:p>
    <w:p>
      <w:pPr>
        <w:spacing w:after="0" w:line="20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Under the PSU Award, upon a termination of employment by the Company without “Cause” or by the participant for “Good Reason” (each as defined in the CIC Plan) during the third year of the Performance Period (as defined in the PSU Award), as applicable, the participant will remain eligible for vesting of outstanding PSUs, which will settle at the end of the applicable performance period based on actual performance through the end of the performance period, pro-rated for days elapsed prior to the date of termination from the date of grant. In the event of the participant’s death or Disability (as defined in the 2019 EIP), all PSUs that have not vested shall vest at the end of the Performance Period based on actual performance. If a Change in Control (as defined in the 2019 EIP) occurs and the participant experiences a Qualifying Termination (as defined in the CIC Plan), the PSUs will vest based (i) if the Change in Control occurs within 12 months of the Grant Date (as defined in the PSU Award), then at Target Award achievement (as defined in the PSU Award) of the Performance Goals, or (ii) if such Change in Control occurs on or after 12 months following the Grant Date, then at the greater of Target Award achievement or the actual achievement of the Performance Goals through the date of such Change in Control. In addition to the foregoing conditions, the Committee may, in its sole discretion, accelerate vesting of the PSUs at any time and for any reason. Upon a participant’s termination of service for any other reason, all unvested PSUs will be immediately forfeited.</w:t>
      </w:r>
    </w:p>
    <w:p>
      <w:pPr>
        <w:spacing w:after="0" w:line="213" w:lineRule="exact"/>
        <w:rPr>
          <w:sz w:val="20"/>
          <w:szCs w:val="20"/>
          <w:color w:val="auto"/>
        </w:rPr>
      </w:pPr>
    </w:p>
    <w:p>
      <w:pPr>
        <w:ind w:right="100"/>
        <w:spacing w:after="0" w:line="279" w:lineRule="auto"/>
        <w:rPr>
          <w:sz w:val="20"/>
          <w:szCs w:val="20"/>
          <w:color w:val="auto"/>
        </w:rPr>
      </w:pPr>
      <w:r>
        <w:rPr>
          <w:rFonts w:ascii="Times New Roman" w:cs="Times New Roman" w:eastAsia="Times New Roman" w:hAnsi="Times New Roman"/>
          <w:sz w:val="18"/>
          <w:szCs w:val="18"/>
          <w:color w:val="auto"/>
        </w:rPr>
        <w:t>Each of the Award Agreements were used to grant, on January 18, 2023, equity-based awards to Messrs. Saligram, Mitra, Weatherholt, Mongrain and Mills with respect to the following numbers of ordinary shares of the Company per award and may be used for other grants of awards in the future:</w:t>
      </w:r>
    </w:p>
    <w:p>
      <w:pPr>
        <w:spacing w:after="0" w:line="230" w:lineRule="exact"/>
        <w:rPr>
          <w:sz w:val="20"/>
          <w:szCs w:val="20"/>
          <w:color w:val="auto"/>
        </w:rPr>
      </w:pPr>
    </w:p>
    <w:tbl>
      <w:tblPr>
        <w:tblLayout w:type="fixed"/>
        <w:tblInd w:w="2280" w:type="dxa"/>
        <w:tblCellMar>
          <w:top w:w="0" w:type="dxa"/>
          <w:left w:w="0" w:type="dxa"/>
          <w:bottom w:w="0" w:type="dxa"/>
          <w:right w:w="0" w:type="dxa"/>
        </w:tblCellMar>
      </w:tblPr>
      <w:tr>
        <w:trPr>
          <w:trHeight w:val="233"/>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2600" w:type="dxa"/>
            <w:vAlign w:val="bottom"/>
          </w:tcPr>
          <w:p>
            <w:pPr>
              <w:jc w:val="right"/>
              <w:ind w:right="1271"/>
              <w:spacing w:after="0"/>
              <w:rPr>
                <w:sz w:val="20"/>
                <w:szCs w:val="20"/>
                <w:color w:val="auto"/>
              </w:rPr>
            </w:pPr>
            <w:r>
              <w:rPr>
                <w:rFonts w:ascii="Times New Roman" w:cs="Times New Roman" w:eastAsia="Times New Roman" w:hAnsi="Times New Roman"/>
                <w:sz w:val="18"/>
                <w:szCs w:val="18"/>
                <w:color w:val="auto"/>
              </w:rPr>
              <w:t>RSUs</w:t>
            </w:r>
          </w:p>
        </w:tc>
        <w:tc>
          <w:tcPr>
            <w:tcW w:w="1780" w:type="dxa"/>
            <w:vAlign w:val="bottom"/>
          </w:tcPr>
          <w:p>
            <w:pPr>
              <w:jc w:val="right"/>
              <w:ind w:right="831"/>
              <w:spacing w:after="0"/>
              <w:rPr>
                <w:sz w:val="20"/>
                <w:szCs w:val="20"/>
                <w:color w:val="auto"/>
              </w:rPr>
            </w:pPr>
            <w:r>
              <w:rPr>
                <w:rFonts w:ascii="Times New Roman" w:cs="Times New Roman" w:eastAsia="Times New Roman" w:hAnsi="Times New Roman"/>
                <w:sz w:val="18"/>
                <w:szCs w:val="18"/>
                <w:color w:val="auto"/>
              </w:rPr>
              <w:t>PSUs</w:t>
            </w:r>
          </w:p>
        </w:tc>
      </w:tr>
      <w:tr>
        <w:trPr>
          <w:trHeight w:val="228"/>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Girish K. Saligram</w:t>
            </w:r>
          </w:p>
        </w:tc>
        <w:tc>
          <w:tcPr>
            <w:tcW w:w="2600" w:type="dxa"/>
            <w:vAlign w:val="bottom"/>
            <w:shd w:val="clear" w:color="auto" w:fill="CCEEFF"/>
          </w:tcPr>
          <w:p>
            <w:pPr>
              <w:jc w:val="right"/>
              <w:ind w:right="391"/>
              <w:spacing w:after="0"/>
              <w:rPr>
                <w:sz w:val="20"/>
                <w:szCs w:val="20"/>
                <w:color w:val="auto"/>
              </w:rPr>
            </w:pPr>
            <w:r>
              <w:rPr>
                <w:rFonts w:ascii="Times New Roman" w:cs="Times New Roman" w:eastAsia="Times New Roman" w:hAnsi="Times New Roman"/>
                <w:sz w:val="18"/>
                <w:szCs w:val="18"/>
                <w:color w:val="auto"/>
              </w:rPr>
              <w:t>38,586</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90,036</w:t>
            </w:r>
          </w:p>
        </w:tc>
      </w:tr>
      <w:tr>
        <w:trPr>
          <w:trHeight w:val="228"/>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Arunava Mitra</w:t>
            </w:r>
          </w:p>
        </w:tc>
        <w:tc>
          <w:tcPr>
            <w:tcW w:w="2600" w:type="dxa"/>
            <w:vAlign w:val="bottom"/>
          </w:tcPr>
          <w:p>
            <w:pPr>
              <w:jc w:val="right"/>
              <w:ind w:right="391"/>
              <w:spacing w:after="0"/>
              <w:rPr>
                <w:sz w:val="20"/>
                <w:szCs w:val="20"/>
                <w:color w:val="auto"/>
              </w:rPr>
            </w:pPr>
            <w:r>
              <w:rPr>
                <w:rFonts w:ascii="Times New Roman" w:cs="Times New Roman" w:eastAsia="Times New Roman" w:hAnsi="Times New Roman"/>
                <w:sz w:val="18"/>
                <w:szCs w:val="18"/>
                <w:color w:val="auto"/>
              </w:rPr>
              <w:t>12,918</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19,377</w:t>
            </w:r>
          </w:p>
        </w:tc>
      </w:tr>
      <w:tr>
        <w:trPr>
          <w:trHeight w:val="228"/>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Scott C. Weatherholt</w:t>
            </w:r>
          </w:p>
        </w:tc>
        <w:tc>
          <w:tcPr>
            <w:tcW w:w="2600" w:type="dxa"/>
            <w:vAlign w:val="bottom"/>
            <w:shd w:val="clear" w:color="auto" w:fill="CCEEFF"/>
          </w:tcPr>
          <w:p>
            <w:pPr>
              <w:jc w:val="right"/>
              <w:ind w:right="391"/>
              <w:spacing w:after="0"/>
              <w:rPr>
                <w:sz w:val="20"/>
                <w:szCs w:val="20"/>
                <w:color w:val="auto"/>
              </w:rPr>
            </w:pPr>
            <w:r>
              <w:rPr>
                <w:rFonts w:ascii="Times New Roman" w:cs="Times New Roman" w:eastAsia="Times New Roman" w:hAnsi="Times New Roman"/>
                <w:sz w:val="18"/>
                <w:szCs w:val="18"/>
                <w:color w:val="auto"/>
              </w:rPr>
              <w:t>10,625</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15,938</w:t>
            </w:r>
          </w:p>
        </w:tc>
      </w:tr>
      <w:tr>
        <w:trPr>
          <w:trHeight w:val="228"/>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Joseph H. Mongrain</w:t>
            </w:r>
          </w:p>
        </w:tc>
        <w:tc>
          <w:tcPr>
            <w:tcW w:w="2600" w:type="dxa"/>
            <w:vAlign w:val="bottom"/>
          </w:tcPr>
          <w:p>
            <w:pPr>
              <w:jc w:val="right"/>
              <w:ind w:right="391"/>
              <w:spacing w:after="0"/>
              <w:rPr>
                <w:sz w:val="20"/>
                <w:szCs w:val="20"/>
                <w:color w:val="auto"/>
              </w:rPr>
            </w:pPr>
            <w:r>
              <w:rPr>
                <w:rFonts w:ascii="Times New Roman" w:cs="Times New Roman" w:eastAsia="Times New Roman" w:hAnsi="Times New Roman"/>
                <w:sz w:val="18"/>
                <w:szCs w:val="18"/>
                <w:color w:val="auto"/>
              </w:rPr>
              <w:t>4,891</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7,337</w:t>
            </w:r>
          </w:p>
        </w:tc>
      </w:tr>
      <w:tr>
        <w:trPr>
          <w:trHeight w:val="228"/>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Desmond J. Mills</w:t>
            </w:r>
          </w:p>
        </w:tc>
        <w:tc>
          <w:tcPr>
            <w:tcW w:w="2600" w:type="dxa"/>
            <w:vAlign w:val="bottom"/>
            <w:shd w:val="clear" w:color="auto" w:fill="CCEEFF"/>
          </w:tcPr>
          <w:p>
            <w:pPr>
              <w:jc w:val="right"/>
              <w:ind w:right="391"/>
              <w:spacing w:after="0"/>
              <w:rPr>
                <w:sz w:val="20"/>
                <w:szCs w:val="20"/>
                <w:color w:val="auto"/>
              </w:rPr>
            </w:pPr>
            <w:r>
              <w:rPr>
                <w:rFonts w:ascii="Times New Roman" w:cs="Times New Roman" w:eastAsia="Times New Roman" w:hAnsi="Times New Roman"/>
                <w:sz w:val="18"/>
                <w:szCs w:val="18"/>
                <w:color w:val="auto"/>
              </w:rPr>
              <w:t>4,101</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4,101</w:t>
            </w:r>
          </w:p>
        </w:tc>
      </w:tr>
    </w:tbl>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Form RSU Award Agreement - Non-Executive Directors</w:t>
      </w:r>
    </w:p>
    <w:p>
      <w:pPr>
        <w:spacing w:after="0" w:line="25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Awards made under the form RSU award agreement for our non-executive directors(such form, the “Director RSU Award”) fully vest on the first anniversary of the date of grant. If a non-executive director is terminated without Cause, all unvested RSUs will become vested on the Vesting Date (as defined in the Director RSU Award) as if the non-executive director had not been terminated. The RSUs will accelerate and vest if a non-executive director is terminated due to the non-executive director’s death or Disability (as defined in the 2019 EIP) and (ii) if a Change in Control (as defined in the 2019 EIP) occurs. In addition to the foregoing conditions, the Committee (as defined in the 2019 EIP) may, in its sole discretion, accelerate vesting of the RSUs at any time and for any reason. Upon a participant’s termination of service for any other reason, all unvested RSUs will be immediately 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686435</wp:posOffset>
            </wp:positionV>
            <wp:extent cx="71583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3" w:name="page4"/>
    <w:bookmarkEnd w:id="3"/>
    <w:p>
      <w:pPr>
        <w:ind w:right="40"/>
        <w:spacing w:after="0" w:line="279" w:lineRule="auto"/>
        <w:rPr>
          <w:sz w:val="20"/>
          <w:szCs w:val="20"/>
          <w:color w:val="auto"/>
        </w:rPr>
      </w:pPr>
      <w:r>
        <w:rPr>
          <w:rFonts w:ascii="Times New Roman" w:cs="Times New Roman" w:eastAsia="Times New Roman" w:hAnsi="Times New Roman"/>
          <w:sz w:val="18"/>
          <w:szCs w:val="18"/>
          <w:color w:val="auto"/>
        </w:rPr>
        <w:t>The foregoing summary is qualified in its entirety by the 2019 EIP and Award Agreements, and the form of non-executive director award agreement which are filed as Exhibits 10.2, 10.3, 10.4, and 10.5 respectively, to this Form 8-K and incorporated herein by reference.</w:t>
      </w:r>
    </w:p>
    <w:p>
      <w:pPr>
        <w:spacing w:after="0" w:line="200" w:lineRule="exact"/>
        <w:rPr>
          <w:sz w:val="20"/>
          <w:szCs w:val="20"/>
          <w:color w:val="auto"/>
        </w:rPr>
      </w:pPr>
    </w:p>
    <w:p>
      <w:pPr>
        <w:spacing w:after="0" w:line="268" w:lineRule="exact"/>
        <w:rPr>
          <w:sz w:val="20"/>
          <w:szCs w:val="20"/>
          <w:color w:val="auto"/>
        </w:rPr>
      </w:pPr>
    </w:p>
    <w:p>
      <w:pPr>
        <w:ind w:left="20"/>
        <w:spacing w:after="0"/>
        <w:tabs>
          <w:tab w:leader="none" w:pos="162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94" w:lineRule="exact"/>
        <w:rPr>
          <w:sz w:val="20"/>
          <w:szCs w:val="20"/>
          <w:color w:val="auto"/>
        </w:rPr>
      </w:pPr>
    </w:p>
    <w:p>
      <w:pPr>
        <w:ind w:left="1640" w:hanging="979"/>
        <w:spacing w:after="0"/>
        <w:tabs>
          <w:tab w:leader="none" w:pos="1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38" w:lineRule="exact"/>
        <w:rPr>
          <w:sz w:val="20"/>
          <w:szCs w:val="20"/>
          <w:color w:val="auto"/>
        </w:rPr>
      </w:pPr>
    </w:p>
    <w:tbl>
      <w:tblPr>
        <w:tblLayout w:type="fixed"/>
        <w:tblInd w:w="140" w:type="dxa"/>
        <w:tblCellMar>
          <w:top w:w="0" w:type="dxa"/>
          <w:left w:w="0" w:type="dxa"/>
          <w:bottom w:w="0" w:type="dxa"/>
          <w:right w:w="0" w:type="dxa"/>
        </w:tblCellMar>
      </w:tblPr>
      <w:tr>
        <w:trPr>
          <w:trHeight w:val="232"/>
        </w:trPr>
        <w:tc>
          <w:tcPr>
            <w:tcW w:w="1500" w:type="dxa"/>
            <w:vAlign w:val="bottom"/>
          </w:tcPr>
          <w:p>
            <w:pPr>
              <w:jc w:val="center"/>
              <w:ind w:right="171"/>
              <w:spacing w:after="0"/>
              <w:rPr>
                <w:sz w:val="20"/>
                <w:szCs w:val="20"/>
                <w:color w:val="auto"/>
              </w:rPr>
            </w:pPr>
            <w:r>
              <w:rPr>
                <w:rFonts w:ascii="Times New Roman" w:cs="Times New Roman" w:eastAsia="Times New Roman" w:hAnsi="Times New Roman"/>
                <w:sz w:val="18"/>
                <w:szCs w:val="18"/>
                <w:b w:val="1"/>
                <w:bCs w:val="1"/>
                <w:color w:val="auto"/>
                <w:w w:val="98"/>
              </w:rPr>
              <w:t>Exhibit Number</w:t>
            </w:r>
          </w:p>
        </w:tc>
        <w:tc>
          <w:tcPr>
            <w:tcW w:w="53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Exhibit Description</w:t>
            </w:r>
          </w:p>
        </w:tc>
      </w:tr>
      <w:tr>
        <w:trPr>
          <w:trHeight w:val="193"/>
        </w:trPr>
        <w:tc>
          <w:tcPr>
            <w:tcW w:w="1500" w:type="dxa"/>
            <w:vAlign w:val="bottom"/>
          </w:tcPr>
          <w:p>
            <w:pPr>
              <w:jc w:val="center"/>
              <w:ind w:right="171"/>
              <w:spacing w:after="0" w:line="193" w:lineRule="exact"/>
              <w:rPr>
                <w:sz w:val="20"/>
                <w:szCs w:val="20"/>
                <w:color w:val="auto"/>
              </w:rPr>
            </w:pPr>
            <w:r>
              <w:rPr>
                <w:rFonts w:ascii="Times New Roman" w:cs="Times New Roman" w:eastAsia="Times New Roman" w:hAnsi="Times New Roman"/>
                <w:sz w:val="18"/>
                <w:szCs w:val="18"/>
                <w:color w:val="auto"/>
                <w:w w:val="98"/>
              </w:rPr>
              <w:t>*10.1</w:t>
            </w:r>
          </w:p>
        </w:tc>
        <w:tc>
          <w:tcPr>
            <w:tcW w:w="4620" w:type="dxa"/>
            <w:vAlign w:val="bottom"/>
            <w:tcBorders>
              <w:bottom w:val="single" w:sz="8" w:color="0000FF"/>
            </w:tcBorders>
            <w:gridSpan w:val="2"/>
          </w:tcPr>
          <w:p>
            <w:pPr>
              <w:spacing w:after="0" w:line="193" w:lineRule="exact"/>
              <w:rPr>
                <w:sz w:val="20"/>
                <w:szCs w:val="20"/>
                <w:color w:val="auto"/>
              </w:rPr>
            </w:pPr>
            <w:r>
              <w:rPr>
                <w:rFonts w:ascii="Times New Roman" w:cs="Times New Roman" w:eastAsia="Times New Roman" w:hAnsi="Times New Roman"/>
                <w:sz w:val="18"/>
                <w:szCs w:val="18"/>
                <w:color w:val="0000FF"/>
                <w:w w:val="99"/>
              </w:rPr>
              <w:t>Third Amended and Restated Change in Control Severance Plan</w:t>
            </w:r>
          </w:p>
        </w:tc>
        <w:tc>
          <w:tcPr>
            <w:tcW w:w="680" w:type="dxa"/>
            <w:vAlign w:val="bottom"/>
            <w:gridSpan w:val="3"/>
          </w:tcPr>
          <w:p>
            <w:pPr>
              <w:spacing w:after="0"/>
              <w:rPr>
                <w:sz w:val="16"/>
                <w:szCs w:val="16"/>
                <w:color w:val="auto"/>
              </w:rPr>
            </w:pPr>
          </w:p>
        </w:tc>
      </w:tr>
      <w:tr>
        <w:trPr>
          <w:trHeight w:val="208"/>
        </w:trPr>
        <w:tc>
          <w:tcPr>
            <w:tcW w:w="1500" w:type="dxa"/>
            <w:vAlign w:val="bottom"/>
          </w:tcPr>
          <w:p>
            <w:pPr>
              <w:jc w:val="center"/>
              <w:ind w:right="171"/>
              <w:spacing w:after="0"/>
              <w:rPr>
                <w:sz w:val="20"/>
                <w:szCs w:val="20"/>
                <w:color w:val="auto"/>
              </w:rPr>
            </w:pPr>
            <w:r>
              <w:rPr>
                <w:rFonts w:ascii="Times New Roman" w:cs="Times New Roman" w:eastAsia="Times New Roman" w:hAnsi="Times New Roman"/>
                <w:sz w:val="18"/>
                <w:szCs w:val="18"/>
                <w:color w:val="auto"/>
                <w:w w:val="98"/>
              </w:rPr>
              <w:t>*10.2</w:t>
            </w:r>
          </w:p>
        </w:tc>
        <w:tc>
          <w:tcPr>
            <w:tcW w:w="53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Third Amended and Restated 2019 Equity Incentive Plan</w:t>
            </w:r>
          </w:p>
        </w:tc>
      </w:tr>
      <w:tr>
        <w:trPr>
          <w:trHeight w:val="20"/>
        </w:trPr>
        <w:tc>
          <w:tcPr>
            <w:tcW w:w="1500" w:type="dxa"/>
            <w:vAlign w:val="bottom"/>
          </w:tcPr>
          <w:p>
            <w:pPr>
              <w:spacing w:after="0" w:line="20" w:lineRule="exact"/>
              <w:rPr>
                <w:sz w:val="1"/>
                <w:szCs w:val="1"/>
                <w:color w:val="auto"/>
              </w:rPr>
            </w:pPr>
          </w:p>
        </w:tc>
        <w:tc>
          <w:tcPr>
            <w:tcW w:w="4100" w:type="dxa"/>
            <w:vAlign w:val="bottom"/>
            <w:shd w:val="clear" w:color="auto" w:fill="0000FF"/>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08"/>
        </w:trPr>
        <w:tc>
          <w:tcPr>
            <w:tcW w:w="1500" w:type="dxa"/>
            <w:vAlign w:val="bottom"/>
          </w:tcPr>
          <w:p>
            <w:pPr>
              <w:jc w:val="center"/>
              <w:ind w:right="171"/>
              <w:spacing w:after="0"/>
              <w:rPr>
                <w:sz w:val="20"/>
                <w:szCs w:val="20"/>
                <w:color w:val="auto"/>
              </w:rPr>
            </w:pPr>
            <w:r>
              <w:rPr>
                <w:rFonts w:ascii="Times New Roman" w:cs="Times New Roman" w:eastAsia="Times New Roman" w:hAnsi="Times New Roman"/>
                <w:sz w:val="18"/>
                <w:szCs w:val="18"/>
                <w:color w:val="auto"/>
                <w:w w:val="98"/>
              </w:rPr>
              <w:t>*10.3</w:t>
            </w:r>
          </w:p>
        </w:tc>
        <w:tc>
          <w:tcPr>
            <w:tcW w:w="53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Form of Executive Officer Restricted Share Unit Award Agreement</w:t>
            </w:r>
          </w:p>
        </w:tc>
      </w:tr>
      <w:tr>
        <w:trPr>
          <w:trHeight w:val="20"/>
        </w:trPr>
        <w:tc>
          <w:tcPr>
            <w:tcW w:w="1500" w:type="dxa"/>
            <w:vAlign w:val="bottom"/>
          </w:tcPr>
          <w:p>
            <w:pPr>
              <w:spacing w:after="0" w:line="20" w:lineRule="exact"/>
              <w:rPr>
                <w:sz w:val="1"/>
                <w:szCs w:val="1"/>
                <w:color w:val="auto"/>
              </w:rPr>
            </w:pPr>
          </w:p>
        </w:tc>
        <w:tc>
          <w:tcPr>
            <w:tcW w:w="4840" w:type="dxa"/>
            <w:vAlign w:val="bottom"/>
            <w:gridSpan w:val="3"/>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08"/>
        </w:trPr>
        <w:tc>
          <w:tcPr>
            <w:tcW w:w="1500" w:type="dxa"/>
            <w:vAlign w:val="bottom"/>
          </w:tcPr>
          <w:p>
            <w:pPr>
              <w:jc w:val="center"/>
              <w:ind w:right="171"/>
              <w:spacing w:after="0"/>
              <w:rPr>
                <w:sz w:val="20"/>
                <w:szCs w:val="20"/>
                <w:color w:val="auto"/>
              </w:rPr>
            </w:pPr>
            <w:r>
              <w:rPr>
                <w:rFonts w:ascii="Times New Roman" w:cs="Times New Roman" w:eastAsia="Times New Roman" w:hAnsi="Times New Roman"/>
                <w:sz w:val="18"/>
                <w:szCs w:val="18"/>
                <w:color w:val="auto"/>
                <w:w w:val="98"/>
              </w:rPr>
              <w:t>*10.4</w:t>
            </w:r>
          </w:p>
        </w:tc>
        <w:tc>
          <w:tcPr>
            <w:tcW w:w="50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Form of Executive Officer Performance Share Unit Award Agreement</w:t>
            </w:r>
          </w:p>
        </w:tc>
        <w:tc>
          <w:tcPr>
            <w:tcW w:w="260" w:type="dxa"/>
            <w:vAlign w:val="bottom"/>
          </w:tcPr>
          <w:p>
            <w:pPr>
              <w:spacing w:after="0"/>
              <w:rPr>
                <w:sz w:val="18"/>
                <w:szCs w:val="18"/>
                <w:color w:val="auto"/>
              </w:rPr>
            </w:pPr>
          </w:p>
        </w:tc>
      </w:tr>
      <w:tr>
        <w:trPr>
          <w:trHeight w:val="208"/>
        </w:trPr>
        <w:tc>
          <w:tcPr>
            <w:tcW w:w="1500" w:type="dxa"/>
            <w:vAlign w:val="bottom"/>
          </w:tcPr>
          <w:p>
            <w:pPr>
              <w:jc w:val="center"/>
              <w:ind w:right="171"/>
              <w:spacing w:after="0"/>
              <w:rPr>
                <w:sz w:val="20"/>
                <w:szCs w:val="20"/>
                <w:color w:val="auto"/>
              </w:rPr>
            </w:pPr>
            <w:r>
              <w:rPr>
                <w:rFonts w:ascii="Times New Roman" w:cs="Times New Roman" w:eastAsia="Times New Roman" w:hAnsi="Times New Roman"/>
                <w:sz w:val="18"/>
                <w:szCs w:val="18"/>
                <w:color w:val="auto"/>
                <w:w w:val="98"/>
              </w:rPr>
              <w:t>*10.5</w:t>
            </w:r>
          </w:p>
        </w:tc>
        <w:tc>
          <w:tcPr>
            <w:tcW w:w="53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Form of Non-Executive Director Restricted Share Unit Award Agreement</w:t>
            </w:r>
          </w:p>
        </w:tc>
      </w:tr>
    </w:tbl>
    <w:p>
      <w:pPr>
        <w:spacing w:after="0" w:line="22" w:lineRule="exact"/>
        <w:rPr>
          <w:sz w:val="20"/>
          <w:szCs w:val="20"/>
          <w:color w:val="auto"/>
        </w:rPr>
      </w:pPr>
    </w:p>
    <w:p>
      <w:pPr>
        <w:ind w:left="420" w:right="1520" w:firstLine="211"/>
        <w:spacing w:after="0" w:line="372" w:lineRule="auto"/>
        <w:tabs>
          <w:tab w:leader="none" w:pos="1659"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 * Management contract or compensatory plan or arrangement</w:t>
      </w:r>
    </w:p>
    <w:p>
      <w:pPr>
        <w:spacing w:after="0" w:line="200" w:lineRule="exact"/>
        <w:rPr>
          <w:sz w:val="20"/>
          <w:szCs w:val="20"/>
          <w:color w:val="auto"/>
        </w:rPr>
      </w:pPr>
    </w:p>
    <w:p>
      <w:pPr>
        <w:spacing w:after="0" w:line="38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3"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2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b w:val="1"/>
          <w:bCs w:val="1"/>
          <w:color w:val="auto"/>
        </w:rPr>
        <w:t>Weatherford International plc</w:t>
      </w:r>
    </w:p>
    <w:p>
      <w:pPr>
        <w:spacing w:after="0" w:line="3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Date: January 23, 2023</w:t>
      </w:r>
    </w:p>
    <w:p>
      <w:pPr>
        <w:spacing w:after="0" w:line="21"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8"/>
          <w:szCs w:val="18"/>
          <w:color w:val="auto"/>
        </w:rPr>
        <w:t>/s/ Scott C. Weatherholt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3396615</wp:posOffset>
            </wp:positionH>
            <wp:positionV relativeFrom="paragraph">
              <wp:posOffset>13335</wp:posOffset>
            </wp:positionV>
            <wp:extent cx="38042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804285" cy="8255"/>
                    </a:xfrm>
                    <a:prstGeom prst="rect">
                      <a:avLst/>
                    </a:prstGeom>
                    <a:noFill/>
                  </pic:spPr>
                </pic:pic>
              </a:graphicData>
            </a:graphic>
          </wp:anchor>
        </w:drawing>
      </w:r>
    </w:p>
    <w:p>
      <w:pPr>
        <w:spacing w:after="0" w:line="9"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color w:val="auto"/>
        </w:rPr>
        <w:t>Scott C. Weatherholt</w:t>
      </w:r>
    </w:p>
    <w:p>
      <w:pPr>
        <w:spacing w:after="0" w:line="22" w:lineRule="exact"/>
        <w:rPr>
          <w:sz w:val="20"/>
          <w:szCs w:val="20"/>
          <w:color w:val="auto"/>
        </w:rPr>
      </w:pPr>
    </w:p>
    <w:p>
      <w:pPr>
        <w:jc w:val="center"/>
        <w:ind w:left="5500"/>
        <w:spacing w:after="0"/>
        <w:rPr>
          <w:sz w:val="20"/>
          <w:szCs w:val="20"/>
          <w:color w:val="auto"/>
        </w:rPr>
      </w:pPr>
      <w:r>
        <w:rPr>
          <w:rFonts w:ascii="Times New Roman" w:cs="Times New Roman" w:eastAsia="Times New Roman" w:hAnsi="Times New Roman"/>
          <w:sz w:val="18"/>
          <w:szCs w:val="18"/>
          <w:color w:val="auto"/>
        </w:rPr>
        <w:t>Executive Vice President, General Counsel,</w:t>
      </w:r>
    </w:p>
    <w:p>
      <w:pPr>
        <w:jc w:val="center"/>
        <w:ind w:left="5500"/>
        <w:spacing w:after="0"/>
        <w:rPr>
          <w:sz w:val="20"/>
          <w:szCs w:val="20"/>
          <w:color w:val="auto"/>
        </w:rPr>
      </w:pPr>
      <w:r>
        <w:rPr>
          <w:rFonts w:ascii="Times New Roman" w:cs="Times New Roman" w:eastAsia="Times New Roman" w:hAnsi="Times New Roman"/>
          <w:sz w:val="18"/>
          <w:szCs w:val="18"/>
          <w:color w:val="auto"/>
        </w:rPr>
        <w:t>and Chief Compliance Officer</w:t>
      </w:r>
    </w:p>
    <w:p>
      <w:pPr>
        <w:sectPr>
          <w:pgSz w:w="11900" w:h="16838" w:orient="portrait"/>
          <w:cols w:equalWidth="0" w:num="1">
            <w:col w:w="11140"/>
          </w:cols>
          <w:pgMar w:left="320" w:top="886" w:right="4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1"/>
          <w:szCs w:val="21"/>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3</w:t>
      </w:r>
      <w:r>
        <w:rPr>
          <w:rFonts w:ascii="Times New Roman" w:cs="Times New Roman" w:eastAsia="Times New Roman" w:hAnsi="Times New Roman"/>
          <w:sz w:val="27"/>
          <w:szCs w:val="27"/>
          <w:b w:val="1"/>
          <w:bCs w:val="1"/>
          <w:color w:val="auto"/>
          <w:vertAlign w:val="superscript"/>
        </w:rPr>
        <w:t>RD</w:t>
      </w:r>
      <w:r>
        <w:rPr>
          <w:rFonts w:ascii="Times New Roman" w:cs="Times New Roman" w:eastAsia="Times New Roman" w:hAnsi="Times New Roman"/>
          <w:sz w:val="21"/>
          <w:szCs w:val="21"/>
          <w:b w:val="1"/>
          <w:bCs w:val="1"/>
          <w:color w:val="auto"/>
        </w:rPr>
        <w:t xml:space="preserve"> AMENDED &amp; RESTATED</w:t>
      </w:r>
    </w:p>
    <w:p>
      <w:pPr>
        <w:jc w:val="center"/>
        <w:spacing w:after="0" w:line="213" w:lineRule="auto"/>
        <w:rPr>
          <w:sz w:val="20"/>
          <w:szCs w:val="20"/>
          <w:color w:val="auto"/>
        </w:rPr>
      </w:pPr>
      <w:r>
        <w:rPr>
          <w:rFonts w:ascii="Times New Roman" w:cs="Times New Roman" w:eastAsia="Times New Roman" w:hAnsi="Times New Roman"/>
          <w:sz w:val="21"/>
          <w:szCs w:val="21"/>
          <w:b w:val="1"/>
          <w:bCs w:val="1"/>
          <w:color w:val="auto"/>
        </w:rPr>
        <w:t>WEATHERFORD INTERNATIONAL PLC</w:t>
      </w:r>
    </w:p>
    <w:p>
      <w:pPr>
        <w:jc w:val="center"/>
        <w:spacing w:after="0"/>
        <w:rPr>
          <w:sz w:val="20"/>
          <w:szCs w:val="20"/>
          <w:color w:val="auto"/>
        </w:rPr>
      </w:pPr>
      <w:r>
        <w:rPr>
          <w:rFonts w:ascii="Times New Roman" w:cs="Times New Roman" w:eastAsia="Times New Roman" w:hAnsi="Times New Roman"/>
          <w:sz w:val="21"/>
          <w:szCs w:val="21"/>
          <w:b w:val="1"/>
          <w:bCs w:val="1"/>
          <w:color w:val="auto"/>
        </w:rPr>
        <w:t>CHANGE IN CONTROL SEVERANCE PLAN</w:t>
      </w:r>
    </w:p>
    <w:p>
      <w:pPr>
        <w:spacing w:after="0" w:line="160" w:lineRule="exact"/>
        <w:rPr>
          <w:sz w:val="20"/>
          <w:szCs w:val="20"/>
          <w:color w:val="auto"/>
        </w:rPr>
      </w:pPr>
    </w:p>
    <w:p>
      <w:pPr>
        <w:ind w:right="520" w:firstLine="1288"/>
        <w:spacing w:after="0" w:line="255"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Weatherford International plc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considers it essential to the best interests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Company and its stockholders to foster the continued employment of its executives;</w:t>
      </w:r>
    </w:p>
    <w:p>
      <w:pPr>
        <w:spacing w:after="0" w:line="131" w:lineRule="exact"/>
        <w:rPr>
          <w:sz w:val="20"/>
          <w:szCs w:val="20"/>
          <w:color w:val="auto"/>
        </w:rPr>
      </w:pPr>
    </w:p>
    <w:p>
      <w:pPr>
        <w:ind w:right="340" w:firstLine="1288"/>
        <w:spacing w:after="0" w:line="230" w:lineRule="auto"/>
        <w:rPr>
          <w:sz w:val="20"/>
          <w:szCs w:val="20"/>
          <w:color w:val="auto"/>
        </w:rPr>
      </w:pPr>
      <w:r>
        <w:rPr>
          <w:rFonts w:ascii="Times New Roman" w:cs="Times New Roman" w:eastAsia="Times New Roman" w:hAnsi="Times New Roman"/>
          <w:sz w:val="21"/>
          <w:szCs w:val="21"/>
          <w:b w:val="1"/>
          <w:bCs w:val="1"/>
          <w:color w:val="auto"/>
        </w:rPr>
        <w:t xml:space="preserve">WHEREAS </w:t>
      </w:r>
      <w:r>
        <w:rPr>
          <w:rFonts w:ascii="Times New Roman" w:cs="Times New Roman" w:eastAsia="Times New Roman" w:hAnsi="Times New Roman"/>
          <w:sz w:val="21"/>
          <w:szCs w:val="21"/>
          <w:color w:val="auto"/>
        </w:rPr>
        <w:t>, the Board of Directors of the Company (the “</w:t>
      </w:r>
      <w:r>
        <w:rPr>
          <w:rFonts w:ascii="Times New Roman" w:cs="Times New Roman" w:eastAsia="Times New Roman" w:hAnsi="Times New Roman"/>
          <w:sz w:val="21"/>
          <w:szCs w:val="21"/>
          <w:b w:val="1"/>
          <w:bCs w:val="1"/>
          <w:color w:val="auto"/>
        </w:rPr>
        <w:t>Board</w:t>
      </w:r>
      <w:r>
        <w:rPr>
          <w:rFonts w:ascii="Times New Roman" w:cs="Times New Roman" w:eastAsia="Times New Roman" w:hAnsi="Times New Roman"/>
          <w:sz w:val="21"/>
          <w:szCs w:val="21"/>
          <w:color w:val="auto"/>
        </w:rPr>
        <w:t>”) has determined to adopt this Weatherford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International plc Change in Control Severance Plan (this “</w:t>
      </w:r>
      <w:r>
        <w:rPr>
          <w:rFonts w:ascii="Times New Roman" w:cs="Times New Roman" w:eastAsia="Times New Roman" w:hAnsi="Times New Roman"/>
          <w:sz w:val="21"/>
          <w:szCs w:val="21"/>
          <w:b w:val="1"/>
          <w:bCs w:val="1"/>
          <w:color w:val="auto"/>
        </w:rPr>
        <w:t>Plan</w:t>
      </w:r>
      <w:r>
        <w:rPr>
          <w:rFonts w:ascii="Times New Roman" w:cs="Times New Roman" w:eastAsia="Times New Roman" w:hAnsi="Times New Roman"/>
          <w:sz w:val="21"/>
          <w:szCs w:val="21"/>
          <w:color w:val="auto"/>
        </w:rPr>
        <w:t>”) to reinforce and encourage the continued attention and dedication of the Company’s executives to their assigned duties without distraction in the face of the possibility of a Change in Control;</w:t>
      </w:r>
    </w:p>
    <w:p>
      <w:pPr>
        <w:spacing w:after="0" w:line="148" w:lineRule="exact"/>
        <w:rPr>
          <w:sz w:val="20"/>
          <w:szCs w:val="20"/>
          <w:color w:val="auto"/>
        </w:rPr>
      </w:pPr>
    </w:p>
    <w:p>
      <w:pPr>
        <w:jc w:val="both"/>
        <w:ind w:right="300" w:firstLine="1288"/>
        <w:spacing w:after="0" w:line="255" w:lineRule="auto"/>
        <w:rPr>
          <w:sz w:val="20"/>
          <w:szCs w:val="20"/>
          <w:color w:val="auto"/>
        </w:rPr>
      </w:pPr>
      <w:r>
        <w:rPr>
          <w:rFonts w:ascii="Times New Roman" w:cs="Times New Roman" w:eastAsia="Times New Roman" w:hAnsi="Times New Roman"/>
          <w:sz w:val="21"/>
          <w:szCs w:val="21"/>
          <w:b w:val="1"/>
          <w:bCs w:val="1"/>
          <w:color w:val="auto"/>
        </w:rPr>
        <w:t xml:space="preserve">WHEREAS, </w:t>
      </w:r>
      <w:r>
        <w:rPr>
          <w:rFonts w:ascii="Times New Roman" w:cs="Times New Roman" w:eastAsia="Times New Roman" w:hAnsi="Times New Roman"/>
          <w:sz w:val="21"/>
          <w:szCs w:val="21"/>
          <w:color w:val="auto"/>
        </w:rPr>
        <w:t>the Board adopted this Plan as of November 17, 2020, as later amended and restated on March 17,</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2021, November 1, 2021, and November 30, 2022; and</w:t>
      </w:r>
    </w:p>
    <w:p>
      <w:pPr>
        <w:spacing w:after="0" w:line="131" w:lineRule="exact"/>
        <w:rPr>
          <w:sz w:val="20"/>
          <w:szCs w:val="20"/>
          <w:color w:val="auto"/>
        </w:rPr>
      </w:pPr>
    </w:p>
    <w:p>
      <w:pPr>
        <w:jc w:val="both"/>
        <w:ind w:right="280" w:firstLine="1288"/>
        <w:spacing w:after="0" w:line="236"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following the Board’s enactment of the Plan, the Board delegated the administration of the Plan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Compensation &amp; Human Resources Committee of the Board (the “</w:t>
      </w:r>
      <w:r>
        <w:rPr>
          <w:rFonts w:ascii="Times New Roman" w:cs="Times New Roman" w:eastAsia="Times New Roman" w:hAnsi="Times New Roman"/>
          <w:sz w:val="21"/>
          <w:szCs w:val="21"/>
          <w:b w:val="1"/>
          <w:bCs w:val="1"/>
          <w:color w:val="auto"/>
        </w:rPr>
        <w:t>Committee</w:t>
      </w:r>
      <w:r>
        <w:rPr>
          <w:rFonts w:ascii="Times New Roman" w:cs="Times New Roman" w:eastAsia="Times New Roman" w:hAnsi="Times New Roman"/>
          <w:sz w:val="21"/>
          <w:szCs w:val="21"/>
          <w:color w:val="auto"/>
        </w:rPr>
        <w:t>”), and the Committee reviewed the Plan and the Participants thereunder and desires to amend the Plan as reflected below.</w:t>
      </w:r>
    </w:p>
    <w:p>
      <w:pPr>
        <w:spacing w:after="0" w:line="147" w:lineRule="exact"/>
        <w:rPr>
          <w:sz w:val="20"/>
          <w:szCs w:val="20"/>
          <w:color w:val="auto"/>
        </w:rPr>
      </w:pPr>
    </w:p>
    <w:p>
      <w:pPr>
        <w:ind w:right="180" w:firstLine="1288"/>
        <w:spacing w:after="0" w:line="236" w:lineRule="auto"/>
        <w:rPr>
          <w:sz w:val="20"/>
          <w:szCs w:val="20"/>
          <w:color w:val="auto"/>
        </w:rPr>
      </w:pPr>
      <w:r>
        <w:rPr>
          <w:rFonts w:ascii="Times New Roman" w:cs="Times New Roman" w:eastAsia="Times New Roman" w:hAnsi="Times New Roman"/>
          <w:sz w:val="21"/>
          <w:szCs w:val="21"/>
          <w:b w:val="1"/>
          <w:bCs w:val="1"/>
          <w:color w:val="auto"/>
        </w:rPr>
        <w:t>NOW, THEREFORE, BE IT RESOLVED</w:t>
      </w:r>
      <w:r>
        <w:rPr>
          <w:rFonts w:ascii="Times New Roman" w:cs="Times New Roman" w:eastAsia="Times New Roman" w:hAnsi="Times New Roman"/>
          <w:sz w:val="21"/>
          <w:szCs w:val="21"/>
          <w:color w:val="auto"/>
        </w:rPr>
        <w:t>, that the Committee does hereby amend and restate the Plan as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provided below effective as of January 18, 2023 (the “</w:t>
      </w:r>
      <w:r>
        <w:rPr>
          <w:rFonts w:ascii="Times New Roman" w:cs="Times New Roman" w:eastAsia="Times New Roman" w:hAnsi="Times New Roman"/>
          <w:sz w:val="21"/>
          <w:szCs w:val="21"/>
          <w:b w:val="1"/>
          <w:bCs w:val="1"/>
          <w:color w:val="auto"/>
        </w:rPr>
        <w:t>Effective Date</w:t>
      </w:r>
      <w:r>
        <w:rPr>
          <w:rFonts w:ascii="Times New Roman" w:cs="Times New Roman" w:eastAsia="Times New Roman" w:hAnsi="Times New Roman"/>
          <w:sz w:val="21"/>
          <w:szCs w:val="21"/>
          <w:color w:val="auto"/>
        </w:rPr>
        <w:t>”) for the benefit of the Company’s executives on the terms and conditions hereinafter stated.</w:t>
      </w:r>
    </w:p>
    <w:p>
      <w:pPr>
        <w:spacing w:after="0" w:line="147" w:lineRule="exact"/>
        <w:rPr>
          <w:sz w:val="20"/>
          <w:szCs w:val="20"/>
          <w:color w:val="auto"/>
        </w:rPr>
      </w:pPr>
    </w:p>
    <w:p>
      <w:pPr>
        <w:ind w:left="1300"/>
        <w:spacing w:after="0"/>
        <w:tabs>
          <w:tab w:leader="none" w:pos="2560" w:val="left"/>
        </w:tabs>
        <w:rPr>
          <w:sz w:val="20"/>
          <w:szCs w:val="20"/>
          <w:color w:val="auto"/>
        </w:rPr>
      </w:pPr>
      <w:r>
        <w:rPr>
          <w:rFonts w:ascii="Times New Roman" w:cs="Times New Roman" w:eastAsia="Times New Roman" w:hAnsi="Times New Roman"/>
          <w:sz w:val="21"/>
          <w:szCs w:val="21"/>
          <w:color w:val="auto"/>
        </w:rPr>
        <w:t>Section 1.</w:t>
      </w:r>
      <w:r>
        <w:rPr>
          <w:sz w:val="20"/>
          <w:szCs w:val="20"/>
          <w:color w:val="auto"/>
        </w:rPr>
        <w:tab/>
      </w:r>
      <w:r>
        <w:rPr>
          <w:rFonts w:ascii="Times New Roman" w:cs="Times New Roman" w:eastAsia="Times New Roman" w:hAnsi="Times New Roman"/>
          <w:sz w:val="21"/>
          <w:szCs w:val="21"/>
          <w:i w:val="1"/>
          <w:iCs w:val="1"/>
          <w:color w:val="auto"/>
        </w:rPr>
        <w:t>Definitions</w:t>
      </w:r>
      <w:r>
        <w:rPr>
          <w:rFonts w:ascii="Times New Roman" w:cs="Times New Roman" w:eastAsia="Times New Roman" w:hAnsi="Times New Roman"/>
          <w:sz w:val="21"/>
          <w:szCs w:val="21"/>
          <w:color w:val="auto"/>
        </w:rPr>
        <w:t>. As hereinafter used:</w:t>
      </w:r>
    </w:p>
    <w:p>
      <w:pPr>
        <w:spacing w:after="0" w:line="18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AAA</w:t>
      </w:r>
      <w:r>
        <w:rPr>
          <w:rFonts w:ascii="Times New Roman" w:cs="Times New Roman" w:eastAsia="Times New Roman" w:hAnsi="Times New Roman"/>
          <w:sz w:val="21"/>
          <w:szCs w:val="21"/>
          <w:color w:val="auto"/>
        </w:rPr>
        <w:t xml:space="preserve">” shall have the meaning set forth in </w:t>
      </w:r>
      <w:r>
        <w:rPr>
          <w:rFonts w:ascii="Times New Roman" w:cs="Times New Roman" w:eastAsia="Times New Roman" w:hAnsi="Times New Roman"/>
          <w:sz w:val="21"/>
          <w:szCs w:val="21"/>
          <w:u w:val="single" w:color="auto"/>
          <w:color w:val="auto"/>
        </w:rPr>
        <w:t>Section 5</w:t>
      </w:r>
      <w:r>
        <w:rPr>
          <w:rFonts w:ascii="Times New Roman" w:cs="Times New Roman" w:eastAsia="Times New Roman" w:hAnsi="Times New Roman"/>
          <w:sz w:val="21"/>
          <w:szCs w:val="21"/>
          <w:color w:val="auto"/>
        </w:rPr>
        <w:t xml:space="preserve"> hereof.</w:t>
      </w:r>
    </w:p>
    <w:p>
      <w:pPr>
        <w:spacing w:after="0" w:line="188" w:lineRule="exact"/>
        <w:rPr>
          <w:sz w:val="20"/>
          <w:szCs w:val="20"/>
          <w:color w:val="auto"/>
        </w:rPr>
      </w:pPr>
    </w:p>
    <w:p>
      <w:pPr>
        <w:ind w:right="340" w:firstLine="1288"/>
        <w:spacing w:after="0" w:line="23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Accrued Obligations</w:t>
      </w:r>
      <w:r>
        <w:rPr>
          <w:rFonts w:ascii="Times New Roman" w:cs="Times New Roman" w:eastAsia="Times New Roman" w:hAnsi="Times New Roman"/>
          <w:sz w:val="21"/>
          <w:szCs w:val="21"/>
          <w:color w:val="auto"/>
        </w:rPr>
        <w:t>” shall mean the sum of (i) the Participant’s Base Salary through the Employment Termination Date for periods through but not following his or her Employment Termination Date and (ii) any accrued vacation pay earned by the Participant, in each case, to the extent not theretofore paid.</w:t>
      </w:r>
    </w:p>
    <w:p>
      <w:pPr>
        <w:spacing w:after="0" w:line="14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Affiliate</w:t>
      </w:r>
      <w:r>
        <w:rPr>
          <w:rFonts w:ascii="Times New Roman" w:cs="Times New Roman" w:eastAsia="Times New Roman" w:hAnsi="Times New Roman"/>
          <w:sz w:val="21"/>
          <w:szCs w:val="21"/>
          <w:color w:val="auto"/>
        </w:rPr>
        <w:t>” shall have the meaning set forth in Rule 12b-2 of the Exchange Act.</w:t>
      </w:r>
    </w:p>
    <w:p>
      <w:pPr>
        <w:spacing w:after="0" w:line="188" w:lineRule="exact"/>
        <w:rPr>
          <w:sz w:val="20"/>
          <w:szCs w:val="20"/>
          <w:color w:val="auto"/>
        </w:rPr>
      </w:pPr>
    </w:p>
    <w:p>
      <w:pPr>
        <w:ind w:right="1040" w:firstLine="1288"/>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Annual Bonus</w:t>
      </w:r>
      <w:r>
        <w:rPr>
          <w:rFonts w:ascii="Times New Roman" w:cs="Times New Roman" w:eastAsia="Times New Roman" w:hAnsi="Times New Roman"/>
          <w:sz w:val="21"/>
          <w:szCs w:val="21"/>
          <w:color w:val="auto"/>
        </w:rPr>
        <w:t>” shall mean the Participant’s annual bonus under the then-current non-equity incentive compensation plan of the Company and any of its Affiliates.</w:t>
      </w:r>
    </w:p>
    <w:p>
      <w:pPr>
        <w:spacing w:after="0" w:line="131" w:lineRule="exact"/>
        <w:rPr>
          <w:sz w:val="20"/>
          <w:szCs w:val="20"/>
          <w:color w:val="auto"/>
        </w:rPr>
      </w:pPr>
    </w:p>
    <w:p>
      <w:pPr>
        <w:ind w:right="60" w:firstLine="1288"/>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Applicable Multiple</w:t>
      </w:r>
      <w:r>
        <w:rPr>
          <w:rFonts w:ascii="Times New Roman" w:cs="Times New Roman" w:eastAsia="Times New Roman" w:hAnsi="Times New Roman"/>
          <w:sz w:val="21"/>
          <w:szCs w:val="21"/>
          <w:color w:val="auto"/>
        </w:rPr>
        <w:t>” shall mean (i) two and one half times for the Chief Executive Officer, (ii) two times for the Executive Vice Presidents of the Company and (iii) one and one half times for other Participants.</w:t>
      </w:r>
    </w:p>
    <w:p>
      <w:pPr>
        <w:spacing w:after="0" w:line="131" w:lineRule="exact"/>
        <w:rPr>
          <w:sz w:val="20"/>
          <w:szCs w:val="20"/>
          <w:color w:val="auto"/>
        </w:rPr>
      </w:pPr>
    </w:p>
    <w:p>
      <w:pPr>
        <w:ind w:right="340" w:firstLine="1288"/>
        <w:spacing w:after="0" w:line="23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Base Salary</w:t>
      </w:r>
      <w:r>
        <w:rPr>
          <w:rFonts w:ascii="Times New Roman" w:cs="Times New Roman" w:eastAsia="Times New Roman" w:hAnsi="Times New Roman"/>
          <w:sz w:val="21"/>
          <w:szCs w:val="21"/>
          <w:color w:val="auto"/>
        </w:rPr>
        <w:t>” shall mean the annual base salary paid by the Company or any of its Affiliates to the Participant, including any portion thereof that such Participant could have received in cash in lieu of any elective deferrals, but excluding amounts received under any non-equity incentive or other bonus plan.</w:t>
      </w:r>
    </w:p>
    <w:p>
      <w:pPr>
        <w:spacing w:after="0" w:line="14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Beneficial Owner</w:t>
      </w:r>
      <w:r>
        <w:rPr>
          <w:rFonts w:ascii="Times New Roman" w:cs="Times New Roman" w:eastAsia="Times New Roman" w:hAnsi="Times New Roman"/>
          <w:sz w:val="21"/>
          <w:szCs w:val="21"/>
          <w:color w:val="auto"/>
        </w:rPr>
        <w:t>” shall have the meaning set forth in Rule 13d-3 of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w:t>
      </w:r>
    </w:p>
    <w:p>
      <w:pPr>
        <w:sectPr>
          <w:pgSz w:w="11900" w:h="16838" w:orient="portrait"/>
          <w:cols w:equalWidth="0" w:num="1">
            <w:col w:w="11240"/>
          </w:cols>
          <w:pgMar w:left="320" w:top="96" w:right="339" w:bottom="1440" w:gutter="0" w:footer="0" w:header="0"/>
        </w:sectPr>
      </w:pPr>
    </w:p>
    <w:bookmarkStart w:id="5" w:name="page6"/>
    <w:bookmarkEnd w:id="5"/>
    <w:p>
      <w:pPr>
        <w:ind w:right="20" w:firstLine="1288"/>
        <w:spacing w:after="0" w:line="23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Benefit Obligations</w:t>
      </w:r>
      <w:r>
        <w:rPr>
          <w:rFonts w:ascii="Times New Roman" w:cs="Times New Roman" w:eastAsia="Times New Roman" w:hAnsi="Times New Roman"/>
          <w:sz w:val="21"/>
          <w:szCs w:val="21"/>
          <w:color w:val="auto"/>
        </w:rPr>
        <w:t>” shall mean all benefits to which the Participant (or his or her designated beneficiary or legal representative, as applicable) is entitled or vested (or becomes entitled or vested as a result of termination) under the terms of all Benefit Plans in which the Participant is a participant as of the Participant’s termination of employment and to the extent not theretofore paid or provided.</w:t>
      </w:r>
    </w:p>
    <w:p>
      <w:pPr>
        <w:spacing w:after="0" w:line="148" w:lineRule="exact"/>
        <w:rPr>
          <w:sz w:val="20"/>
          <w:szCs w:val="20"/>
          <w:color w:val="auto"/>
        </w:rPr>
      </w:pPr>
    </w:p>
    <w:p>
      <w:pPr>
        <w:ind w:right="300" w:firstLine="1288"/>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Benefit Plans</w:t>
      </w:r>
      <w:r>
        <w:rPr>
          <w:rFonts w:ascii="Times New Roman" w:cs="Times New Roman" w:eastAsia="Times New Roman" w:hAnsi="Times New Roman"/>
          <w:sz w:val="21"/>
          <w:szCs w:val="21"/>
          <w:color w:val="auto"/>
        </w:rPr>
        <w:t>” shall mean all employee benefit and compensation plans, agreements, arrangements, programs, policies, practices, contracts or agreement of the Company and its Affiliates</w:t>
      </w:r>
    </w:p>
    <w:p>
      <w:pPr>
        <w:spacing w:after="0" w:line="13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Board</w:t>
      </w:r>
      <w:r>
        <w:rPr>
          <w:rFonts w:ascii="Times New Roman" w:cs="Times New Roman" w:eastAsia="Times New Roman" w:hAnsi="Times New Roman"/>
          <w:sz w:val="21"/>
          <w:szCs w:val="21"/>
          <w:color w:val="auto"/>
        </w:rPr>
        <w:t>” shall have the meaning set forth in the recitals.</w:t>
      </w:r>
    </w:p>
    <w:p>
      <w:pPr>
        <w:spacing w:after="0" w:line="18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Cause</w:t>
      </w:r>
      <w:r>
        <w:rPr>
          <w:rFonts w:ascii="Times New Roman" w:cs="Times New Roman" w:eastAsia="Times New Roman" w:hAnsi="Times New Roman"/>
          <w:sz w:val="21"/>
          <w:szCs w:val="21"/>
          <w:color w:val="auto"/>
        </w:rPr>
        <w:t>” shall mean the occurrence of any of the following:</w:t>
      </w:r>
    </w:p>
    <w:p>
      <w:pPr>
        <w:spacing w:after="0" w:line="192" w:lineRule="exact"/>
        <w:rPr>
          <w:sz w:val="20"/>
          <w:szCs w:val="20"/>
          <w:color w:val="auto"/>
        </w:rPr>
      </w:pPr>
    </w:p>
    <w:p>
      <w:pPr>
        <w:ind w:right="120" w:firstLine="1296"/>
        <w:spacing w:after="0" w:line="226" w:lineRule="auto"/>
        <w:tabs>
          <w:tab w:leader="none" w:pos="192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willful and continued failure of the Participant to substantially perform the Participant’s duties with the Company (other than any such failure resulting from incapacity due to physical or mental illness), after a written demand for substantial performance is delivered to the Participant by the Company that specifically identifies the manner in which the Participant has not substantially performed the Participant’s duties, and after the Participant fails to take the corrective action(s) identified by the Company within 30 days of delivery to Participant of such written demand;</w:t>
      </w:r>
    </w:p>
    <w:p>
      <w:pPr>
        <w:spacing w:after="0" w:line="151" w:lineRule="exact"/>
        <w:rPr>
          <w:rFonts w:ascii="Times New Roman" w:cs="Times New Roman" w:eastAsia="Times New Roman" w:hAnsi="Times New Roman"/>
          <w:sz w:val="21"/>
          <w:szCs w:val="21"/>
          <w:color w:val="auto"/>
        </w:rPr>
      </w:pPr>
    </w:p>
    <w:p>
      <w:pPr>
        <w:ind w:left="1940" w:hanging="644"/>
        <w:spacing w:after="0"/>
        <w:tabs>
          <w:tab w:leader="none" w:pos="194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Participant willfully engaging in illegal conduct;</w:t>
      </w:r>
    </w:p>
    <w:p>
      <w:pPr>
        <w:spacing w:after="0" w:line="187" w:lineRule="exact"/>
        <w:rPr>
          <w:rFonts w:ascii="Times New Roman" w:cs="Times New Roman" w:eastAsia="Times New Roman" w:hAnsi="Times New Roman"/>
          <w:sz w:val="21"/>
          <w:szCs w:val="21"/>
          <w:color w:val="auto"/>
        </w:rPr>
      </w:pPr>
    </w:p>
    <w:p>
      <w:pPr>
        <w:ind w:right="60" w:firstLine="1296"/>
        <w:spacing w:after="0" w:line="251" w:lineRule="auto"/>
        <w:tabs>
          <w:tab w:leader="none" w:pos="1932"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Participant willfully engaging in gross misconduct that results or could reasonably be expected to result in harm to the Company’s or any of its Affiliates’ business or reputation;</w:t>
      </w:r>
    </w:p>
    <w:p>
      <w:pPr>
        <w:spacing w:after="0" w:line="139" w:lineRule="exact"/>
        <w:rPr>
          <w:rFonts w:ascii="Times New Roman" w:cs="Times New Roman" w:eastAsia="Times New Roman" w:hAnsi="Times New Roman"/>
          <w:sz w:val="21"/>
          <w:szCs w:val="21"/>
          <w:color w:val="auto"/>
        </w:rPr>
      </w:pPr>
    </w:p>
    <w:p>
      <w:pPr>
        <w:jc w:val="both"/>
        <w:ind w:right="120" w:firstLine="1296"/>
        <w:spacing w:after="0" w:line="234" w:lineRule="auto"/>
        <w:tabs>
          <w:tab w:leader="none" w:pos="192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Participant’s material breach of any written agreements with or material policies of the Company or its Affiliates, including, but not limited to, those relating to discrimination, harassment, performance of illegal or unethical activities and ethical misconduct; or</w:t>
      </w:r>
    </w:p>
    <w:p>
      <w:pPr>
        <w:spacing w:after="0" w:line="149" w:lineRule="exact"/>
        <w:rPr>
          <w:rFonts w:ascii="Times New Roman" w:cs="Times New Roman" w:eastAsia="Times New Roman" w:hAnsi="Times New Roman"/>
          <w:sz w:val="21"/>
          <w:szCs w:val="21"/>
          <w:color w:val="auto"/>
        </w:rPr>
      </w:pPr>
    </w:p>
    <w:p>
      <w:pPr>
        <w:ind w:left="1940" w:hanging="644"/>
        <w:spacing w:after="0"/>
        <w:tabs>
          <w:tab w:leader="none" w:pos="194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Participant’s violation of any fiduciary duty or duty of loyalty owed to the Company or any of its</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Affiliates.</w:t>
      </w:r>
    </w:p>
    <w:p>
      <w:pPr>
        <w:spacing w:after="0" w:line="160" w:lineRule="exact"/>
        <w:rPr>
          <w:sz w:val="20"/>
          <w:szCs w:val="20"/>
          <w:color w:val="auto"/>
        </w:rPr>
      </w:pPr>
    </w:p>
    <w:p>
      <w:pPr>
        <w:ind w:right="120"/>
        <w:spacing w:after="0" w:line="236" w:lineRule="auto"/>
        <w:rPr>
          <w:sz w:val="20"/>
          <w:szCs w:val="20"/>
          <w:color w:val="auto"/>
        </w:rPr>
      </w:pPr>
      <w:r>
        <w:rPr>
          <w:rFonts w:ascii="Times New Roman" w:cs="Times New Roman" w:eastAsia="Times New Roman" w:hAnsi="Times New Roman"/>
          <w:sz w:val="21"/>
          <w:szCs w:val="21"/>
          <w:color w:val="auto"/>
        </w:rPr>
        <w:t>No act, or failure to act, on the part of the Participant shall be considered “</w:t>
      </w:r>
      <w:r>
        <w:rPr>
          <w:rFonts w:ascii="Times New Roman" w:cs="Times New Roman" w:eastAsia="Times New Roman" w:hAnsi="Times New Roman"/>
          <w:sz w:val="21"/>
          <w:szCs w:val="21"/>
          <w:b w:val="1"/>
          <w:bCs w:val="1"/>
          <w:color w:val="auto"/>
        </w:rPr>
        <w:t>willful</w:t>
      </w:r>
      <w:r>
        <w:rPr>
          <w:rFonts w:ascii="Times New Roman" w:cs="Times New Roman" w:eastAsia="Times New Roman" w:hAnsi="Times New Roman"/>
          <w:sz w:val="21"/>
          <w:szCs w:val="21"/>
          <w:color w:val="auto"/>
        </w:rPr>
        <w:t>” unless it is done, or omitted to be done, by the Participant in bad faith or without reasonable belief that the Participant’s action or omission was in the best interests of the Company.</w:t>
      </w:r>
    </w:p>
    <w:p>
      <w:pPr>
        <w:spacing w:after="0" w:line="147" w:lineRule="exact"/>
        <w:rPr>
          <w:sz w:val="20"/>
          <w:szCs w:val="20"/>
          <w:color w:val="auto"/>
        </w:rPr>
      </w:pPr>
    </w:p>
    <w:p>
      <w:pPr>
        <w:ind w:right="900" w:firstLine="1288"/>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Change in Control</w:t>
      </w:r>
      <w:r>
        <w:rPr>
          <w:rFonts w:ascii="Times New Roman" w:cs="Times New Roman" w:eastAsia="Times New Roman" w:hAnsi="Times New Roman"/>
          <w:sz w:val="21"/>
          <w:szCs w:val="21"/>
          <w:color w:val="auto"/>
        </w:rPr>
        <w:t>” shall be deemed to have occurred if any event set forth in any one of the following paragraphs shall have occurred:</w:t>
      </w:r>
    </w:p>
    <w:p>
      <w:pPr>
        <w:spacing w:after="0" w:line="135" w:lineRule="exact"/>
        <w:rPr>
          <w:sz w:val="20"/>
          <w:szCs w:val="20"/>
          <w:color w:val="auto"/>
        </w:rPr>
      </w:pPr>
    </w:p>
    <w:p>
      <w:pPr>
        <w:ind w:firstLine="1296"/>
        <w:spacing w:after="0" w:line="226" w:lineRule="auto"/>
        <w:tabs>
          <w:tab w:leader="none" w:pos="1920"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Person is or becomes the Beneficial Owner, directly or indirectly, of 50% or more of either (A) the then outstanding ordinary shares of the Company (the “</w:t>
      </w:r>
      <w:r>
        <w:rPr>
          <w:rFonts w:ascii="Times New Roman" w:cs="Times New Roman" w:eastAsia="Times New Roman" w:hAnsi="Times New Roman"/>
          <w:sz w:val="21"/>
          <w:szCs w:val="21"/>
          <w:b w:val="1"/>
          <w:bCs w:val="1"/>
          <w:color w:val="auto"/>
        </w:rPr>
        <w:t>Outstanding Ordinary Shares</w:t>
      </w:r>
      <w:r>
        <w:rPr>
          <w:rFonts w:ascii="Times New Roman" w:cs="Times New Roman" w:eastAsia="Times New Roman" w:hAnsi="Times New Roman"/>
          <w:sz w:val="21"/>
          <w:szCs w:val="21"/>
          <w:color w:val="auto"/>
        </w:rPr>
        <w:t>”) or (B) the combined voting power of the then outstanding voting securities of the Company entitled to vote generally in the election of directors (the “</w:t>
      </w:r>
      <w:r>
        <w:rPr>
          <w:rFonts w:ascii="Times New Roman" w:cs="Times New Roman" w:eastAsia="Times New Roman" w:hAnsi="Times New Roman"/>
          <w:sz w:val="21"/>
          <w:szCs w:val="21"/>
          <w:b w:val="1"/>
          <w:bCs w:val="1"/>
          <w:color w:val="auto"/>
        </w:rPr>
        <w:t>Outstanding Voting</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Securities</w:t>
      </w:r>
      <w:r>
        <w:rPr>
          <w:rFonts w:ascii="Times New Roman" w:cs="Times New Roman" w:eastAsia="Times New Roman" w:hAnsi="Times New Roman"/>
          <w:sz w:val="21"/>
          <w:szCs w:val="21"/>
          <w:color w:val="auto"/>
        </w:rPr>
        <w:t>”), excluding any Specified Holder or any Person who becomes such a Beneficial Owner in connection with 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transaction that complies with clauses (A), (B) and (C) of paragraph (iii) below;</w:t>
      </w:r>
    </w:p>
    <w:p>
      <w:pPr>
        <w:spacing w:after="0" w:line="147" w:lineRule="exact"/>
        <w:rPr>
          <w:rFonts w:ascii="Times New Roman" w:cs="Times New Roman" w:eastAsia="Times New Roman" w:hAnsi="Times New Roman"/>
          <w:sz w:val="21"/>
          <w:szCs w:val="21"/>
          <w:color w:val="auto"/>
        </w:rPr>
      </w:pPr>
    </w:p>
    <w:p>
      <w:pPr>
        <w:ind w:right="100" w:firstLine="1296"/>
        <w:spacing w:after="0" w:line="236" w:lineRule="auto"/>
        <w:tabs>
          <w:tab w:leader="none" w:pos="1926"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individuals, who, as of the Effective Date, constitute the Board (the “</w:t>
      </w:r>
      <w:r>
        <w:rPr>
          <w:rFonts w:ascii="Times New Roman" w:cs="Times New Roman" w:eastAsia="Times New Roman" w:hAnsi="Times New Roman"/>
          <w:sz w:val="21"/>
          <w:szCs w:val="21"/>
          <w:b w:val="1"/>
          <w:bCs w:val="1"/>
          <w:color w:val="auto"/>
        </w:rPr>
        <w:t>Incumbent Board</w:t>
      </w:r>
      <w:r>
        <w:rPr>
          <w:rFonts w:ascii="Times New Roman" w:cs="Times New Roman" w:eastAsia="Times New Roman" w:hAnsi="Times New Roman"/>
          <w:sz w:val="21"/>
          <w:szCs w:val="21"/>
          <w:color w:val="auto"/>
        </w:rPr>
        <w:t xml:space="preserve">”) cease for any reason to constitute at least a majority of the Board;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any individual becoming a director subsequent to the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20"/>
          </w:cols>
          <w:pgMar w:left="320" w:top="1383" w:right="359" w:bottom="1440" w:gutter="0" w:footer="0" w:header="0"/>
        </w:sectPr>
      </w:pPr>
    </w:p>
    <w:bookmarkStart w:id="6" w:name="page7"/>
    <w:bookmarkEnd w:id="6"/>
    <w:p>
      <w:pPr>
        <w:ind w:right="160"/>
        <w:spacing w:after="0" w:line="226" w:lineRule="auto"/>
        <w:rPr>
          <w:sz w:val="20"/>
          <w:szCs w:val="20"/>
          <w:color w:val="auto"/>
        </w:rPr>
      </w:pPr>
      <w:r>
        <w:rPr>
          <w:rFonts w:ascii="Times New Roman" w:cs="Times New Roman" w:eastAsia="Times New Roman" w:hAnsi="Times New Roman"/>
          <w:sz w:val="21"/>
          <w:szCs w:val="21"/>
          <w:color w:val="auto"/>
        </w:rPr>
        <w:t>whose election, or nomination for election by the Company’s shareholders, was approved by a vote of at least 2/3rds of the Incumbent Board shall be considered as though such individual was a member of the Incumbent Board, but excluding, for this purpose, any such individual whose initial assumption of office occurs as a result of an actual or threatened election contest with respect to the election or removal of directors or any other actual or threatened solicitation of proxies or consents by or on behalf of a Person other than the Board; or</w:t>
      </w:r>
    </w:p>
    <w:p>
      <w:pPr>
        <w:spacing w:after="0" w:line="151" w:lineRule="exact"/>
        <w:rPr>
          <w:sz w:val="20"/>
          <w:szCs w:val="20"/>
          <w:color w:val="auto"/>
        </w:rPr>
      </w:pPr>
    </w:p>
    <w:p>
      <w:pPr>
        <w:ind w:right="80" w:firstLine="1296"/>
        <w:spacing w:after="0" w:line="216" w:lineRule="auto"/>
        <w:tabs>
          <w:tab w:leader="none" w:pos="1932"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consummation of an acquisition, reorganization, reincorporation, redomestication, merger, amalgamation, consolidation, plan or scheme of arrangement, exchange offer, business combination or similar transaction of the Company or any of its subsidiaries or the sale, transfer or other disposition of all or substantially all of the Company’s assets (any of which, a “</w:t>
      </w:r>
      <w:r>
        <w:rPr>
          <w:rFonts w:ascii="Times New Roman" w:cs="Times New Roman" w:eastAsia="Times New Roman" w:hAnsi="Times New Roman"/>
          <w:sz w:val="21"/>
          <w:szCs w:val="21"/>
          <w:b w:val="1"/>
          <w:bCs w:val="1"/>
          <w:color w:val="auto"/>
        </w:rPr>
        <w:t>Corporate Transaction</w:t>
      </w:r>
      <w:r>
        <w:rPr>
          <w:rFonts w:ascii="Times New Roman" w:cs="Times New Roman" w:eastAsia="Times New Roman" w:hAnsi="Times New Roman"/>
          <w:sz w:val="21"/>
          <w:szCs w:val="21"/>
          <w:color w:val="auto"/>
        </w:rPr>
        <w:t>”), unless, following such Corporate Transaction or series of related Corporate Transactions, as the case may be, (A) all of the individuals and entities who were the Beneficial Owners, respectively, of the Outstanding Ordinary Shares and Outstanding Voting Securities immediately prior to such Corporate Transaction own or beneficially own, directly or indirectly, more than 50% of, respectively, the Outstanding Ordinary Shares and the combined voting power of the Outstanding Voting Securities entitled to vote generally in the election of directors (or other governing body), as the case may be, of the entity resulting from such Corporate Transaction (including, without limitation, an entity (including any new parent entity) which as a result of such transaction owns the Company or all or substantially all of the Company’s assets either directly or through one or more subsidiaries or entities) in substantially the same proportions as their ownership, immediately prior to such Corporate Transaction, of the Outstanding Ordinary Shares and the Outstanding Voting Securities, as the case may be, (B) no Person (excluding any Specified Holder, any entity resulting from such Corporate Transaction or any employee benefit plan (or related trust) of the Company or such entity resulting from such Corporate Transaction) beneficially owns, directly or indirectly, 50% or more of, respectively, the then outstanding common shares of the entity resulting from such Corporate Transaction or the combined voting power of the then outstanding voting securities of such entity except to the extent that such ownership existed prior to the Corporate Transaction and (C) at least a majority of the members of the board of directors (or other governing body) of the entity resulting from such Corporate Transaction were members of the Incumbent Board at the time of the approval of such Corporate Transaction</w:t>
      </w:r>
      <w:r>
        <w:rPr>
          <w:rFonts w:ascii="Times New Roman" w:cs="Times New Roman" w:eastAsia="Times New Roman" w:hAnsi="Times New Roman"/>
          <w:sz w:val="19"/>
          <w:szCs w:val="19"/>
          <w:color w:val="auto"/>
        </w:rPr>
        <w:t>.</w:t>
      </w:r>
    </w:p>
    <w:p>
      <w:pPr>
        <w:spacing w:after="0" w:line="165" w:lineRule="exact"/>
        <w:rPr>
          <w:sz w:val="20"/>
          <w:szCs w:val="20"/>
          <w:color w:val="auto"/>
        </w:rPr>
      </w:pPr>
    </w:p>
    <w:p>
      <w:pPr>
        <w:ind w:right="3160"/>
        <w:spacing w:after="0" w:line="225" w:lineRule="auto"/>
        <w:rPr>
          <w:sz w:val="20"/>
          <w:szCs w:val="20"/>
          <w:color w:val="auto"/>
        </w:rPr>
      </w:pPr>
      <w:r>
        <w:rPr>
          <w:rFonts w:ascii="Times New Roman" w:cs="Times New Roman" w:eastAsia="Times New Roman" w:hAnsi="Times New Roman"/>
          <w:sz w:val="21"/>
          <w:szCs w:val="21"/>
          <w:color w:val="auto"/>
        </w:rPr>
        <w:t>Notwithstanding the foregoing, no Change in Control shall be deemed to have occurred (1) in connection with a bankruptcy pursuant to Chapter 7 or Chapter 11 of the United States</w:t>
      </w:r>
    </w:p>
    <w:p>
      <w:pPr>
        <w:spacing w:after="0" w:line="1" w:lineRule="exact"/>
        <w:rPr>
          <w:sz w:val="20"/>
          <w:szCs w:val="20"/>
          <w:color w:val="auto"/>
        </w:rPr>
      </w:pPr>
    </w:p>
    <w:p>
      <w:pPr>
        <w:spacing w:after="0" w:line="218" w:lineRule="auto"/>
        <w:rPr>
          <w:sz w:val="20"/>
          <w:szCs w:val="20"/>
          <w:color w:val="auto"/>
        </w:rPr>
      </w:pPr>
      <w:r>
        <w:rPr>
          <w:rFonts w:ascii="Times New Roman" w:cs="Times New Roman" w:eastAsia="Times New Roman" w:hAnsi="Times New Roman"/>
          <w:sz w:val="21"/>
          <w:szCs w:val="21"/>
          <w:color w:val="auto"/>
        </w:rPr>
        <w:t>Bankruptcy Code or upon consummation of a Restructuring, (2) if it is effected solely for the purpose of changing the place of incorporation or formation, tax residency or form of organization of the ultimate parent entity of the Company and its Affiliates (including where the Company is succeeded by an entity incorporated under the laws of another state, country or foreign government for such purpose and whether or not the Company remains in existence following such transaction) or (3) where all or substantially all of the Person(s) who are the Beneficial Owners of the combined voting power of the Outstanding Voting Securities immediately prior to such transaction will beneficially own, directly or indirectly, all or substantially all of the combined voting power of the Outstanding Voting Securities of the ultimate parent entity resulting from such transaction in substantially the same proportions as their ownership, immediately prior to such transaction, of such securities of the Company.</w:t>
      </w:r>
    </w:p>
    <w:p>
      <w:pPr>
        <w:spacing w:after="0" w:line="17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Code</w:t>
      </w:r>
      <w:r>
        <w:rPr>
          <w:rFonts w:ascii="Times New Roman" w:cs="Times New Roman" w:eastAsia="Times New Roman" w:hAnsi="Times New Roman"/>
          <w:sz w:val="21"/>
          <w:szCs w:val="21"/>
          <w:color w:val="auto"/>
        </w:rPr>
        <w:t>” shall mean the Internal Revenue Code of 1986, as amended.</w:t>
      </w:r>
    </w:p>
    <w:p>
      <w:pPr>
        <w:spacing w:after="0" w:line="18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Committee</w:t>
      </w:r>
      <w:r>
        <w:rPr>
          <w:rFonts w:ascii="Times New Roman" w:cs="Times New Roman" w:eastAsia="Times New Roman" w:hAnsi="Times New Roman"/>
          <w:sz w:val="21"/>
          <w:szCs w:val="21"/>
          <w:color w:val="auto"/>
        </w:rPr>
        <w:t>” shall have the meaning set forth in the recitals.</w:t>
      </w:r>
    </w:p>
    <w:p>
      <w:pPr>
        <w:spacing w:after="0" w:line="188" w:lineRule="exact"/>
        <w:rPr>
          <w:sz w:val="20"/>
          <w:szCs w:val="20"/>
          <w:color w:val="auto"/>
        </w:rPr>
      </w:pPr>
    </w:p>
    <w:p>
      <w:pPr>
        <w:ind w:right="440" w:firstLine="1288"/>
        <w:spacing w:after="0" w:line="23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shall have the meaning set forth in the recitals, and shall include (i) any successor to Weatherford International plc (or any successor to it), including but not limited to any entity into which Weatherford International plc is merged, consolidated or amalgamated,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20"/>
          </w:cols>
          <w:pgMar w:left="320" w:top="1387" w:right="359" w:bottom="1440" w:gutter="0" w:footer="0" w:header="0"/>
        </w:sectPr>
      </w:pPr>
    </w:p>
    <w:bookmarkStart w:id="7" w:name="page8"/>
    <w:bookmarkEnd w:id="7"/>
    <w:p>
      <w:pPr>
        <w:ind w:right="140"/>
        <w:spacing w:after="0" w:line="234" w:lineRule="auto"/>
        <w:rPr>
          <w:sz w:val="20"/>
          <w:szCs w:val="20"/>
          <w:color w:val="auto"/>
        </w:rPr>
      </w:pPr>
      <w:r>
        <w:rPr>
          <w:rFonts w:ascii="Times New Roman" w:cs="Times New Roman" w:eastAsia="Times New Roman" w:hAnsi="Times New Roman"/>
          <w:sz w:val="21"/>
          <w:szCs w:val="21"/>
          <w:color w:val="auto"/>
        </w:rPr>
        <w:t>or any entity otherwise resulting from a Corporate Transaction and (ii) except in determining whether a Change in Control has occurred under this Plan, any Affiliate of the Company, as applicable, to the extent the Participant is employed by or seconded to any such Affiliate or any entity to which the Company may assign this Plan in accordance 9.3.</w:t>
      </w:r>
    </w:p>
    <w:p>
      <w:pPr>
        <w:spacing w:after="0" w:line="1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Corporate Transaction</w:t>
      </w:r>
      <w:r>
        <w:rPr>
          <w:rFonts w:ascii="Times New Roman" w:cs="Times New Roman" w:eastAsia="Times New Roman" w:hAnsi="Times New Roman"/>
          <w:sz w:val="21"/>
          <w:szCs w:val="21"/>
          <w:color w:val="auto"/>
        </w:rPr>
        <w:t>” shall have the meaning set forth in paragraph (iii) of the definition of Change in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Control.</w:t>
      </w:r>
    </w:p>
    <w:p>
      <w:pPr>
        <w:spacing w:after="0" w:line="16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Effective Date</w:t>
      </w:r>
      <w:r>
        <w:rPr>
          <w:rFonts w:ascii="Times New Roman" w:cs="Times New Roman" w:eastAsia="Times New Roman" w:hAnsi="Times New Roman"/>
          <w:sz w:val="21"/>
          <w:szCs w:val="21"/>
          <w:color w:val="auto"/>
        </w:rPr>
        <w:t>” shall have the meaning set forth in the recitals.</w:t>
      </w:r>
    </w:p>
    <w:p>
      <w:pPr>
        <w:spacing w:after="0" w:line="188" w:lineRule="exact"/>
        <w:rPr>
          <w:sz w:val="20"/>
          <w:szCs w:val="20"/>
          <w:color w:val="auto"/>
        </w:rPr>
      </w:pPr>
    </w:p>
    <w:p>
      <w:pPr>
        <w:ind w:right="440" w:firstLine="1288"/>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Employment Termination Date</w:t>
      </w:r>
      <w:r>
        <w:rPr>
          <w:rFonts w:ascii="Times New Roman" w:cs="Times New Roman" w:eastAsia="Times New Roman" w:hAnsi="Times New Roman"/>
          <w:sz w:val="21"/>
          <w:szCs w:val="21"/>
          <w:color w:val="auto"/>
        </w:rPr>
        <w:t>” shall mean the date on which a Participant has a “separation from service” from the Company within the meaning of Section 409A of the Code.</w:t>
      </w:r>
    </w:p>
    <w:p>
      <w:pPr>
        <w:spacing w:after="0" w:line="13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Exchange Act</w:t>
      </w:r>
      <w:r>
        <w:rPr>
          <w:rFonts w:ascii="Times New Roman" w:cs="Times New Roman" w:eastAsia="Times New Roman" w:hAnsi="Times New Roman"/>
          <w:sz w:val="21"/>
          <w:szCs w:val="21"/>
          <w:color w:val="auto"/>
        </w:rPr>
        <w:t>” shall mean the Securities Exchange Act of 1934, as amended.</w:t>
      </w:r>
    </w:p>
    <w:p>
      <w:pPr>
        <w:spacing w:after="0" w:line="188" w:lineRule="exact"/>
        <w:rPr>
          <w:sz w:val="20"/>
          <w:szCs w:val="20"/>
          <w:color w:val="auto"/>
        </w:rPr>
      </w:pPr>
    </w:p>
    <w:p>
      <w:pPr>
        <w:ind w:right="100" w:firstLine="1288"/>
        <w:spacing w:after="0" w:line="23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Executive</w:t>
      </w:r>
      <w:r>
        <w:rPr>
          <w:rFonts w:ascii="Times New Roman" w:cs="Times New Roman" w:eastAsia="Times New Roman" w:hAnsi="Times New Roman"/>
          <w:sz w:val="21"/>
          <w:szCs w:val="21"/>
          <w:color w:val="auto"/>
        </w:rPr>
        <w:t>” means an employee of the Company who has been designated as eligible to participate in the Plan by the Committee from time to time. For the avoidance of doubt, the Committee shall have the authority to designate additional employees as eligible to participate in the Plan and remove employees from being eligible to participate in the Plan in its sole discretion.</w:t>
      </w:r>
    </w:p>
    <w:p>
      <w:pPr>
        <w:spacing w:after="0" w:line="14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Existing Obligations</w:t>
      </w:r>
      <w:r>
        <w:rPr>
          <w:rFonts w:ascii="Times New Roman" w:cs="Times New Roman" w:eastAsia="Times New Roman" w:hAnsi="Times New Roman"/>
          <w:sz w:val="21"/>
          <w:szCs w:val="21"/>
          <w:color w:val="auto"/>
        </w:rPr>
        <w:t>” shall have the meaning set forth in the definition of Restructuring.</w:t>
      </w:r>
    </w:p>
    <w:p>
      <w:pPr>
        <w:spacing w:after="0" w:line="18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Good Reason</w:t>
      </w:r>
      <w:r>
        <w:rPr>
          <w:rFonts w:ascii="Times New Roman" w:cs="Times New Roman" w:eastAsia="Times New Roman" w:hAnsi="Times New Roman"/>
          <w:sz w:val="21"/>
          <w:szCs w:val="21"/>
          <w:color w:val="auto"/>
        </w:rPr>
        <w:t>” shall mean the occurrence of any of the following without the express written consent of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Participant:</w:t>
      </w:r>
    </w:p>
    <w:p>
      <w:pPr>
        <w:spacing w:after="0" w:line="164" w:lineRule="exact"/>
        <w:rPr>
          <w:sz w:val="20"/>
          <w:szCs w:val="20"/>
          <w:color w:val="auto"/>
        </w:rPr>
      </w:pPr>
    </w:p>
    <w:p>
      <w:pPr>
        <w:ind w:right="80" w:firstLine="1296"/>
        <w:spacing w:after="0" w:line="238" w:lineRule="auto"/>
        <w:tabs>
          <w:tab w:leader="none" w:pos="1920"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assignment of the Participant to duties materially inconsistent with the Participant’s authorities, duties and responsibilities (including, without limitation, titles and reporting requirements) as an employee of the Company or any of its Affiliates (including, without limitation, any material adverse change in the Participant’s reporting relationship to the extent the Participant is an Executive Vice President or above) from those in effect on the date immediately preceding the Change in Control; for the avoidance of doubt, a material adverse change in the Participant’s authorities, duties and responsibilities shall occur if the Company (or its successor) ceases to be publicly-traded or otherwise becomes a privately held company; provided further, a material adverse change in the Participant’s reporting relationship shall occur for the Chief Executive Officer if such Participant ceases to report to the Board and for any Executive Vice President of the Company if such participant ceases to report to the Chief Executive Officer, and for any other Participant if such Participant ceases to report to a peer of their prior reporting relationship; provided further, however, any Participant who is a Senior Vice President (or lesser office) who previously reported directly to the Chief Executive Officer and later reports to an Executive Vice President shall not have Good Reason within the terms of this Plan;</w:t>
      </w:r>
    </w:p>
    <w:p>
      <w:pPr>
        <w:spacing w:after="0" w:line="157" w:lineRule="exact"/>
        <w:rPr>
          <w:rFonts w:ascii="Times New Roman" w:cs="Times New Roman" w:eastAsia="Times New Roman" w:hAnsi="Times New Roman"/>
          <w:sz w:val="21"/>
          <w:szCs w:val="21"/>
          <w:color w:val="auto"/>
        </w:rPr>
      </w:pPr>
    </w:p>
    <w:p>
      <w:pPr>
        <w:ind w:firstLine="1296"/>
        <w:spacing w:after="0" w:line="226" w:lineRule="auto"/>
        <w:tabs>
          <w:tab w:leader="none" w:pos="1928"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material reduction in the Participant’s Total Annual Target Direct Compensation, as established by the Committee (for the case of the CEO or Executive Vice Presidents) or by the Company (for the case of Senior Vice Presidents), from the levels in place on the date immediately preceding the Change in Control, except if such reduction is part of a cost reduction initiative that applies to and affects all executive officers of the Company and/or all executive officers of any Person that controls the Company equally and proportionately;</w:t>
      </w:r>
    </w:p>
    <w:p>
      <w:pPr>
        <w:spacing w:after="0" w:line="151" w:lineRule="exact"/>
        <w:rPr>
          <w:rFonts w:ascii="Times New Roman" w:cs="Times New Roman" w:eastAsia="Times New Roman" w:hAnsi="Times New Roman"/>
          <w:sz w:val="21"/>
          <w:szCs w:val="21"/>
          <w:color w:val="auto"/>
        </w:rPr>
      </w:pPr>
    </w:p>
    <w:p>
      <w:pPr>
        <w:ind w:firstLine="1296"/>
        <w:spacing w:after="0" w:line="234" w:lineRule="auto"/>
        <w:tabs>
          <w:tab w:leader="none" w:pos="1920"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Participants who have a principal office located at the Company’s Houston, Texas headquarters location, the relocation of the Participant’s principal office to an area more than 50 miles from its location immediately prior to such relocation;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220"/>
          </w:cols>
          <w:pgMar w:left="320" w:top="1387" w:right="359" w:bottom="1440" w:gutter="0" w:footer="0" w:header="0"/>
        </w:sectPr>
      </w:pPr>
    </w:p>
    <w:bookmarkStart w:id="8" w:name="page9"/>
    <w:bookmarkEnd w:id="8"/>
    <w:p>
      <w:pPr>
        <w:ind w:right="60" w:firstLine="1296"/>
        <w:spacing w:after="0" w:line="251" w:lineRule="auto"/>
        <w:tabs>
          <w:tab w:leader="none" w:pos="1926"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failure by the Company to comply with and satisfy </w:t>
      </w:r>
      <w:r>
        <w:rPr>
          <w:rFonts w:ascii="Times New Roman" w:cs="Times New Roman" w:eastAsia="Times New Roman" w:hAnsi="Times New Roman"/>
          <w:sz w:val="21"/>
          <w:szCs w:val="21"/>
          <w:u w:val="single" w:color="auto"/>
          <w:color w:val="auto"/>
        </w:rPr>
        <w:t>Section 4.1</w:t>
      </w:r>
      <w:r>
        <w:rPr>
          <w:rFonts w:ascii="Times New Roman" w:cs="Times New Roman" w:eastAsia="Times New Roman" w:hAnsi="Times New Roman"/>
          <w:sz w:val="21"/>
          <w:szCs w:val="21"/>
          <w:color w:val="auto"/>
        </w:rPr>
        <w:t xml:space="preserve"> (regarding assumption of this Plan by a successor or assign); or</w:t>
      </w:r>
    </w:p>
    <w:p>
      <w:pPr>
        <w:spacing w:after="0" w:line="136" w:lineRule="exact"/>
        <w:rPr>
          <w:rFonts w:ascii="Times New Roman" w:cs="Times New Roman" w:eastAsia="Times New Roman" w:hAnsi="Times New Roman"/>
          <w:sz w:val="21"/>
          <w:szCs w:val="21"/>
          <w:color w:val="auto"/>
        </w:rPr>
      </w:pPr>
    </w:p>
    <w:p>
      <w:pPr>
        <w:ind w:left="1940" w:hanging="644"/>
        <w:spacing w:after="0"/>
        <w:tabs>
          <w:tab w:leader="none" w:pos="1940"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Participant ceasing to be a Participant under the Plan as a result of an amendment to the Plan by the</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Board;</w:t>
      </w:r>
    </w:p>
    <w:p>
      <w:pPr>
        <w:spacing w:after="0" w:line="160" w:lineRule="exact"/>
        <w:rPr>
          <w:sz w:val="20"/>
          <w:szCs w:val="20"/>
          <w:color w:val="auto"/>
        </w:rPr>
      </w:pPr>
    </w:p>
    <w:p>
      <w:pPr>
        <w:ind w:right="20"/>
        <w:spacing w:after="0" w:line="227" w:lineRule="auto"/>
        <w:rPr>
          <w:sz w:val="20"/>
          <w:szCs w:val="20"/>
          <w:color w:val="auto"/>
        </w:rPr>
      </w:pP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 xml:space="preserve"> however</w:t>
      </w:r>
      <w:r>
        <w:rPr>
          <w:rFonts w:ascii="Times New Roman" w:cs="Times New Roman" w:eastAsia="Times New Roman" w:hAnsi="Times New Roman"/>
          <w:sz w:val="21"/>
          <w:szCs w:val="21"/>
          <w:color w:val="auto"/>
        </w:rPr>
        <w:t>, that no such event described in paragraph (i) through (v) above shall constitute “Good Reason” unless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Participant provides the Company with notice of Good Reason setting forth the event that the Participant believes in good faith constitutes Good Reason within 45 days following the Participant’s knowledge of such event; </w:t>
      </w:r>
      <w:r>
        <w:rPr>
          <w:rFonts w:ascii="Times New Roman" w:cs="Times New Roman" w:eastAsia="Times New Roman" w:hAnsi="Times New Roman"/>
          <w:sz w:val="21"/>
          <w:szCs w:val="21"/>
          <w:i w:val="1"/>
          <w:iCs w:val="1"/>
          <w:color w:val="auto"/>
        </w:rPr>
        <w:t>provided further</w:t>
      </w:r>
      <w:r>
        <w:rPr>
          <w:rFonts w:ascii="Times New Roman" w:cs="Times New Roman" w:eastAsia="Times New Roman" w:hAnsi="Times New Roman"/>
          <w:sz w:val="21"/>
          <w:szCs w:val="21"/>
          <w:color w:val="auto"/>
        </w:rPr>
        <w:t>, that no such event described in paragraph (i) through (v) above shall constitute Good Reason if the Company cures such event within 30 days following the Company’s receipt of such notice.</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Incumbent Board</w:t>
      </w:r>
      <w:r>
        <w:rPr>
          <w:rFonts w:ascii="Times New Roman" w:cs="Times New Roman" w:eastAsia="Times New Roman" w:hAnsi="Times New Roman"/>
          <w:sz w:val="21"/>
          <w:szCs w:val="21"/>
          <w:color w:val="auto"/>
        </w:rPr>
        <w:t>” shall have the meaning set forth in paragraph (ii) of the definition of Change in Control.</w:t>
      </w:r>
    </w:p>
    <w:p>
      <w:pPr>
        <w:spacing w:after="0" w:line="188" w:lineRule="exact"/>
        <w:rPr>
          <w:sz w:val="20"/>
          <w:szCs w:val="20"/>
          <w:color w:val="auto"/>
        </w:rPr>
      </w:pPr>
    </w:p>
    <w:p>
      <w:pPr>
        <w:ind w:right="60" w:firstLine="1288"/>
        <w:spacing w:after="0" w:line="22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Independent Tax Advisor</w:t>
      </w:r>
      <w:r>
        <w:rPr>
          <w:rFonts w:ascii="Times New Roman" w:cs="Times New Roman" w:eastAsia="Times New Roman" w:hAnsi="Times New Roman"/>
          <w:sz w:val="21"/>
          <w:szCs w:val="21"/>
          <w:color w:val="auto"/>
        </w:rPr>
        <w:t>” shall mean a lawyer with a nationally recognized law firm, a certified public accountant with a nationally recognized accounting firm, or a compensation consultant with a nationally recognized actuarial and benefits consulting firm, in each case with expertise in the area of executive compensation tax law, who shall be selected by the Company and shall be acceptable to the Participant (the Participant’s acceptance not to be unreasonably withheld), and all of whose fees and disbursements shall be paid by the Company.</w:t>
      </w:r>
    </w:p>
    <w:p>
      <w:pPr>
        <w:spacing w:after="0" w:line="14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Notice of Termination</w:t>
      </w:r>
      <w:r>
        <w:rPr>
          <w:rFonts w:ascii="Times New Roman" w:cs="Times New Roman" w:eastAsia="Times New Roman" w:hAnsi="Times New Roman"/>
          <w:sz w:val="21"/>
          <w:szCs w:val="21"/>
          <w:color w:val="auto"/>
        </w:rPr>
        <w:t xml:space="preserve">” shall have the meaning set forth in </w:t>
      </w:r>
      <w:r>
        <w:rPr>
          <w:rFonts w:ascii="Times New Roman" w:cs="Times New Roman" w:eastAsia="Times New Roman" w:hAnsi="Times New Roman"/>
          <w:sz w:val="21"/>
          <w:szCs w:val="21"/>
          <w:u w:val="single" w:color="auto"/>
          <w:color w:val="auto"/>
        </w:rPr>
        <w:t>Section 3</w:t>
      </w:r>
      <w:r>
        <w:rPr>
          <w:rFonts w:ascii="Times New Roman" w:cs="Times New Roman" w:eastAsia="Times New Roman" w:hAnsi="Times New Roman"/>
          <w:sz w:val="21"/>
          <w:szCs w:val="21"/>
          <w:color w:val="auto"/>
        </w:rPr>
        <w:t xml:space="preserve"> hereof.</w:t>
      </w:r>
    </w:p>
    <w:p>
      <w:pPr>
        <w:spacing w:after="0" w:line="18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Other Severance</w:t>
      </w:r>
      <w:r>
        <w:rPr>
          <w:rFonts w:ascii="Times New Roman" w:cs="Times New Roman" w:eastAsia="Times New Roman" w:hAnsi="Times New Roman"/>
          <w:sz w:val="21"/>
          <w:szCs w:val="21"/>
          <w:color w:val="auto"/>
        </w:rPr>
        <w:t xml:space="preserve">” shall have the meaning set forth in </w:t>
      </w:r>
      <w:r>
        <w:rPr>
          <w:rFonts w:ascii="Times New Roman" w:cs="Times New Roman" w:eastAsia="Times New Roman" w:hAnsi="Times New Roman"/>
          <w:sz w:val="21"/>
          <w:szCs w:val="21"/>
          <w:u w:val="single" w:color="auto"/>
          <w:color w:val="auto"/>
        </w:rPr>
        <w:t>Section 2.4</w:t>
      </w:r>
      <w:r>
        <w:rPr>
          <w:rFonts w:ascii="Times New Roman" w:cs="Times New Roman" w:eastAsia="Times New Roman" w:hAnsi="Times New Roman"/>
          <w:sz w:val="21"/>
          <w:szCs w:val="21"/>
          <w:color w:val="auto"/>
        </w:rPr>
        <w:t xml:space="preserve"> hereof.</w:t>
      </w:r>
    </w:p>
    <w:p>
      <w:pPr>
        <w:spacing w:after="0" w:line="18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Outstanding Ordinary Shares</w:t>
      </w:r>
      <w:r>
        <w:rPr>
          <w:rFonts w:ascii="Times New Roman" w:cs="Times New Roman" w:eastAsia="Times New Roman" w:hAnsi="Times New Roman"/>
          <w:sz w:val="21"/>
          <w:szCs w:val="21"/>
          <w:color w:val="auto"/>
        </w:rPr>
        <w:t>” shall have the meaning set forth in paragraph (i) of the definition of Change in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Control.</w:t>
      </w:r>
    </w:p>
    <w:p>
      <w:pPr>
        <w:spacing w:after="0" w:line="16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Outstanding Voting Securities</w:t>
      </w:r>
      <w:r>
        <w:rPr>
          <w:rFonts w:ascii="Times New Roman" w:cs="Times New Roman" w:eastAsia="Times New Roman" w:hAnsi="Times New Roman"/>
          <w:sz w:val="21"/>
          <w:szCs w:val="21"/>
          <w:color w:val="auto"/>
        </w:rPr>
        <w:t>” shall have the meaning set forth in paragraph (i) of the definition of Change in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Control.</w:t>
      </w:r>
    </w:p>
    <w:p>
      <w:pPr>
        <w:spacing w:after="0" w:line="160" w:lineRule="exact"/>
        <w:rPr>
          <w:sz w:val="20"/>
          <w:szCs w:val="20"/>
          <w:color w:val="auto"/>
        </w:rPr>
      </w:pPr>
    </w:p>
    <w:p>
      <w:pPr>
        <w:ind w:firstLine="1288"/>
        <w:spacing w:after="0" w:line="22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Participant</w:t>
      </w:r>
      <w:r>
        <w:rPr>
          <w:rFonts w:ascii="Times New Roman" w:cs="Times New Roman" w:eastAsia="Times New Roman" w:hAnsi="Times New Roman"/>
          <w:sz w:val="21"/>
          <w:szCs w:val="21"/>
          <w:color w:val="auto"/>
        </w:rPr>
        <w:t xml:space="preserve">” shall mean each Executive who is entitled to severance benefits under </w:t>
      </w:r>
      <w:r>
        <w:rPr>
          <w:rFonts w:ascii="Times New Roman" w:cs="Times New Roman" w:eastAsia="Times New Roman" w:hAnsi="Times New Roman"/>
          <w:sz w:val="21"/>
          <w:szCs w:val="21"/>
          <w:u w:val="single" w:color="auto"/>
          <w:color w:val="auto"/>
        </w:rPr>
        <w:t>Section 2.2</w:t>
      </w:r>
      <w:r>
        <w:rPr>
          <w:rFonts w:ascii="Times New Roman" w:cs="Times New Roman" w:eastAsia="Times New Roman" w:hAnsi="Times New Roman"/>
          <w:sz w:val="21"/>
          <w:szCs w:val="21"/>
          <w:color w:val="auto"/>
        </w:rPr>
        <w:t xml:space="preserve"> based on the provisions hereof. Notwithstanding anything in this Plan to the contrary, if a Participant ceases to be a Participant under this Plan as a result of an amendment of this Plan by the Board, such Participant will continue to be a Participant under this Plan solely for purposes of claiming Good Reason under prong (v) of the definition of Good Reason and receipt of the severance payments under </w:t>
      </w:r>
      <w:r>
        <w:rPr>
          <w:rFonts w:ascii="Times New Roman" w:cs="Times New Roman" w:eastAsia="Times New Roman" w:hAnsi="Times New Roman"/>
          <w:sz w:val="21"/>
          <w:szCs w:val="21"/>
          <w:u w:val="single" w:color="auto"/>
          <w:color w:val="auto"/>
        </w:rPr>
        <w:t>Section 2.2</w:t>
      </w:r>
      <w:r>
        <w:rPr>
          <w:rFonts w:ascii="Times New Roman" w:cs="Times New Roman" w:eastAsia="Times New Roman" w:hAnsi="Times New Roman"/>
          <w:sz w:val="21"/>
          <w:szCs w:val="21"/>
          <w:color w:val="auto"/>
        </w:rPr>
        <w:t xml:space="preserve"> in connection with such claim (subject to the remaining terms of this Plan).</w:t>
      </w:r>
    </w:p>
    <w:p>
      <w:pPr>
        <w:spacing w:after="0" w:line="14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Parties</w:t>
      </w:r>
      <w:r>
        <w:rPr>
          <w:rFonts w:ascii="Times New Roman" w:cs="Times New Roman" w:eastAsia="Times New Roman" w:hAnsi="Times New Roman"/>
          <w:sz w:val="21"/>
          <w:szCs w:val="21"/>
          <w:color w:val="auto"/>
        </w:rPr>
        <w:t xml:space="preserve">” shall have the meaning set forth in </w:t>
      </w:r>
      <w:r>
        <w:rPr>
          <w:rFonts w:ascii="Times New Roman" w:cs="Times New Roman" w:eastAsia="Times New Roman" w:hAnsi="Times New Roman"/>
          <w:sz w:val="21"/>
          <w:szCs w:val="21"/>
          <w:u w:val="single" w:color="auto"/>
          <w:color w:val="auto"/>
        </w:rPr>
        <w:t>Section 5</w:t>
      </w:r>
      <w:r>
        <w:rPr>
          <w:rFonts w:ascii="Times New Roman" w:cs="Times New Roman" w:eastAsia="Times New Roman" w:hAnsi="Times New Roman"/>
          <w:sz w:val="21"/>
          <w:szCs w:val="21"/>
          <w:color w:val="auto"/>
        </w:rPr>
        <w:t xml:space="preserve"> hereof.</w:t>
      </w:r>
    </w:p>
    <w:p>
      <w:pPr>
        <w:spacing w:after="0" w:line="18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Payments</w:t>
      </w:r>
      <w:r>
        <w:rPr>
          <w:rFonts w:ascii="Times New Roman" w:cs="Times New Roman" w:eastAsia="Times New Roman" w:hAnsi="Times New Roman"/>
          <w:sz w:val="21"/>
          <w:szCs w:val="21"/>
          <w:color w:val="auto"/>
        </w:rPr>
        <w:t xml:space="preserve">” shall have the meaning set forth in </w:t>
      </w:r>
      <w:r>
        <w:rPr>
          <w:rFonts w:ascii="Times New Roman" w:cs="Times New Roman" w:eastAsia="Times New Roman" w:hAnsi="Times New Roman"/>
          <w:sz w:val="21"/>
          <w:szCs w:val="21"/>
          <w:u w:val="single" w:color="auto"/>
          <w:color w:val="auto"/>
        </w:rPr>
        <w:t>Section 5</w:t>
      </w:r>
      <w:r>
        <w:rPr>
          <w:rFonts w:ascii="Times New Roman" w:cs="Times New Roman" w:eastAsia="Times New Roman" w:hAnsi="Times New Roman"/>
          <w:sz w:val="21"/>
          <w:szCs w:val="21"/>
          <w:color w:val="auto"/>
        </w:rPr>
        <w:t xml:space="preserve"> hereof</w:t>
      </w:r>
    </w:p>
    <w:p>
      <w:pPr>
        <w:spacing w:after="0" w:line="188" w:lineRule="exact"/>
        <w:rPr>
          <w:sz w:val="20"/>
          <w:szCs w:val="20"/>
          <w:color w:val="auto"/>
        </w:rPr>
      </w:pPr>
    </w:p>
    <w:p>
      <w:pPr>
        <w:ind w:right="80" w:firstLine="1288"/>
        <w:spacing w:after="0" w:line="22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Person</w:t>
      </w:r>
      <w:r>
        <w:rPr>
          <w:rFonts w:ascii="Times New Roman" w:cs="Times New Roman" w:eastAsia="Times New Roman" w:hAnsi="Times New Roman"/>
          <w:sz w:val="21"/>
          <w:szCs w:val="21"/>
          <w:color w:val="auto"/>
        </w:rPr>
        <w:t>” shall have the meaning given in Section 3(a)(9) of the Exchange Act, as modified and used in Sections 13(d) thereof, except that such term shall not include (i) the Company or any of its Affiliates, (ii) a trustee or other fiduciary holding securities under a Benefit Plan of the Company or any of its Affiliates, (iii) an underwriter temporarily holding securities pursuant to an offering by the Company of such securities, or (iv) an entity owned, directly or indirectly, by the shareholders of the Company in the same proportions as their ownership of the ordinary shares of the Company.</w:t>
      </w:r>
    </w:p>
    <w:p>
      <w:pPr>
        <w:spacing w:after="0" w:line="14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Plan</w:t>
      </w:r>
      <w:r>
        <w:rPr>
          <w:rFonts w:ascii="Times New Roman" w:cs="Times New Roman" w:eastAsia="Times New Roman" w:hAnsi="Times New Roman"/>
          <w:sz w:val="21"/>
          <w:szCs w:val="21"/>
          <w:color w:val="auto"/>
        </w:rPr>
        <w:t>” shall have the meaning set forth in the recitals.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180"/>
          </w:cols>
          <w:pgMar w:left="320" w:top="1387" w:right="399" w:bottom="1440" w:gutter="0" w:footer="0" w:header="0"/>
        </w:sectPr>
      </w:pPr>
    </w:p>
    <w:bookmarkStart w:id="9" w:name="page10"/>
    <w:bookmarkEnd w:id="9"/>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Q/A-24(c) Payments</w:t>
      </w:r>
      <w:r>
        <w:rPr>
          <w:rFonts w:ascii="Times New Roman" w:cs="Times New Roman" w:eastAsia="Times New Roman" w:hAnsi="Times New Roman"/>
          <w:sz w:val="21"/>
          <w:szCs w:val="21"/>
          <w:color w:val="auto"/>
        </w:rPr>
        <w:t xml:space="preserve">” shall have the meaning set forth in </w:t>
      </w:r>
      <w:r>
        <w:rPr>
          <w:rFonts w:ascii="Times New Roman" w:cs="Times New Roman" w:eastAsia="Times New Roman" w:hAnsi="Times New Roman"/>
          <w:sz w:val="21"/>
          <w:szCs w:val="21"/>
          <w:u w:val="single" w:color="auto"/>
          <w:color w:val="auto"/>
        </w:rPr>
        <w:t>Section 8.3</w:t>
      </w:r>
      <w:r>
        <w:rPr>
          <w:rFonts w:ascii="Times New Roman" w:cs="Times New Roman" w:eastAsia="Times New Roman" w:hAnsi="Times New Roman"/>
          <w:sz w:val="21"/>
          <w:szCs w:val="21"/>
          <w:color w:val="auto"/>
        </w:rPr>
        <w:t xml:space="preserve"> hereof.</w:t>
      </w:r>
    </w:p>
    <w:p>
      <w:pPr>
        <w:spacing w:after="0" w:line="18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Qualifying Termination</w:t>
      </w:r>
      <w:r>
        <w:rPr>
          <w:rFonts w:ascii="Times New Roman" w:cs="Times New Roman" w:eastAsia="Times New Roman" w:hAnsi="Times New Roman"/>
          <w:sz w:val="21"/>
          <w:szCs w:val="21"/>
          <w:color w:val="auto"/>
        </w:rPr>
        <w:t xml:space="preserve">” shall have the meaning set forth in </w:t>
      </w:r>
      <w:r>
        <w:rPr>
          <w:rFonts w:ascii="Times New Roman" w:cs="Times New Roman" w:eastAsia="Times New Roman" w:hAnsi="Times New Roman"/>
          <w:sz w:val="21"/>
          <w:szCs w:val="21"/>
          <w:u w:val="single" w:color="auto"/>
          <w:color w:val="auto"/>
        </w:rPr>
        <w:t>Section 2.2</w:t>
      </w:r>
      <w:r>
        <w:rPr>
          <w:rFonts w:ascii="Times New Roman" w:cs="Times New Roman" w:eastAsia="Times New Roman" w:hAnsi="Times New Roman"/>
          <w:sz w:val="21"/>
          <w:szCs w:val="21"/>
          <w:color w:val="auto"/>
        </w:rPr>
        <w:t xml:space="preserve"> hereof.</w:t>
      </w:r>
    </w:p>
    <w:p>
      <w:pPr>
        <w:spacing w:after="0" w:line="18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RCA</w:t>
      </w:r>
      <w:r>
        <w:rPr>
          <w:rFonts w:ascii="Times New Roman" w:cs="Times New Roman" w:eastAsia="Times New Roman" w:hAnsi="Times New Roman"/>
          <w:sz w:val="21"/>
          <w:szCs w:val="21"/>
          <w:color w:val="auto"/>
        </w:rPr>
        <w:t xml:space="preserve">” shall have the meaning set forth in </w:t>
      </w:r>
      <w:r>
        <w:rPr>
          <w:rFonts w:ascii="Times New Roman" w:cs="Times New Roman" w:eastAsia="Times New Roman" w:hAnsi="Times New Roman"/>
          <w:sz w:val="21"/>
          <w:szCs w:val="21"/>
          <w:u w:val="single" w:color="auto"/>
          <w:color w:val="auto"/>
        </w:rPr>
        <w:t>Section 2.1</w:t>
      </w:r>
      <w:r>
        <w:rPr>
          <w:rFonts w:ascii="Times New Roman" w:cs="Times New Roman" w:eastAsia="Times New Roman" w:hAnsi="Times New Roman"/>
          <w:sz w:val="21"/>
          <w:szCs w:val="21"/>
          <w:color w:val="auto"/>
        </w:rPr>
        <w:t xml:space="preserve"> hereof.</w:t>
      </w:r>
    </w:p>
    <w:p>
      <w:pPr>
        <w:spacing w:after="0" w:line="18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Reduced Amount</w:t>
      </w:r>
      <w:r>
        <w:rPr>
          <w:rFonts w:ascii="Times New Roman" w:cs="Times New Roman" w:eastAsia="Times New Roman" w:hAnsi="Times New Roman"/>
          <w:sz w:val="21"/>
          <w:szCs w:val="21"/>
          <w:color w:val="auto"/>
        </w:rPr>
        <w:t xml:space="preserve">” shall have the meaning set forth in </w:t>
      </w:r>
      <w:r>
        <w:rPr>
          <w:rFonts w:ascii="Times New Roman" w:cs="Times New Roman" w:eastAsia="Times New Roman" w:hAnsi="Times New Roman"/>
          <w:sz w:val="21"/>
          <w:szCs w:val="21"/>
          <w:u w:val="single" w:color="auto"/>
          <w:color w:val="auto"/>
        </w:rPr>
        <w:t>Section 8.1</w:t>
      </w:r>
      <w:r>
        <w:rPr>
          <w:rFonts w:ascii="Times New Roman" w:cs="Times New Roman" w:eastAsia="Times New Roman" w:hAnsi="Times New Roman"/>
          <w:sz w:val="21"/>
          <w:szCs w:val="21"/>
          <w:color w:val="auto"/>
        </w:rPr>
        <w:t xml:space="preserve"> hereof.</w:t>
      </w:r>
    </w:p>
    <w:p>
      <w:pPr>
        <w:spacing w:after="0" w:line="18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Release</w:t>
      </w:r>
      <w:r>
        <w:rPr>
          <w:rFonts w:ascii="Times New Roman" w:cs="Times New Roman" w:eastAsia="Times New Roman" w:hAnsi="Times New Roman"/>
          <w:sz w:val="21"/>
          <w:szCs w:val="21"/>
          <w:color w:val="auto"/>
        </w:rPr>
        <w:t xml:space="preserve">” shall have the meaning set forth in </w:t>
      </w:r>
      <w:r>
        <w:rPr>
          <w:rFonts w:ascii="Times New Roman" w:cs="Times New Roman" w:eastAsia="Times New Roman" w:hAnsi="Times New Roman"/>
          <w:sz w:val="21"/>
          <w:szCs w:val="21"/>
          <w:u w:val="single" w:color="auto"/>
          <w:color w:val="auto"/>
        </w:rPr>
        <w:t>Section 2.2</w:t>
      </w:r>
      <w:r>
        <w:rPr>
          <w:rFonts w:ascii="Times New Roman" w:cs="Times New Roman" w:eastAsia="Times New Roman" w:hAnsi="Times New Roman"/>
          <w:sz w:val="21"/>
          <w:szCs w:val="21"/>
          <w:color w:val="auto"/>
        </w:rPr>
        <w:t xml:space="preserve"> hereof.</w:t>
      </w:r>
    </w:p>
    <w:p>
      <w:pPr>
        <w:spacing w:after="0" w:line="188" w:lineRule="exact"/>
        <w:rPr>
          <w:sz w:val="20"/>
          <w:szCs w:val="20"/>
          <w:color w:val="auto"/>
        </w:rPr>
      </w:pPr>
    </w:p>
    <w:p>
      <w:pPr>
        <w:ind w:right="40" w:firstLine="1288"/>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Restructuring</w:t>
      </w:r>
      <w:r>
        <w:rPr>
          <w:rFonts w:ascii="Times New Roman" w:cs="Times New Roman" w:eastAsia="Times New Roman" w:hAnsi="Times New Roman"/>
          <w:sz w:val="21"/>
          <w:szCs w:val="21"/>
          <w:color w:val="auto"/>
        </w:rPr>
        <w:t>” shall mean a restructuring, reorganization (whether or not pursuant to Chapter 11 of the United States Bankruptcy Code or the insolvency laws of any other jurisdiction) and/or recapitalization of all or a significant portion of the Company’s outstanding funded indebtedness (collectively, the “</w:t>
      </w:r>
      <w:r>
        <w:rPr>
          <w:rFonts w:ascii="Times New Roman" w:cs="Times New Roman" w:eastAsia="Times New Roman" w:hAnsi="Times New Roman"/>
          <w:sz w:val="21"/>
          <w:szCs w:val="21"/>
          <w:b w:val="1"/>
          <w:bCs w:val="1"/>
          <w:color w:val="auto"/>
        </w:rPr>
        <w:t>Existing Obligations</w:t>
      </w:r>
      <w:r>
        <w:rPr>
          <w:rFonts w:ascii="Times New Roman" w:cs="Times New Roman" w:eastAsia="Times New Roman" w:hAnsi="Times New Roman"/>
          <w:sz w:val="21"/>
          <w:szCs w:val="21"/>
          <w:color w:val="auto"/>
        </w:rPr>
        <w:t>”) that is achieved, without limitation, through a solicitation of waivers and consents from the holders of Existing Obligations; rescheduling of the maturities or a change in interest rates of Existing Obligations; a repurchase, settlement or forgiveness of Existing Obligations; conversion of Existing Obligations into equity; an exchange offer involving the issuance of new securities in exchange for Existing Obligations; the issuance of new securities, sale or disposition of assets, sale of debt or equity securities or other interests; or other similar transaction or series of transactions. “</w:t>
      </w:r>
      <w:r>
        <w:rPr>
          <w:rFonts w:ascii="Times New Roman" w:cs="Times New Roman" w:eastAsia="Times New Roman" w:hAnsi="Times New Roman"/>
          <w:sz w:val="21"/>
          <w:szCs w:val="21"/>
          <w:b w:val="1"/>
          <w:bCs w:val="1"/>
          <w:color w:val="auto"/>
        </w:rPr>
        <w:t>Specified Holder</w:t>
      </w:r>
      <w:r>
        <w:rPr>
          <w:rFonts w:ascii="Times New Roman" w:cs="Times New Roman" w:eastAsia="Times New Roman" w:hAnsi="Times New Roman"/>
          <w:sz w:val="21"/>
          <w:szCs w:val="21"/>
          <w:color w:val="auto"/>
        </w:rPr>
        <w:t xml:space="preserve">” shall mean any Person who is the Beneficial Owner, directly or indirectly, of 10% or more of the Outstanding Ordinary Shares of the Company as of the Effective Date, each as set forth on </w:t>
      </w:r>
      <w:r>
        <w:rPr>
          <w:rFonts w:ascii="Times New Roman" w:cs="Times New Roman" w:eastAsia="Times New Roman" w:hAnsi="Times New Roman"/>
          <w:sz w:val="21"/>
          <w:szCs w:val="21"/>
          <w:u w:val="single" w:color="auto"/>
          <w:color w:val="auto"/>
        </w:rPr>
        <w:t>Exhibit C</w:t>
      </w:r>
      <w:r>
        <w:rPr>
          <w:rFonts w:ascii="Times New Roman" w:cs="Times New Roman" w:eastAsia="Times New Roman" w:hAnsi="Times New Roman"/>
          <w:sz w:val="21"/>
          <w:szCs w:val="21"/>
          <w:color w:val="auto"/>
        </w:rPr>
        <w:t xml:space="preserve"> hereto.</w:t>
      </w:r>
    </w:p>
    <w:p>
      <w:pPr>
        <w:spacing w:after="0" w:line="189" w:lineRule="exact"/>
        <w:rPr>
          <w:sz w:val="20"/>
          <w:szCs w:val="20"/>
          <w:color w:val="auto"/>
        </w:rPr>
      </w:pPr>
    </w:p>
    <w:p>
      <w:pPr>
        <w:ind w:right="200" w:firstLine="1288"/>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Total Annual Target Direct Compensation</w:t>
      </w:r>
      <w:r>
        <w:rPr>
          <w:rFonts w:ascii="Times New Roman" w:cs="Times New Roman" w:eastAsia="Times New Roman" w:hAnsi="Times New Roman"/>
          <w:sz w:val="21"/>
          <w:szCs w:val="21"/>
          <w:color w:val="auto"/>
        </w:rPr>
        <w:t>” means the sum of (i) annual base salary and (ii) annual short-term incentive opportunity at target.</w:t>
      </w:r>
    </w:p>
    <w:p>
      <w:pPr>
        <w:spacing w:after="0" w:line="131" w:lineRule="exact"/>
        <w:rPr>
          <w:sz w:val="20"/>
          <w:szCs w:val="20"/>
          <w:color w:val="auto"/>
        </w:rPr>
      </w:pPr>
    </w:p>
    <w:p>
      <w:pPr>
        <w:ind w:firstLine="1288"/>
        <w:spacing w:after="0" w:line="23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Vesting Date</w:t>
      </w:r>
      <w:r>
        <w:rPr>
          <w:rFonts w:ascii="Times New Roman" w:cs="Times New Roman" w:eastAsia="Times New Roman" w:hAnsi="Times New Roman"/>
          <w:sz w:val="21"/>
          <w:szCs w:val="21"/>
          <w:color w:val="auto"/>
        </w:rPr>
        <w:t>” means the later of (i) the Participant’s Employment Termination Date as a result of the Participant’s termination of employment following a Change in Control or (ii) a Change in Control (expressly for purposes of terminations of employment occurring prior to a Change in Control). For the avoidance of doubt, no amounts or benefits shall be payable hereunder unless and until a Change in Control has occurred.</w:t>
      </w:r>
    </w:p>
    <w:p>
      <w:pPr>
        <w:spacing w:after="0" w:line="148" w:lineRule="exact"/>
        <w:rPr>
          <w:sz w:val="20"/>
          <w:szCs w:val="20"/>
          <w:color w:val="auto"/>
        </w:rPr>
      </w:pPr>
    </w:p>
    <w:p>
      <w:pPr>
        <w:ind w:left="1300"/>
        <w:spacing w:after="0"/>
        <w:tabs>
          <w:tab w:leader="none" w:pos="2560" w:val="left"/>
        </w:tabs>
        <w:rPr>
          <w:sz w:val="20"/>
          <w:szCs w:val="20"/>
          <w:color w:val="auto"/>
        </w:rPr>
      </w:pPr>
      <w:r>
        <w:rPr>
          <w:rFonts w:ascii="Times New Roman" w:cs="Times New Roman" w:eastAsia="Times New Roman" w:hAnsi="Times New Roman"/>
          <w:sz w:val="21"/>
          <w:szCs w:val="21"/>
          <w:color w:val="auto"/>
        </w:rPr>
        <w:t>Section 2.</w:t>
      </w:r>
      <w:r>
        <w:rPr>
          <w:sz w:val="20"/>
          <w:szCs w:val="20"/>
          <w:color w:val="auto"/>
        </w:rPr>
        <w:tab/>
      </w:r>
      <w:r>
        <w:rPr>
          <w:rFonts w:ascii="Times New Roman" w:cs="Times New Roman" w:eastAsia="Times New Roman" w:hAnsi="Times New Roman"/>
          <w:sz w:val="21"/>
          <w:szCs w:val="21"/>
          <w:i w:val="1"/>
          <w:iCs w:val="1"/>
          <w:color w:val="auto"/>
        </w:rPr>
        <w:t>Severance Eligibility and Payments</w:t>
      </w:r>
      <w:r>
        <w:rPr>
          <w:rFonts w:ascii="Times New Roman" w:cs="Times New Roman" w:eastAsia="Times New Roman" w:hAnsi="Times New Roman"/>
          <w:sz w:val="21"/>
          <w:szCs w:val="21"/>
          <w:color w:val="auto"/>
        </w:rPr>
        <w:t>.</w:t>
      </w:r>
    </w:p>
    <w:p>
      <w:pPr>
        <w:spacing w:after="0" w:line="192" w:lineRule="exact"/>
        <w:rPr>
          <w:sz w:val="20"/>
          <w:szCs w:val="20"/>
          <w:color w:val="auto"/>
        </w:rPr>
      </w:pPr>
    </w:p>
    <w:p>
      <w:pPr>
        <w:ind w:right="420" w:firstLine="1288"/>
        <w:spacing w:after="0" w:line="234" w:lineRule="auto"/>
        <w:rPr>
          <w:sz w:val="20"/>
          <w:szCs w:val="20"/>
          <w:color w:val="auto"/>
        </w:rPr>
      </w:pPr>
      <w:r>
        <w:rPr>
          <w:rFonts w:ascii="Times New Roman" w:cs="Times New Roman" w:eastAsia="Times New Roman" w:hAnsi="Times New Roman"/>
          <w:sz w:val="21"/>
          <w:szCs w:val="21"/>
          <w:color w:val="auto"/>
        </w:rPr>
        <w:t xml:space="preserve">2.1 Notwithstanding anything else in this Plan to the contrary, a Participant shall only be entitled to the compensation and benefits provided under this Plan if the Participant has executed the confidentiality and restrictive covenant agreement substantially in the form attached hereto as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(the “</w:t>
      </w:r>
      <w:r>
        <w:rPr>
          <w:rFonts w:ascii="Times New Roman" w:cs="Times New Roman" w:eastAsia="Times New Roman" w:hAnsi="Times New Roman"/>
          <w:sz w:val="21"/>
          <w:szCs w:val="21"/>
          <w:b w:val="1"/>
          <w:bCs w:val="1"/>
          <w:color w:val="auto"/>
        </w:rPr>
        <w:t>RCA</w:t>
      </w:r>
      <w:r>
        <w:rPr>
          <w:rFonts w:ascii="Times New Roman" w:cs="Times New Roman" w:eastAsia="Times New Roman" w:hAnsi="Times New Roman"/>
          <w:sz w:val="21"/>
          <w:szCs w:val="21"/>
          <w:color w:val="auto"/>
        </w:rPr>
        <w:t>”).</w:t>
      </w:r>
    </w:p>
    <w:p>
      <w:pPr>
        <w:spacing w:after="0" w:line="149" w:lineRule="exact"/>
        <w:rPr>
          <w:sz w:val="20"/>
          <w:szCs w:val="20"/>
          <w:color w:val="auto"/>
        </w:rPr>
      </w:pPr>
    </w:p>
    <w:p>
      <w:pPr>
        <w:ind w:right="140" w:firstLine="1288"/>
        <w:spacing w:after="0" w:line="220" w:lineRule="auto"/>
        <w:rPr>
          <w:sz w:val="20"/>
          <w:szCs w:val="20"/>
          <w:color w:val="auto"/>
        </w:rPr>
      </w:pPr>
      <w:r>
        <w:rPr>
          <w:rFonts w:ascii="Times New Roman" w:cs="Times New Roman" w:eastAsia="Times New Roman" w:hAnsi="Times New Roman"/>
          <w:sz w:val="21"/>
          <w:szCs w:val="21"/>
          <w:color w:val="auto"/>
        </w:rPr>
        <w:t xml:space="preserve">2.2 </w:t>
      </w:r>
      <w:r>
        <w:rPr>
          <w:rFonts w:ascii="Times New Roman" w:cs="Times New Roman" w:eastAsia="Times New Roman" w:hAnsi="Times New Roman"/>
          <w:sz w:val="21"/>
          <w:szCs w:val="21"/>
          <w:i w:val="1"/>
          <w:iCs w:val="1"/>
          <w:color w:val="auto"/>
        </w:rPr>
        <w:t>Benefits Upon Qualifying Termination</w:t>
      </w:r>
      <w:r>
        <w:rPr>
          <w:rFonts w:ascii="Times New Roman" w:cs="Times New Roman" w:eastAsia="Times New Roman" w:hAnsi="Times New Roman"/>
          <w:sz w:val="21"/>
          <w:szCs w:val="21"/>
          <w:color w:val="auto"/>
        </w:rPr>
        <w:t>. Upon a termination of the Participant’s employment relationship with the Company (i) by the Company without Cause or by the Participant for Good Reason, in either case, within 24 months following a Change in Control while this Plan remains in effect, (ii) by the Company without Cause within six months prior to a Change in Control, if such termination is at the request, direction or suggestion, directly or indirectly, of a Person who enters into an agreement with the Company the consummation of which would constitute a Change in Control or (iii) by the Participant for Good Reason within six months prior to a Change in Control, and the circumstance or event which constitutes Good Reason occurs at the request, direction or suggestion, directly or indirectly, of such Person described in clause (ii) above (any such termination, a “</w:t>
      </w:r>
      <w:r>
        <w:rPr>
          <w:rFonts w:ascii="Times New Roman" w:cs="Times New Roman" w:eastAsia="Times New Roman" w:hAnsi="Times New Roman"/>
          <w:sz w:val="21"/>
          <w:szCs w:val="21"/>
          <w:b w:val="1"/>
          <w:bCs w:val="1"/>
          <w:color w:val="auto"/>
        </w:rPr>
        <w:t>Qualifying Termination</w:t>
      </w:r>
      <w:r>
        <w:rPr>
          <w:rFonts w:ascii="Times New Roman" w:cs="Times New Roman" w:eastAsia="Times New Roman" w:hAnsi="Times New Roman"/>
          <w:sz w:val="21"/>
          <w:szCs w:val="21"/>
          <w:color w:val="auto"/>
        </w:rPr>
        <w:t>”), then the Participant shall be entitled to the following, in lieu of any severance payments or benefits otherwise payable to the Participant under any plan or arrangement between the Company or any of its Affiliates and the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1240"/>
          </w:cols>
          <w:pgMar w:left="320" w:top="1383" w:right="339" w:bottom="1440" w:gutter="0" w:footer="0" w:header="0"/>
        </w:sectPr>
      </w:pPr>
    </w:p>
    <w:bookmarkStart w:id="10" w:name="page11"/>
    <w:bookmarkEnd w:id="10"/>
    <w:p>
      <w:pPr>
        <w:ind w:left="2580" w:hanging="640"/>
        <w:spacing w:after="0"/>
        <w:tabs>
          <w:tab w:leader="none" w:pos="2580" w:val="left"/>
        </w:tabs>
        <w:numPr>
          <w:ilvl w:val="1"/>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Accrued Obligations in a lump sum in cash;</w:t>
      </w:r>
    </w:p>
    <w:p>
      <w:pPr>
        <w:spacing w:after="0" w:line="187" w:lineRule="exact"/>
        <w:rPr>
          <w:rFonts w:ascii="Times New Roman" w:cs="Times New Roman" w:eastAsia="Times New Roman" w:hAnsi="Times New Roman"/>
          <w:sz w:val="21"/>
          <w:szCs w:val="21"/>
          <w:color w:val="auto"/>
        </w:rPr>
      </w:pPr>
    </w:p>
    <w:p>
      <w:pPr>
        <w:ind w:left="2580" w:hanging="640"/>
        <w:spacing w:after="0"/>
        <w:tabs>
          <w:tab w:leader="none" w:pos="2580" w:val="left"/>
        </w:tabs>
        <w:numPr>
          <w:ilvl w:val="1"/>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Benefit Obligations (subject to the terms of the applicable Benefit Plans); and</w:t>
      </w:r>
    </w:p>
    <w:p>
      <w:pPr>
        <w:spacing w:after="0" w:line="187" w:lineRule="exact"/>
        <w:rPr>
          <w:rFonts w:ascii="Times New Roman" w:cs="Times New Roman" w:eastAsia="Times New Roman" w:hAnsi="Times New Roman"/>
          <w:sz w:val="21"/>
          <w:szCs w:val="21"/>
          <w:color w:val="auto"/>
        </w:rPr>
      </w:pPr>
    </w:p>
    <w:p>
      <w:pPr>
        <w:ind w:right="100" w:firstLine="1940"/>
        <w:spacing w:after="0" w:line="229" w:lineRule="auto"/>
        <w:tabs>
          <w:tab w:leader="none" w:pos="2577" w:val="left"/>
        </w:tabs>
        <w:numPr>
          <w:ilvl w:val="1"/>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provided that, within 55 days following the Employment Termination Date, the Participant has executed a general release and waiver agreement substantially in the form attached hereto as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color w:val="auto"/>
        </w:rPr>
        <w:t xml:space="preserve"> (the “</w:t>
      </w:r>
      <w:r>
        <w:rPr>
          <w:rFonts w:ascii="Times New Roman" w:cs="Times New Roman" w:eastAsia="Times New Roman" w:hAnsi="Times New Roman"/>
          <w:sz w:val="21"/>
          <w:szCs w:val="21"/>
          <w:b w:val="1"/>
          <w:bCs w:val="1"/>
          <w:color w:val="auto"/>
        </w:rPr>
        <w:t>Release</w:t>
      </w:r>
      <w:r>
        <w:rPr>
          <w:rFonts w:ascii="Times New Roman" w:cs="Times New Roman" w:eastAsia="Times New Roman" w:hAnsi="Times New Roman"/>
          <w:sz w:val="21"/>
          <w:szCs w:val="21"/>
          <w:color w:val="auto"/>
        </w:rPr>
        <w:t>”), and any applicable revocation periods relating to the Release have expired, and subject to the Participant’s compliance with the restrictive covenants set forth in any written agreement with the Company or any of its Affiliates, including the RCA, and the Release:</w:t>
      </w:r>
    </w:p>
    <w:p>
      <w:pPr>
        <w:spacing w:after="0" w:line="149" w:lineRule="exact"/>
        <w:rPr>
          <w:rFonts w:ascii="Times New Roman" w:cs="Times New Roman" w:eastAsia="Times New Roman" w:hAnsi="Times New Roman"/>
          <w:sz w:val="21"/>
          <w:szCs w:val="21"/>
          <w:color w:val="auto"/>
        </w:rPr>
      </w:pPr>
    </w:p>
    <w:p>
      <w:pPr>
        <w:ind w:left="3220" w:hanging="636"/>
        <w:spacing w:after="0"/>
        <w:tabs>
          <w:tab w:leader="none" w:pos="3220" w:val="left"/>
        </w:tabs>
        <w:numPr>
          <w:ilvl w:val="2"/>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lump-sum cash amount equal to the Applicable Multiple times the sum of (1) the higher of</w:t>
      </w:r>
    </w:p>
    <w:p>
      <w:pPr>
        <w:ind w:left="1300" w:right="160" w:hanging="4"/>
        <w:spacing w:after="0" w:line="223" w:lineRule="auto"/>
        <w:tabs>
          <w:tab w:leader="none" w:pos="1592"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rate of Base Salary received by the Participant in effect immediately prior to the Change in Control or (b) the rate of Base Salary then in effect up to and including the Employment Termination Date, and (2) the Participant’s Annual Bonus at target;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that for purposes of clauses (1) and (2) of this paragraph (A), such amounts shall be annualized for any period of employment that is less than one full year;</w:t>
      </w:r>
    </w:p>
    <w:p>
      <w:pPr>
        <w:spacing w:after="0" w:line="152" w:lineRule="exact"/>
        <w:rPr>
          <w:rFonts w:ascii="Times New Roman" w:cs="Times New Roman" w:eastAsia="Times New Roman" w:hAnsi="Times New Roman"/>
          <w:sz w:val="21"/>
          <w:szCs w:val="21"/>
          <w:color w:val="auto"/>
        </w:rPr>
      </w:pPr>
    </w:p>
    <w:p>
      <w:pPr>
        <w:ind w:left="1300" w:right="60" w:firstLine="1284"/>
        <w:spacing w:after="0" w:line="224" w:lineRule="auto"/>
        <w:tabs>
          <w:tab w:leader="none" w:pos="3224" w:val="left"/>
        </w:tabs>
        <w:numPr>
          <w:ilvl w:val="2"/>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lump-sum cash amount equal to the product of (i) the Participant’s target Annual Bonus for such fiscal year, as determined by the Board in good faith, in which the Employment Termination Date occurs and (ii) a fraction, the numerator of which is the number of days in the current fiscal year through the Employment Termination Date, and the denominator of which is 365. The pro-rata bonus payment described in the preceding sentence shall be without duplication of any payments received by the Participant under the Company’s then current non-equity incentive compensation plan in connection with the Change in Control or otherwise;</w:t>
      </w:r>
    </w:p>
    <w:p>
      <w:pPr>
        <w:spacing w:after="0" w:line="150" w:lineRule="exact"/>
        <w:rPr>
          <w:rFonts w:ascii="Times New Roman" w:cs="Times New Roman" w:eastAsia="Times New Roman" w:hAnsi="Times New Roman"/>
          <w:sz w:val="21"/>
          <w:szCs w:val="21"/>
          <w:color w:val="auto"/>
        </w:rPr>
      </w:pPr>
    </w:p>
    <w:p>
      <w:pPr>
        <w:ind w:left="1300" w:right="40" w:firstLine="1284"/>
        <w:spacing w:after="0" w:line="219" w:lineRule="auto"/>
        <w:tabs>
          <w:tab w:leader="none" w:pos="3224" w:val="left"/>
        </w:tabs>
        <w:numPr>
          <w:ilvl w:val="2"/>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Commencing immediately after the Vesting Date and continuing for a number of years equal to the Applicable Multiple (or until the date on which the Participant becomes eligible for coverage under a subsequent employer’s plan, whichever is earlier), the Company shall continue dental and health benefits to the Participant and the Participant’s family equal to those which would have been provided to them in accordance with the dental and health insurance plans, programs, practices and policies in effect immediately prior to the Employment Termination Date as if the Participant’s employment had not been terminated (or, if more favorable to the Participant, those provided to the Participant and the Participant’s family immediately prior to the first occurrence of an event or circumstance constituting Good Reason);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with respect to any of such dental and health insurance plans, programs, practices or policies requiring an employee contribution, the Participant (or the Participant’s heirs or beneficiaries, as applicable) shall continue to pay the monthly employee contribution for such benefits; and</w:t>
      </w:r>
    </w:p>
    <w:p>
      <w:pPr>
        <w:spacing w:after="0" w:line="152" w:lineRule="exact"/>
        <w:rPr>
          <w:rFonts w:ascii="Times New Roman" w:cs="Times New Roman" w:eastAsia="Times New Roman" w:hAnsi="Times New Roman"/>
          <w:sz w:val="21"/>
          <w:szCs w:val="21"/>
          <w:color w:val="auto"/>
        </w:rPr>
      </w:pPr>
    </w:p>
    <w:p>
      <w:pPr>
        <w:ind w:left="1300" w:firstLine="1284"/>
        <w:spacing w:after="0" w:line="234" w:lineRule="auto"/>
        <w:tabs>
          <w:tab w:leader="none" w:pos="3222" w:val="left"/>
        </w:tabs>
        <w:numPr>
          <w:ilvl w:val="2"/>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Outplacement services supplied by a service provider selected by the Company for a period of six months;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such services must commence no later than 90 days after the Employment Termination Date and terminating 12 months after commencement of same.</w:t>
      </w:r>
    </w:p>
    <w:p>
      <w:pPr>
        <w:spacing w:after="0" w:line="149" w:lineRule="exact"/>
        <w:rPr>
          <w:sz w:val="20"/>
          <w:szCs w:val="20"/>
          <w:color w:val="auto"/>
        </w:rPr>
      </w:pPr>
    </w:p>
    <w:p>
      <w:pPr>
        <w:ind w:right="60" w:firstLine="1288"/>
        <w:spacing w:after="0" w:line="236" w:lineRule="auto"/>
        <w:rPr>
          <w:sz w:val="20"/>
          <w:szCs w:val="20"/>
          <w:color w:val="auto"/>
        </w:rPr>
      </w:pPr>
      <w:r>
        <w:rPr>
          <w:rFonts w:ascii="Times New Roman" w:cs="Times New Roman" w:eastAsia="Times New Roman" w:hAnsi="Times New Roman"/>
          <w:sz w:val="21"/>
          <w:szCs w:val="21"/>
          <w:color w:val="auto"/>
        </w:rPr>
        <w:t xml:space="preserve">2.3 </w:t>
      </w:r>
      <w:r>
        <w:rPr>
          <w:rFonts w:ascii="Times New Roman" w:cs="Times New Roman" w:eastAsia="Times New Roman" w:hAnsi="Times New Roman"/>
          <w:sz w:val="21"/>
          <w:szCs w:val="21"/>
          <w:i w:val="1"/>
          <w:iCs w:val="1"/>
          <w:color w:val="auto"/>
        </w:rPr>
        <w:t>Timing of Severance Payments</w:t>
      </w:r>
      <w:r>
        <w:rPr>
          <w:rFonts w:ascii="Times New Roman" w:cs="Times New Roman" w:eastAsia="Times New Roman" w:hAnsi="Times New Roman"/>
          <w:sz w:val="21"/>
          <w:szCs w:val="21"/>
          <w:color w:val="auto"/>
        </w:rPr>
        <w:t xml:space="preserve">. The Company shall pay (or cause to be paid) to the Participant the amounts or benefits specified in </w:t>
      </w:r>
      <w:r>
        <w:rPr>
          <w:rFonts w:ascii="Times New Roman" w:cs="Times New Roman" w:eastAsia="Times New Roman" w:hAnsi="Times New Roman"/>
          <w:sz w:val="21"/>
          <w:szCs w:val="21"/>
          <w:u w:val="single" w:color="auto"/>
          <w:color w:val="auto"/>
        </w:rPr>
        <w:t>Section 2.2</w:t>
      </w:r>
      <w:r>
        <w:rPr>
          <w:rFonts w:ascii="Times New Roman" w:cs="Times New Roman" w:eastAsia="Times New Roman" w:hAnsi="Times New Roman"/>
          <w:sz w:val="21"/>
          <w:szCs w:val="21"/>
          <w:color w:val="auto"/>
        </w:rPr>
        <w:t xml:space="preserve"> 60 days following the Vesting Date (other than the Benefit Obligations), subject to receipt of an executed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7</w:t>
      </w:r>
    </w:p>
    <w:p>
      <w:pPr>
        <w:sectPr>
          <w:pgSz w:w="11900" w:h="16838" w:orient="portrait"/>
          <w:cols w:equalWidth="0" w:num="1">
            <w:col w:w="11220"/>
          </w:cols>
          <w:pgMar w:left="320" w:top="1387" w:right="359" w:bottom="1440" w:gutter="0" w:footer="0" w:header="0"/>
        </w:sectPr>
      </w:pPr>
    </w:p>
    <w:bookmarkStart w:id="11" w:name="page12"/>
    <w:bookmarkEnd w:id="11"/>
    <w:p>
      <w:pPr>
        <w:ind w:right="80"/>
        <w:spacing w:after="0" w:line="226" w:lineRule="auto"/>
        <w:rPr>
          <w:sz w:val="20"/>
          <w:szCs w:val="20"/>
          <w:color w:val="auto"/>
        </w:rPr>
      </w:pPr>
      <w:r>
        <w:rPr>
          <w:rFonts w:ascii="Times New Roman" w:cs="Times New Roman" w:eastAsia="Times New Roman" w:hAnsi="Times New Roman"/>
          <w:sz w:val="21"/>
          <w:szCs w:val="21"/>
          <w:color w:val="auto"/>
        </w:rPr>
        <w:t xml:space="preserve">irrevocable Release. For the avoidance of doubt, this </w:t>
      </w:r>
      <w:r>
        <w:rPr>
          <w:rFonts w:ascii="Times New Roman" w:cs="Times New Roman" w:eastAsia="Times New Roman" w:hAnsi="Times New Roman"/>
          <w:sz w:val="21"/>
          <w:szCs w:val="21"/>
          <w:u w:val="single" w:color="auto"/>
          <w:color w:val="auto"/>
        </w:rPr>
        <w:t>Section 2.3</w:t>
      </w:r>
      <w:r>
        <w:rPr>
          <w:rFonts w:ascii="Times New Roman" w:cs="Times New Roman" w:eastAsia="Times New Roman" w:hAnsi="Times New Roman"/>
          <w:sz w:val="21"/>
          <w:szCs w:val="21"/>
          <w:color w:val="auto"/>
        </w:rPr>
        <w:t xml:space="preserve"> shall not result in a delay of: (i) any payment of Accrued Obligations that otherwise would occur on an earlier date in accordance with applicable law or the usual and customary payroll policies of the Company (as in effect immediately prior to the Participant’s termination of employment) or (ii) any payment of the Benefit Obligations that otherwise would occur pursuant to the terms and conditions of the applicable benefit programs (as in effect immediately prior to the Participant’s termination of employment).</w:t>
      </w:r>
    </w:p>
    <w:p>
      <w:pPr>
        <w:spacing w:after="0" w:line="147" w:lineRule="exact"/>
        <w:rPr>
          <w:sz w:val="20"/>
          <w:szCs w:val="20"/>
          <w:color w:val="auto"/>
        </w:rPr>
      </w:pPr>
    </w:p>
    <w:p>
      <w:pPr>
        <w:ind w:right="60" w:firstLine="1288"/>
        <w:spacing w:after="0"/>
        <w:rPr>
          <w:sz w:val="20"/>
          <w:szCs w:val="20"/>
          <w:color w:val="auto"/>
        </w:rPr>
      </w:pPr>
      <w:r>
        <w:rPr>
          <w:rFonts w:ascii="Times New Roman" w:cs="Times New Roman" w:eastAsia="Times New Roman" w:hAnsi="Times New Roman"/>
          <w:sz w:val="21"/>
          <w:szCs w:val="21"/>
          <w:color w:val="auto"/>
        </w:rPr>
        <w:t xml:space="preserve">2.4 </w:t>
      </w:r>
      <w:r>
        <w:rPr>
          <w:rFonts w:ascii="Times New Roman" w:cs="Times New Roman" w:eastAsia="Times New Roman" w:hAnsi="Times New Roman"/>
          <w:sz w:val="21"/>
          <w:szCs w:val="21"/>
          <w:i w:val="1"/>
          <w:iCs w:val="1"/>
          <w:color w:val="auto"/>
        </w:rPr>
        <w:t>Other Severance Payments</w:t>
      </w:r>
      <w:r>
        <w:rPr>
          <w:rFonts w:ascii="Times New Roman" w:cs="Times New Roman" w:eastAsia="Times New Roman" w:hAnsi="Times New Roman"/>
          <w:sz w:val="21"/>
          <w:szCs w:val="21"/>
          <w:color w:val="auto"/>
        </w:rPr>
        <w:t>. In the event that the Company is obligated by law or contract to pay a Participant other severance pay, a termination indemnity, notice pay or the like, or if the Company is obligated by law to provide advance notice of separation (“</w:t>
      </w:r>
      <w:r>
        <w:rPr>
          <w:rFonts w:ascii="Times New Roman" w:cs="Times New Roman" w:eastAsia="Times New Roman" w:hAnsi="Times New Roman"/>
          <w:sz w:val="21"/>
          <w:szCs w:val="21"/>
          <w:b w:val="1"/>
          <w:bCs w:val="1"/>
          <w:color w:val="auto"/>
        </w:rPr>
        <w:t>Other Severance</w:t>
      </w:r>
      <w:r>
        <w:rPr>
          <w:rFonts w:ascii="Times New Roman" w:cs="Times New Roman" w:eastAsia="Times New Roman" w:hAnsi="Times New Roman"/>
          <w:sz w:val="21"/>
          <w:szCs w:val="21"/>
          <w:color w:val="auto"/>
        </w:rPr>
        <w:t xml:space="preserve">”), then the amount of severance under </w:t>
      </w:r>
      <w:r>
        <w:rPr>
          <w:rFonts w:ascii="Times New Roman" w:cs="Times New Roman" w:eastAsia="Times New Roman" w:hAnsi="Times New Roman"/>
          <w:sz w:val="21"/>
          <w:szCs w:val="21"/>
          <w:u w:val="single" w:color="auto"/>
          <w:color w:val="auto"/>
        </w:rPr>
        <w:t>Section 2.2(iii)(A)</w:t>
      </w:r>
      <w:r>
        <w:rPr>
          <w:rFonts w:ascii="Times New Roman" w:cs="Times New Roman" w:eastAsia="Times New Roman" w:hAnsi="Times New Roman"/>
          <w:sz w:val="21"/>
          <w:szCs w:val="21"/>
          <w:color w:val="auto"/>
        </w:rPr>
        <w:t xml:space="preserve"> otherwise payable to such Participant shall be reduced by the amount of any such Other Severance actually paid to the Participant (but not below zero). Notwithstanding anything to the contrary herein, nothing in this </w:t>
      </w:r>
      <w:r>
        <w:rPr>
          <w:rFonts w:ascii="Times New Roman" w:cs="Times New Roman" w:eastAsia="Times New Roman" w:hAnsi="Times New Roman"/>
          <w:sz w:val="21"/>
          <w:szCs w:val="21"/>
          <w:u w:val="single" w:color="auto"/>
          <w:color w:val="auto"/>
        </w:rPr>
        <w:t>Section 2.4</w:t>
      </w:r>
      <w:r>
        <w:rPr>
          <w:rFonts w:ascii="Times New Roman" w:cs="Times New Roman" w:eastAsia="Times New Roman" w:hAnsi="Times New Roman"/>
          <w:sz w:val="21"/>
          <w:szCs w:val="21"/>
          <w:color w:val="auto"/>
        </w:rPr>
        <w:t xml:space="preserve"> shall prevent the Board, or the Committee, from making any subsequent determinations with respect to severance payments and benefits payable to a Participant. For the avoidance of doubt, (i) this </w:t>
      </w:r>
      <w:r>
        <w:rPr>
          <w:rFonts w:ascii="Times New Roman" w:cs="Times New Roman" w:eastAsia="Times New Roman" w:hAnsi="Times New Roman"/>
          <w:sz w:val="21"/>
          <w:szCs w:val="21"/>
          <w:u w:val="single" w:color="auto"/>
          <w:color w:val="auto"/>
        </w:rPr>
        <w:t>Section 2.4</w:t>
      </w:r>
      <w:r>
        <w:rPr>
          <w:rFonts w:ascii="Times New Roman" w:cs="Times New Roman" w:eastAsia="Times New Roman" w:hAnsi="Times New Roman"/>
          <w:sz w:val="21"/>
          <w:szCs w:val="21"/>
          <w:color w:val="auto"/>
        </w:rPr>
        <w:t xml:space="preserve"> shall not apply to any accelerated vesting, payment or settlement of long-term cash or equity incentive awards that specifically provide for such treatment in connection with a Qualifying Termination or similar event and (ii) in the event of a Qualifying Termination pursuant to clause (ii) or (iii) of the definition thereof, any amount payable hereunder shall be offset and reduced by the amount of any Other Severance previously provided to the Participant under any other severance arrangement with the Company.</w:t>
      </w:r>
    </w:p>
    <w:p>
      <w:pPr>
        <w:spacing w:after="0" w:line="162" w:lineRule="exact"/>
        <w:rPr>
          <w:sz w:val="20"/>
          <w:szCs w:val="20"/>
          <w:color w:val="auto"/>
        </w:rPr>
      </w:pPr>
    </w:p>
    <w:p>
      <w:pPr>
        <w:ind w:right="20" w:firstLine="1288"/>
        <w:spacing w:after="0"/>
        <w:rPr>
          <w:sz w:val="20"/>
          <w:szCs w:val="20"/>
          <w:color w:val="auto"/>
        </w:rPr>
      </w:pPr>
      <w:r>
        <w:rPr>
          <w:rFonts w:ascii="Times New Roman" w:cs="Times New Roman" w:eastAsia="Times New Roman" w:hAnsi="Times New Roman"/>
          <w:sz w:val="21"/>
          <w:szCs w:val="21"/>
          <w:color w:val="auto"/>
        </w:rPr>
        <w:t xml:space="preserve">2.5 </w:t>
      </w:r>
      <w:r>
        <w:rPr>
          <w:rFonts w:ascii="Times New Roman" w:cs="Times New Roman" w:eastAsia="Times New Roman" w:hAnsi="Times New Roman"/>
          <w:sz w:val="21"/>
          <w:szCs w:val="21"/>
          <w:i w:val="1"/>
          <w:iCs w:val="1"/>
          <w:color w:val="auto"/>
        </w:rPr>
        <w:t>No Mitigation</w:t>
      </w:r>
      <w:r>
        <w:rPr>
          <w:rFonts w:ascii="Times New Roman" w:cs="Times New Roman" w:eastAsia="Times New Roman" w:hAnsi="Times New Roman"/>
          <w:sz w:val="21"/>
          <w:szCs w:val="21"/>
          <w:color w:val="auto"/>
        </w:rPr>
        <w:t xml:space="preserve">. The Company agrees that, if the Participant’s employment with the Company terminates, the Participant is not required to seek other employment or to attempt in any way to reduce any amounts payable to the Participant by the Company pursuant to </w:t>
      </w:r>
      <w:r>
        <w:rPr>
          <w:rFonts w:ascii="Times New Roman" w:cs="Times New Roman" w:eastAsia="Times New Roman" w:hAnsi="Times New Roman"/>
          <w:sz w:val="21"/>
          <w:szCs w:val="21"/>
          <w:u w:val="single" w:color="auto"/>
          <w:color w:val="auto"/>
        </w:rPr>
        <w:t>Section 2.2</w:t>
      </w:r>
      <w:r>
        <w:rPr>
          <w:rFonts w:ascii="Times New Roman" w:cs="Times New Roman" w:eastAsia="Times New Roman" w:hAnsi="Times New Roman"/>
          <w:sz w:val="21"/>
          <w:szCs w:val="21"/>
          <w:color w:val="auto"/>
        </w:rPr>
        <w:t xml:space="preserve"> hereof. Further, except as set forth in </w:t>
      </w:r>
      <w:r>
        <w:rPr>
          <w:rFonts w:ascii="Times New Roman" w:cs="Times New Roman" w:eastAsia="Times New Roman" w:hAnsi="Times New Roman"/>
          <w:sz w:val="21"/>
          <w:szCs w:val="21"/>
          <w:u w:val="single" w:color="auto"/>
          <w:color w:val="auto"/>
        </w:rPr>
        <w:t>Section 2.4</w:t>
      </w:r>
      <w:r>
        <w:rPr>
          <w:rFonts w:ascii="Times New Roman" w:cs="Times New Roman" w:eastAsia="Times New Roman" w:hAnsi="Times New Roman"/>
          <w:sz w:val="21"/>
          <w:szCs w:val="21"/>
          <w:color w:val="auto"/>
        </w:rPr>
        <w:t xml:space="preserve">, the amount of any payment or benefit provided for in this Plan shall not be reduced by any compensation earned by the Participant as the result of employment by another employer, by retirement benefits, by offset against any amount claimed to be owed by the Participant to the Company or otherwise (other than under </w:t>
      </w:r>
      <w:r>
        <w:rPr>
          <w:rFonts w:ascii="Times New Roman" w:cs="Times New Roman" w:eastAsia="Times New Roman" w:hAnsi="Times New Roman"/>
          <w:sz w:val="21"/>
          <w:szCs w:val="21"/>
          <w:u w:val="single" w:color="auto"/>
          <w:color w:val="auto"/>
        </w:rPr>
        <w:t>Section 2.2(iii)(C)</w:t>
      </w:r>
      <w:r>
        <w:rPr>
          <w:rFonts w:ascii="Times New Roman" w:cs="Times New Roman" w:eastAsia="Times New Roman" w:hAnsi="Times New Roman"/>
          <w:sz w:val="21"/>
          <w:szCs w:val="21"/>
          <w:color w:val="auto"/>
        </w:rPr>
        <w:t xml:space="preserve"> if the Participant becomes eligible for coverage under a subsequent employer’s plan</w:t>
      </w:r>
      <w:r>
        <w:rPr>
          <w:rFonts w:ascii="Times New Roman" w:cs="Times New Roman" w:eastAsia="Times New Roman" w:hAnsi="Times New Roman"/>
          <w:sz w:val="21"/>
          <w:szCs w:val="21"/>
          <w:u w:val="single" w:color="auto"/>
          <w:color w:val="auto"/>
        </w:rPr>
        <w:t>)</w:t>
      </w:r>
      <w:r>
        <w:rPr>
          <w:rFonts w:ascii="Times New Roman" w:cs="Times New Roman" w:eastAsia="Times New Roman" w:hAnsi="Times New Roman"/>
          <w:sz w:val="21"/>
          <w:szCs w:val="21"/>
          <w:color w:val="auto"/>
        </w:rPr>
        <w:t>.</w:t>
      </w:r>
    </w:p>
    <w:p>
      <w:pPr>
        <w:spacing w:after="0" w:line="269" w:lineRule="exact"/>
        <w:rPr>
          <w:sz w:val="20"/>
          <w:szCs w:val="20"/>
          <w:color w:val="auto"/>
        </w:rPr>
      </w:pPr>
    </w:p>
    <w:p>
      <w:pPr>
        <w:ind w:firstLine="1288"/>
        <w:spacing w:after="0"/>
        <w:rPr>
          <w:sz w:val="20"/>
          <w:szCs w:val="20"/>
          <w:color w:val="auto"/>
        </w:rPr>
      </w:pPr>
      <w:r>
        <w:rPr>
          <w:rFonts w:ascii="Times New Roman" w:cs="Times New Roman" w:eastAsia="Times New Roman" w:hAnsi="Times New Roman"/>
          <w:sz w:val="21"/>
          <w:szCs w:val="21"/>
          <w:color w:val="auto"/>
        </w:rPr>
        <w:t xml:space="preserve">Section 3. </w:t>
      </w:r>
      <w:r>
        <w:rPr>
          <w:rFonts w:ascii="Times New Roman" w:cs="Times New Roman" w:eastAsia="Times New Roman" w:hAnsi="Times New Roman"/>
          <w:sz w:val="21"/>
          <w:szCs w:val="21"/>
          <w:i w:val="1"/>
          <w:iCs w:val="1"/>
          <w:color w:val="auto"/>
        </w:rPr>
        <w:t>Notice of Termination</w:t>
      </w:r>
      <w:r>
        <w:rPr>
          <w:rFonts w:ascii="Times New Roman" w:cs="Times New Roman" w:eastAsia="Times New Roman" w:hAnsi="Times New Roman"/>
          <w:sz w:val="21"/>
          <w:szCs w:val="21"/>
          <w:color w:val="auto"/>
        </w:rPr>
        <w:t xml:space="preserve">. Any purported termination of the Participant’s employment pursuant to this Plan shall be communicated by a Notice of Termination from the Participant to the Company or the Company to the Participant, as applicable, in accordance with </w:t>
      </w:r>
      <w:r>
        <w:rPr>
          <w:rFonts w:ascii="Times New Roman" w:cs="Times New Roman" w:eastAsia="Times New Roman" w:hAnsi="Times New Roman"/>
          <w:sz w:val="21"/>
          <w:szCs w:val="21"/>
          <w:u w:val="single" w:color="auto"/>
          <w:color w:val="auto"/>
        </w:rPr>
        <w:t>Section 9.1</w:t>
      </w:r>
      <w:r>
        <w:rPr>
          <w:rFonts w:ascii="Times New Roman" w:cs="Times New Roman" w:eastAsia="Times New Roman" w:hAnsi="Times New Roman"/>
          <w:sz w:val="21"/>
          <w:szCs w:val="21"/>
          <w:color w:val="auto"/>
        </w:rPr>
        <w:t xml:space="preserve"> hereof. For purposes of this Plan, a “</w:t>
      </w:r>
      <w:r>
        <w:rPr>
          <w:rFonts w:ascii="Times New Roman" w:cs="Times New Roman" w:eastAsia="Times New Roman" w:hAnsi="Times New Roman"/>
          <w:sz w:val="21"/>
          <w:szCs w:val="21"/>
          <w:b w:val="1"/>
          <w:bCs w:val="1"/>
          <w:color w:val="auto"/>
        </w:rPr>
        <w:t>Notice of Termination</w:t>
      </w:r>
      <w:r>
        <w:rPr>
          <w:rFonts w:ascii="Times New Roman" w:cs="Times New Roman" w:eastAsia="Times New Roman" w:hAnsi="Times New Roman"/>
          <w:sz w:val="21"/>
          <w:szCs w:val="21"/>
          <w:color w:val="auto"/>
        </w:rPr>
        <w:t>” shall mean a notice in writing which shall (i) indicate the specific termination provision in this Plan relied upon and (ii) set forth in reasonable detail the facts and circumstances claimed to provide a basis for termination of the Participant’s employment under the provision so indicated.</w:t>
      </w:r>
    </w:p>
    <w:p>
      <w:pPr>
        <w:spacing w:after="0" w:line="296" w:lineRule="exact"/>
        <w:rPr>
          <w:sz w:val="20"/>
          <w:szCs w:val="20"/>
          <w:color w:val="auto"/>
        </w:rPr>
      </w:pPr>
    </w:p>
    <w:p>
      <w:pPr>
        <w:ind w:left="1300"/>
        <w:spacing w:after="0"/>
        <w:tabs>
          <w:tab w:leader="none" w:pos="2560" w:val="left"/>
        </w:tabs>
        <w:rPr>
          <w:sz w:val="20"/>
          <w:szCs w:val="20"/>
          <w:color w:val="auto"/>
        </w:rPr>
      </w:pPr>
      <w:r>
        <w:rPr>
          <w:rFonts w:ascii="Times New Roman" w:cs="Times New Roman" w:eastAsia="Times New Roman" w:hAnsi="Times New Roman"/>
          <w:sz w:val="21"/>
          <w:szCs w:val="21"/>
          <w:color w:val="auto"/>
        </w:rPr>
        <w:t>Section 4.</w:t>
      </w:r>
      <w:r>
        <w:rPr>
          <w:sz w:val="20"/>
          <w:szCs w:val="20"/>
          <w:color w:val="auto"/>
        </w:rPr>
        <w:tab/>
      </w:r>
      <w:r>
        <w:rPr>
          <w:rFonts w:ascii="Times New Roman" w:cs="Times New Roman" w:eastAsia="Times New Roman" w:hAnsi="Times New Roman"/>
          <w:sz w:val="21"/>
          <w:szCs w:val="21"/>
          <w:i w:val="1"/>
          <w:iCs w:val="1"/>
          <w:color w:val="auto"/>
        </w:rPr>
        <w:t>Successors; Binding Agreement</w:t>
      </w:r>
      <w:r>
        <w:rPr>
          <w:rFonts w:ascii="Times New Roman" w:cs="Times New Roman" w:eastAsia="Times New Roman" w:hAnsi="Times New Roman"/>
          <w:sz w:val="21"/>
          <w:szCs w:val="21"/>
          <w:color w:val="auto"/>
        </w:rPr>
        <w:t>.</w:t>
      </w:r>
    </w:p>
    <w:p>
      <w:pPr>
        <w:spacing w:after="0" w:line="188" w:lineRule="exact"/>
        <w:rPr>
          <w:sz w:val="20"/>
          <w:szCs w:val="20"/>
          <w:color w:val="auto"/>
        </w:rPr>
      </w:pPr>
    </w:p>
    <w:p>
      <w:pPr>
        <w:ind w:right="500" w:firstLine="1288"/>
        <w:spacing w:after="0" w:line="230" w:lineRule="auto"/>
        <w:rPr>
          <w:sz w:val="20"/>
          <w:szCs w:val="20"/>
          <w:color w:val="auto"/>
        </w:rPr>
      </w:pPr>
      <w:r>
        <w:rPr>
          <w:rFonts w:ascii="Times New Roman" w:cs="Times New Roman" w:eastAsia="Times New Roman" w:hAnsi="Times New Roman"/>
          <w:sz w:val="21"/>
          <w:szCs w:val="21"/>
          <w:color w:val="auto"/>
        </w:rPr>
        <w:t xml:space="preserve">4.1 </w:t>
      </w:r>
      <w:r>
        <w:rPr>
          <w:rFonts w:ascii="Times New Roman" w:cs="Times New Roman" w:eastAsia="Times New Roman" w:hAnsi="Times New Roman"/>
          <w:sz w:val="21"/>
          <w:szCs w:val="21"/>
          <w:i w:val="1"/>
          <w:iCs w:val="1"/>
          <w:color w:val="auto"/>
        </w:rPr>
        <w:t>Successors</w:t>
      </w:r>
      <w:r>
        <w:rPr>
          <w:rFonts w:ascii="Times New Roman" w:cs="Times New Roman" w:eastAsia="Times New Roman" w:hAnsi="Times New Roman"/>
          <w:sz w:val="21"/>
          <w:szCs w:val="21"/>
          <w:color w:val="auto"/>
        </w:rPr>
        <w:t>. In addition to any obligations imposed by law upon any successor to the Company, the Company shall require any successor (whether direct or indirect, by purchase, merger, consolidation or otherwise) to all or substantially all of the business and/or assets of the Company to expressly assume and agree to perform this Plan in the same manner and to the same extent that the Company would be required to perform it if no such succession had taken place.</w:t>
      </w:r>
    </w:p>
    <w:p>
      <w:pPr>
        <w:spacing w:after="0" w:line="148" w:lineRule="exact"/>
        <w:rPr>
          <w:sz w:val="20"/>
          <w:szCs w:val="20"/>
          <w:color w:val="auto"/>
        </w:rPr>
      </w:pPr>
    </w:p>
    <w:p>
      <w:pPr>
        <w:ind w:right="340" w:firstLine="1288"/>
        <w:spacing w:after="0" w:line="236" w:lineRule="auto"/>
        <w:rPr>
          <w:sz w:val="20"/>
          <w:szCs w:val="20"/>
          <w:color w:val="auto"/>
        </w:rPr>
      </w:pPr>
      <w:r>
        <w:rPr>
          <w:rFonts w:ascii="Times New Roman" w:cs="Times New Roman" w:eastAsia="Times New Roman" w:hAnsi="Times New Roman"/>
          <w:sz w:val="21"/>
          <w:szCs w:val="21"/>
          <w:color w:val="auto"/>
        </w:rPr>
        <w:t xml:space="preserve">4.2 </w:t>
      </w:r>
      <w:r>
        <w:rPr>
          <w:rFonts w:ascii="Times New Roman" w:cs="Times New Roman" w:eastAsia="Times New Roman" w:hAnsi="Times New Roman"/>
          <w:sz w:val="21"/>
          <w:szCs w:val="21"/>
          <w:i w:val="1"/>
          <w:iCs w:val="1"/>
          <w:color w:val="auto"/>
        </w:rPr>
        <w:t>Enforcement by Participant’s Successors</w:t>
      </w:r>
      <w:r>
        <w:rPr>
          <w:rFonts w:ascii="Times New Roman" w:cs="Times New Roman" w:eastAsia="Times New Roman" w:hAnsi="Times New Roman"/>
          <w:sz w:val="21"/>
          <w:szCs w:val="21"/>
          <w:color w:val="auto"/>
        </w:rPr>
        <w:t>. The Company’s obligations under this Plan shall inure to the benefit of and be enforceable by the Participant’s personal or legal representatives, executors, administrators, successors, heirs, distributees, devisees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w:t>
      </w:r>
    </w:p>
    <w:p>
      <w:pPr>
        <w:sectPr>
          <w:pgSz w:w="11900" w:h="16838" w:orient="portrait"/>
          <w:cols w:equalWidth="0" w:num="1">
            <w:col w:w="11240"/>
          </w:cols>
          <w:pgMar w:left="320" w:top="1387" w:right="339" w:bottom="1440" w:gutter="0" w:footer="0" w:header="0"/>
        </w:sectPr>
      </w:pPr>
    </w:p>
    <w:bookmarkStart w:id="12" w:name="page13"/>
    <w:bookmarkEnd w:id="12"/>
    <w:p>
      <w:pPr>
        <w:spacing w:after="0" w:line="234" w:lineRule="auto"/>
        <w:rPr>
          <w:sz w:val="20"/>
          <w:szCs w:val="20"/>
          <w:color w:val="auto"/>
        </w:rPr>
      </w:pPr>
      <w:r>
        <w:rPr>
          <w:rFonts w:ascii="Times New Roman" w:cs="Times New Roman" w:eastAsia="Times New Roman" w:hAnsi="Times New Roman"/>
          <w:sz w:val="21"/>
          <w:szCs w:val="21"/>
          <w:color w:val="auto"/>
        </w:rPr>
        <w:t>legatees. If the Participant shall die while any amount would still be payable to the Participant hereunder if the Participant had continued to live, all such amounts, unless otherwise provided herein, shall be paid in accordance with the terms of this Plan to the executors, personal representatives or administrators of the Participant’s estate.</w:t>
      </w:r>
    </w:p>
    <w:p>
      <w:pPr>
        <w:spacing w:after="0" w:line="149" w:lineRule="exact"/>
        <w:rPr>
          <w:sz w:val="20"/>
          <w:szCs w:val="20"/>
          <w:color w:val="auto"/>
        </w:rPr>
      </w:pPr>
    </w:p>
    <w:p>
      <w:pPr>
        <w:ind w:right="240" w:firstLine="1288"/>
        <w:spacing w:after="0" w:line="255" w:lineRule="auto"/>
        <w:rPr>
          <w:sz w:val="20"/>
          <w:szCs w:val="20"/>
          <w:color w:val="auto"/>
        </w:rPr>
      </w:pPr>
      <w:r>
        <w:rPr>
          <w:rFonts w:ascii="Times New Roman" w:cs="Times New Roman" w:eastAsia="Times New Roman" w:hAnsi="Times New Roman"/>
          <w:sz w:val="21"/>
          <w:szCs w:val="21"/>
          <w:color w:val="auto"/>
        </w:rPr>
        <w:t xml:space="preserve">Section 5. </w:t>
      </w:r>
      <w:r>
        <w:rPr>
          <w:rFonts w:ascii="Times New Roman" w:cs="Times New Roman" w:eastAsia="Times New Roman" w:hAnsi="Times New Roman"/>
          <w:sz w:val="21"/>
          <w:szCs w:val="21"/>
          <w:i w:val="1"/>
          <w:iCs w:val="1"/>
          <w:color w:val="auto"/>
        </w:rPr>
        <w:t>Settlement of Disputes</w:t>
      </w:r>
      <w:r>
        <w:rPr>
          <w:rFonts w:ascii="Times New Roman" w:cs="Times New Roman" w:eastAsia="Times New Roman" w:hAnsi="Times New Roman"/>
          <w:sz w:val="21"/>
          <w:szCs w:val="21"/>
          <w:color w:val="auto"/>
        </w:rPr>
        <w:t>. The Participant and the Company (collectively, the “</w:t>
      </w:r>
      <w:r>
        <w:rPr>
          <w:rFonts w:ascii="Times New Roman" w:cs="Times New Roman" w:eastAsia="Times New Roman" w:hAnsi="Times New Roman"/>
          <w:sz w:val="21"/>
          <w:szCs w:val="21"/>
          <w:b w:val="1"/>
          <w:bCs w:val="1"/>
          <w:color w:val="auto"/>
        </w:rPr>
        <w:t>Parties</w:t>
      </w:r>
      <w:r>
        <w:rPr>
          <w:rFonts w:ascii="Times New Roman" w:cs="Times New Roman" w:eastAsia="Times New Roman" w:hAnsi="Times New Roman"/>
          <w:sz w:val="21"/>
          <w:szCs w:val="21"/>
          <w:color w:val="auto"/>
        </w:rPr>
        <w:t>”) irrevocably and unconditionally agree that any disputes shall be settled in accordance with the RCA.</w:t>
      </w:r>
    </w:p>
    <w:p>
      <w:pPr>
        <w:spacing w:after="0" w:line="131" w:lineRule="exact"/>
        <w:rPr>
          <w:sz w:val="20"/>
          <w:szCs w:val="20"/>
          <w:color w:val="auto"/>
        </w:rPr>
      </w:pPr>
    </w:p>
    <w:p>
      <w:pPr>
        <w:ind w:right="20" w:firstLine="1288"/>
        <w:spacing w:after="0" w:line="230" w:lineRule="auto"/>
        <w:rPr>
          <w:sz w:val="20"/>
          <w:szCs w:val="20"/>
          <w:color w:val="auto"/>
        </w:rPr>
      </w:pPr>
      <w:r>
        <w:rPr>
          <w:rFonts w:ascii="Times New Roman" w:cs="Times New Roman" w:eastAsia="Times New Roman" w:hAnsi="Times New Roman"/>
          <w:sz w:val="21"/>
          <w:szCs w:val="21"/>
          <w:color w:val="auto"/>
        </w:rPr>
        <w:t xml:space="preserve">Section 6. </w:t>
      </w:r>
      <w:r>
        <w:rPr>
          <w:rFonts w:ascii="Times New Roman" w:cs="Times New Roman" w:eastAsia="Times New Roman" w:hAnsi="Times New Roman"/>
          <w:sz w:val="21"/>
          <w:szCs w:val="21"/>
          <w:i w:val="1"/>
          <w:iCs w:val="1"/>
          <w:color w:val="auto"/>
        </w:rPr>
        <w:t>Legal Fees</w:t>
      </w:r>
      <w:r>
        <w:rPr>
          <w:rFonts w:ascii="Times New Roman" w:cs="Times New Roman" w:eastAsia="Times New Roman" w:hAnsi="Times New Roman"/>
          <w:sz w:val="21"/>
          <w:szCs w:val="21"/>
          <w:color w:val="auto"/>
        </w:rPr>
        <w:t xml:space="preserve">. The Parties shall each bear their own expenses, legal fees and other fees incurred in connection with this Plan;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that the prevailing Party in any such action shall be fully reimbursed by the other Party for all costs, including reasonable attorneys’ fees, court costs, expert or consultants’ fees and reasonable travel and lodging expenses, incurred by the prevailing Party in its successful prosecution or defense thereof, including any appellate proceedings.</w:t>
      </w:r>
    </w:p>
    <w:p>
      <w:pPr>
        <w:spacing w:after="0" w:line="148" w:lineRule="exact"/>
        <w:rPr>
          <w:sz w:val="20"/>
          <w:szCs w:val="20"/>
          <w:color w:val="auto"/>
        </w:rPr>
      </w:pPr>
    </w:p>
    <w:p>
      <w:pPr>
        <w:ind w:firstLine="1288"/>
        <w:spacing w:after="0" w:line="220" w:lineRule="auto"/>
        <w:rPr>
          <w:sz w:val="20"/>
          <w:szCs w:val="20"/>
          <w:color w:val="auto"/>
        </w:rPr>
      </w:pPr>
      <w:r>
        <w:rPr>
          <w:rFonts w:ascii="Times New Roman" w:cs="Times New Roman" w:eastAsia="Times New Roman" w:hAnsi="Times New Roman"/>
          <w:sz w:val="21"/>
          <w:szCs w:val="21"/>
          <w:color w:val="auto"/>
        </w:rPr>
        <w:t xml:space="preserve">Section 7. </w:t>
      </w:r>
      <w:r>
        <w:rPr>
          <w:rFonts w:ascii="Times New Roman" w:cs="Times New Roman" w:eastAsia="Times New Roman" w:hAnsi="Times New Roman"/>
          <w:sz w:val="21"/>
          <w:szCs w:val="21"/>
          <w:i w:val="1"/>
          <w:iCs w:val="1"/>
          <w:color w:val="auto"/>
        </w:rPr>
        <w:t>Plan Modification or Termination</w:t>
      </w:r>
      <w:r>
        <w:rPr>
          <w:rFonts w:ascii="Times New Roman" w:cs="Times New Roman" w:eastAsia="Times New Roman" w:hAnsi="Times New Roman"/>
          <w:sz w:val="21"/>
          <w:szCs w:val="21"/>
          <w:color w:val="auto"/>
        </w:rPr>
        <w:t xml:space="preserve">. This Plan may be amended in any manner or terminated in whole or in part by the Board upon 30 days’ prior notice to the Participants in accordance with </w:t>
      </w:r>
      <w:r>
        <w:rPr>
          <w:rFonts w:ascii="Times New Roman" w:cs="Times New Roman" w:eastAsia="Times New Roman" w:hAnsi="Times New Roman"/>
          <w:sz w:val="21"/>
          <w:szCs w:val="21"/>
          <w:u w:val="single" w:color="auto"/>
          <w:color w:val="auto"/>
        </w:rPr>
        <w:t>Section 9.1</w:t>
      </w:r>
      <w:r>
        <w:rPr>
          <w:rFonts w:ascii="Times New Roman" w:cs="Times New Roman" w:eastAsia="Times New Roman" w:hAnsi="Times New Roman"/>
          <w:sz w:val="21"/>
          <w:szCs w:val="21"/>
          <w:color w:val="auto"/>
        </w:rPr>
        <w:t xml:space="preserve"> hereof. Notwithstanding the foregoing, (i) any amendment to this Plan (or any appendix or exhibit thereto) that adversely affects the benefits potentially payable to a Participant (including, without limitation, a proposed termination of this Plan, or imposing additional conditions or modifying the amount or timing of payment) shall not be effective without the written consent of such Participant, unless such amendment is required by law or a written notice is provided to such Participant at least one year in advance of the effectiveness of such amendment and (ii) this Plan may not be terminated in whole or in part, or otherwise amended or modified in any respect, within the one-year periods immediately preceding and/or following the occurrence of a Change in Control. Any action of the Board in amending or terminating this Plan (or any appendix or exhibit thereto) shall be taken in a non-fiduciary capacity.</w:t>
      </w:r>
    </w:p>
    <w:p>
      <w:pPr>
        <w:spacing w:after="0" w:line="155" w:lineRule="exact"/>
        <w:rPr>
          <w:sz w:val="20"/>
          <w:szCs w:val="20"/>
          <w:color w:val="auto"/>
        </w:rPr>
      </w:pPr>
    </w:p>
    <w:p>
      <w:pPr>
        <w:ind w:left="1300"/>
        <w:spacing w:after="0"/>
        <w:tabs>
          <w:tab w:leader="none" w:pos="2560" w:val="left"/>
        </w:tabs>
        <w:rPr>
          <w:sz w:val="20"/>
          <w:szCs w:val="20"/>
          <w:color w:val="auto"/>
        </w:rPr>
      </w:pPr>
      <w:r>
        <w:rPr>
          <w:rFonts w:ascii="Times New Roman" w:cs="Times New Roman" w:eastAsia="Times New Roman" w:hAnsi="Times New Roman"/>
          <w:sz w:val="21"/>
          <w:szCs w:val="21"/>
          <w:color w:val="auto"/>
        </w:rPr>
        <w:t>Section 8.</w:t>
      </w:r>
      <w:r>
        <w:rPr>
          <w:sz w:val="20"/>
          <w:szCs w:val="20"/>
          <w:color w:val="auto"/>
        </w:rPr>
        <w:tab/>
      </w:r>
      <w:r>
        <w:rPr>
          <w:rFonts w:ascii="Times New Roman" w:cs="Times New Roman" w:eastAsia="Times New Roman" w:hAnsi="Times New Roman"/>
          <w:sz w:val="21"/>
          <w:szCs w:val="21"/>
          <w:i w:val="1"/>
          <w:iCs w:val="1"/>
          <w:color w:val="auto"/>
        </w:rPr>
        <w:t>Parachute Payments</w:t>
      </w:r>
      <w:r>
        <w:rPr>
          <w:rFonts w:ascii="Times New Roman" w:cs="Times New Roman" w:eastAsia="Times New Roman" w:hAnsi="Times New Roman"/>
          <w:sz w:val="21"/>
          <w:szCs w:val="21"/>
          <w:color w:val="auto"/>
        </w:rPr>
        <w:t>.</w:t>
      </w:r>
    </w:p>
    <w:p>
      <w:pPr>
        <w:spacing w:after="0" w:line="189"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1"/>
          <w:szCs w:val="21"/>
          <w:color w:val="auto"/>
        </w:rPr>
        <w:t>8.1</w:t>
      </w:r>
      <w:r>
        <w:rPr>
          <w:sz w:val="20"/>
          <w:szCs w:val="20"/>
          <w:color w:val="auto"/>
        </w:rPr>
        <w:tab/>
      </w:r>
      <w:r>
        <w:rPr>
          <w:rFonts w:ascii="Times New Roman" w:cs="Times New Roman" w:eastAsia="Times New Roman" w:hAnsi="Times New Roman"/>
          <w:sz w:val="21"/>
          <w:szCs w:val="21"/>
          <w:color w:val="auto"/>
        </w:rPr>
        <w:t>Notwithstanding any other provision of this Plan or any compensation or benefit program or other</w:t>
      </w:r>
    </w:p>
    <w:p>
      <w:pPr>
        <w:spacing w:after="0" w:line="213" w:lineRule="auto"/>
        <w:rPr>
          <w:sz w:val="20"/>
          <w:szCs w:val="20"/>
          <w:color w:val="auto"/>
        </w:rPr>
      </w:pPr>
      <w:r>
        <w:rPr>
          <w:rFonts w:ascii="Times New Roman" w:cs="Times New Roman" w:eastAsia="Times New Roman" w:hAnsi="Times New Roman"/>
          <w:sz w:val="21"/>
          <w:szCs w:val="21"/>
          <w:color w:val="auto"/>
        </w:rPr>
        <w:t>agreement to the contrary, if any payment or benefit by or from the Company or any of its Affiliates to or for the benefit of the</w:t>
      </w:r>
    </w:p>
    <w:p>
      <w:pPr>
        <w:spacing w:after="0" w:line="213" w:lineRule="auto"/>
        <w:rPr>
          <w:sz w:val="20"/>
          <w:szCs w:val="20"/>
          <w:color w:val="auto"/>
        </w:rPr>
      </w:pPr>
      <w:r>
        <w:rPr>
          <w:rFonts w:ascii="Times New Roman" w:cs="Times New Roman" w:eastAsia="Times New Roman" w:hAnsi="Times New Roman"/>
          <w:sz w:val="21"/>
          <w:szCs w:val="21"/>
          <w:color w:val="auto"/>
        </w:rPr>
        <w:t>Participant, whether paid or payable or distributed or distributable pursuant to the terms of this Plan or otherwise, would be</w:t>
      </w:r>
    </w:p>
    <w:p>
      <w:pPr>
        <w:spacing w:after="0" w:line="214" w:lineRule="auto"/>
        <w:rPr>
          <w:sz w:val="20"/>
          <w:szCs w:val="20"/>
          <w:color w:val="auto"/>
        </w:rPr>
      </w:pPr>
      <w:r>
        <w:rPr>
          <w:rFonts w:ascii="Times New Roman" w:cs="Times New Roman" w:eastAsia="Times New Roman" w:hAnsi="Times New Roman"/>
          <w:sz w:val="21"/>
          <w:szCs w:val="21"/>
          <w:color w:val="auto"/>
        </w:rPr>
        <w:t>subject to the Excise Tax (as hereinafter defined) (all such payments and benefits being collectively referred to herein as the</w:t>
      </w:r>
    </w:p>
    <w:p>
      <w:pPr>
        <w:spacing w:after="0" w:line="21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Payments</w:t>
      </w:r>
      <w:r>
        <w:rPr>
          <w:rFonts w:ascii="Times New Roman" w:cs="Times New Roman" w:eastAsia="Times New Roman" w:hAnsi="Times New Roman"/>
          <w:sz w:val="21"/>
          <w:szCs w:val="21"/>
          <w:color w:val="auto"/>
        </w:rPr>
        <w:t xml:space="preserve">”), then except as otherwise provided in </w:t>
      </w:r>
      <w:r>
        <w:rPr>
          <w:rFonts w:ascii="Times New Roman" w:cs="Times New Roman" w:eastAsia="Times New Roman" w:hAnsi="Times New Roman"/>
          <w:sz w:val="21"/>
          <w:szCs w:val="21"/>
          <w:u w:val="single" w:color="auto"/>
          <w:color w:val="auto"/>
        </w:rPr>
        <w:t>Section 8.2</w:t>
      </w:r>
      <w:r>
        <w:rPr>
          <w:rFonts w:ascii="Times New Roman" w:cs="Times New Roman" w:eastAsia="Times New Roman" w:hAnsi="Times New Roman"/>
          <w:sz w:val="21"/>
          <w:szCs w:val="21"/>
          <w:color w:val="auto"/>
        </w:rPr>
        <w:t>, the Payments shall be reduced (but not below zero) or eliminated</w:t>
      </w:r>
    </w:p>
    <w:p>
      <w:pPr>
        <w:spacing w:after="0" w:line="214" w:lineRule="auto"/>
        <w:rPr>
          <w:sz w:val="20"/>
          <w:szCs w:val="20"/>
          <w:color w:val="auto"/>
        </w:rPr>
      </w:pPr>
      <w:r>
        <w:rPr>
          <w:rFonts w:ascii="Times New Roman" w:cs="Times New Roman" w:eastAsia="Times New Roman" w:hAnsi="Times New Roman"/>
          <w:sz w:val="21"/>
          <w:szCs w:val="21"/>
          <w:color w:val="auto"/>
        </w:rPr>
        <w:t xml:space="preserve">(as further provided for in </w:t>
      </w:r>
      <w:r>
        <w:rPr>
          <w:rFonts w:ascii="Times New Roman" w:cs="Times New Roman" w:eastAsia="Times New Roman" w:hAnsi="Times New Roman"/>
          <w:sz w:val="21"/>
          <w:szCs w:val="21"/>
          <w:u w:val="single" w:color="auto"/>
          <w:color w:val="auto"/>
        </w:rPr>
        <w:t>Section 8.3</w:t>
      </w:r>
      <w:r>
        <w:rPr>
          <w:rFonts w:ascii="Times New Roman" w:cs="Times New Roman" w:eastAsia="Times New Roman" w:hAnsi="Times New Roman"/>
          <w:sz w:val="21"/>
          <w:szCs w:val="21"/>
          <w:color w:val="auto"/>
        </w:rPr>
        <w:t>) to the extent the Independent Tax Advisor shall reasonably determine is necessary so that</w:t>
      </w:r>
    </w:p>
    <w:p>
      <w:pPr>
        <w:spacing w:after="0"/>
        <w:rPr>
          <w:sz w:val="20"/>
          <w:szCs w:val="20"/>
          <w:color w:val="auto"/>
        </w:rPr>
      </w:pPr>
      <w:r>
        <w:rPr>
          <w:rFonts w:ascii="Times New Roman" w:cs="Times New Roman" w:eastAsia="Times New Roman" w:hAnsi="Times New Roman"/>
          <w:sz w:val="21"/>
          <w:szCs w:val="21"/>
          <w:color w:val="auto"/>
        </w:rPr>
        <w:t>no portion of the Payments shall be subject to the Excise Tax (the “</w:t>
      </w:r>
      <w:r>
        <w:rPr>
          <w:rFonts w:ascii="Times New Roman" w:cs="Times New Roman" w:eastAsia="Times New Roman" w:hAnsi="Times New Roman"/>
          <w:sz w:val="21"/>
          <w:szCs w:val="21"/>
          <w:b w:val="1"/>
          <w:bCs w:val="1"/>
          <w:color w:val="auto"/>
        </w:rPr>
        <w:t>Reduced Amount</w:t>
      </w:r>
      <w:r>
        <w:rPr>
          <w:rFonts w:ascii="Times New Roman" w:cs="Times New Roman" w:eastAsia="Times New Roman" w:hAnsi="Times New Roman"/>
          <w:sz w:val="21"/>
          <w:szCs w:val="21"/>
          <w:color w:val="auto"/>
        </w:rPr>
        <w:t>”).</w:t>
      </w:r>
    </w:p>
    <w:p>
      <w:pPr>
        <w:spacing w:after="0" w:line="164" w:lineRule="exact"/>
        <w:rPr>
          <w:sz w:val="20"/>
          <w:szCs w:val="20"/>
          <w:color w:val="auto"/>
        </w:rPr>
      </w:pPr>
    </w:p>
    <w:p>
      <w:pPr>
        <w:ind w:right="180" w:firstLine="1288"/>
        <w:spacing w:after="0" w:line="226" w:lineRule="auto"/>
        <w:rPr>
          <w:sz w:val="20"/>
          <w:szCs w:val="20"/>
          <w:color w:val="auto"/>
        </w:rPr>
      </w:pPr>
      <w:r>
        <w:rPr>
          <w:rFonts w:ascii="Times New Roman" w:cs="Times New Roman" w:eastAsia="Times New Roman" w:hAnsi="Times New Roman"/>
          <w:sz w:val="21"/>
          <w:szCs w:val="21"/>
          <w:color w:val="auto"/>
        </w:rPr>
        <w:t xml:space="preserve">8.2 Notwithstanding the provisions of </w:t>
      </w:r>
      <w:r>
        <w:rPr>
          <w:rFonts w:ascii="Times New Roman" w:cs="Times New Roman" w:eastAsia="Times New Roman" w:hAnsi="Times New Roman"/>
          <w:sz w:val="21"/>
          <w:szCs w:val="21"/>
          <w:u w:val="single" w:color="auto"/>
          <w:color w:val="auto"/>
        </w:rPr>
        <w:t>Section 8.1</w:t>
      </w:r>
      <w:r>
        <w:rPr>
          <w:rFonts w:ascii="Times New Roman" w:cs="Times New Roman" w:eastAsia="Times New Roman" w:hAnsi="Times New Roman"/>
          <w:sz w:val="21"/>
          <w:szCs w:val="21"/>
          <w:color w:val="auto"/>
        </w:rPr>
        <w:t xml:space="preserve">, if the Independent Tax Advisor reasonably determines that the Participant would receive, in the aggregate, a greater amount of the Payments on an after-tax basis (including all applicable federal, state and local income, employment and other applicable taxes and the Excise Tax) if the Payments were not reduced or eliminated to the Reduced Amount pursuant to </w:t>
      </w:r>
      <w:r>
        <w:rPr>
          <w:rFonts w:ascii="Times New Roman" w:cs="Times New Roman" w:eastAsia="Times New Roman" w:hAnsi="Times New Roman"/>
          <w:sz w:val="21"/>
          <w:szCs w:val="21"/>
          <w:u w:val="single" w:color="auto"/>
          <w:color w:val="auto"/>
        </w:rPr>
        <w:t>Section 8.1</w:t>
      </w:r>
      <w:r>
        <w:rPr>
          <w:rFonts w:ascii="Times New Roman" w:cs="Times New Roman" w:eastAsia="Times New Roman" w:hAnsi="Times New Roman"/>
          <w:sz w:val="21"/>
          <w:szCs w:val="21"/>
          <w:color w:val="auto"/>
        </w:rPr>
        <w:t>, then no such reduction shall be made notwithstanding that all or any portion of the Payments may be subject to the Excise Tax.</w:t>
      </w:r>
    </w:p>
    <w:p>
      <w:pPr>
        <w:spacing w:after="0" w:line="151" w:lineRule="exact"/>
        <w:rPr>
          <w:sz w:val="20"/>
          <w:szCs w:val="20"/>
          <w:color w:val="auto"/>
        </w:rPr>
      </w:pPr>
    </w:p>
    <w:p>
      <w:pPr>
        <w:ind w:firstLine="1288"/>
        <w:spacing w:after="0" w:line="234" w:lineRule="auto"/>
        <w:rPr>
          <w:sz w:val="20"/>
          <w:szCs w:val="20"/>
          <w:color w:val="auto"/>
        </w:rPr>
      </w:pPr>
      <w:r>
        <w:rPr>
          <w:rFonts w:ascii="Times New Roman" w:cs="Times New Roman" w:eastAsia="Times New Roman" w:hAnsi="Times New Roman"/>
          <w:sz w:val="21"/>
          <w:szCs w:val="21"/>
          <w:color w:val="auto"/>
        </w:rPr>
        <w:t xml:space="preserve">8.3 For purposes of determining which of </w:t>
      </w:r>
      <w:r>
        <w:rPr>
          <w:rFonts w:ascii="Times New Roman" w:cs="Times New Roman" w:eastAsia="Times New Roman" w:hAnsi="Times New Roman"/>
          <w:sz w:val="21"/>
          <w:szCs w:val="21"/>
          <w:u w:val="single" w:color="auto"/>
          <w:color w:val="auto"/>
        </w:rPr>
        <w:t>Section 8.1</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8.2</w:t>
      </w:r>
      <w:r>
        <w:rPr>
          <w:rFonts w:ascii="Times New Roman" w:cs="Times New Roman" w:eastAsia="Times New Roman" w:hAnsi="Times New Roman"/>
          <w:sz w:val="21"/>
          <w:szCs w:val="21"/>
          <w:color w:val="auto"/>
        </w:rPr>
        <w:t xml:space="preserve"> shall be given effect, the determination of which Payments shall be reduced or eliminated to avoid the Excise Tax shall be made by the Independent Tax Advisor. The Independent Tax Advisor shall provide its determinations, together with detailed supporting calculations and documentation,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9</w:t>
      </w:r>
    </w:p>
    <w:p>
      <w:pPr>
        <w:sectPr>
          <w:pgSz w:w="11900" w:h="16838" w:orient="portrait"/>
          <w:cols w:equalWidth="0" w:num="1">
            <w:col w:w="11220"/>
          </w:cols>
          <w:pgMar w:left="320" w:top="1387" w:right="359" w:bottom="1440" w:gutter="0" w:footer="0" w:header="0"/>
        </w:sectPr>
      </w:pPr>
    </w:p>
    <w:bookmarkStart w:id="13" w:name="page14"/>
    <w:bookmarkEnd w:id="13"/>
    <w:p>
      <w:pPr>
        <w:ind w:right="20"/>
        <w:spacing w:after="0" w:line="219" w:lineRule="auto"/>
        <w:rPr>
          <w:sz w:val="20"/>
          <w:szCs w:val="20"/>
          <w:color w:val="auto"/>
        </w:rPr>
      </w:pPr>
      <w:r>
        <w:rPr>
          <w:rFonts w:ascii="Times New Roman" w:cs="Times New Roman" w:eastAsia="Times New Roman" w:hAnsi="Times New Roman"/>
          <w:sz w:val="21"/>
          <w:szCs w:val="21"/>
          <w:color w:val="auto"/>
        </w:rPr>
        <w:t>the Company and the Participant for their review no later than 10 days after the Vesting Date. If a reduction in payments or benefits is necessary so that the Payments equal the Reduced Amount, reduction shall occur in the following order: (i) first by reducing or eliminating the portion of the Payments that are payable in cash, (ii) second by reducing or eliminating the portion of the Payments that are not payable in cash (other than Payments as to which Treasury Regulations Section 1.280G-1 Q/A – 24(c) (or any successor provision thereto) applies (“</w:t>
      </w:r>
      <w:r>
        <w:rPr>
          <w:rFonts w:ascii="Times New Roman" w:cs="Times New Roman" w:eastAsia="Times New Roman" w:hAnsi="Times New Roman"/>
          <w:sz w:val="21"/>
          <w:szCs w:val="21"/>
          <w:b w:val="1"/>
          <w:bCs w:val="1"/>
          <w:color w:val="auto"/>
        </w:rPr>
        <w:t>Q/A-24(c) Payments</w:t>
      </w:r>
      <w:r>
        <w:rPr>
          <w:rFonts w:ascii="Times New Roman" w:cs="Times New Roman" w:eastAsia="Times New Roman" w:hAnsi="Times New Roman"/>
          <w:sz w:val="21"/>
          <w:szCs w:val="21"/>
          <w:color w:val="auto"/>
        </w:rPr>
        <w:t xml:space="preserve">”)) and (iii) third by reducing or eliminating Q/A-24(c) Payments. In the event that any Q/A-24(c) Payment or acceleration is to be reduced, such Q/A-24(c) Payment shall be reduced or cancelled in the reverse order of the date of grant of the awards. The determinations of the Independent Tax Advisor under this </w:t>
      </w:r>
      <w:r>
        <w:rPr>
          <w:rFonts w:ascii="Times New Roman" w:cs="Times New Roman" w:eastAsia="Times New Roman" w:hAnsi="Times New Roman"/>
          <w:sz w:val="21"/>
          <w:szCs w:val="21"/>
          <w:u w:val="single" w:color="auto"/>
          <w:color w:val="auto"/>
        </w:rPr>
        <w:t>Section 8</w:t>
      </w:r>
      <w:r>
        <w:rPr>
          <w:rFonts w:ascii="Times New Roman" w:cs="Times New Roman" w:eastAsia="Times New Roman" w:hAnsi="Times New Roman"/>
          <w:sz w:val="21"/>
          <w:szCs w:val="21"/>
          <w:color w:val="auto"/>
        </w:rPr>
        <w:t xml:space="preserve"> shall, after due consideration of the Company’s and the Participant’s comments with respect to such determinations and the interpretation and application of this </w:t>
      </w:r>
      <w:r>
        <w:rPr>
          <w:rFonts w:ascii="Times New Roman" w:cs="Times New Roman" w:eastAsia="Times New Roman" w:hAnsi="Times New Roman"/>
          <w:sz w:val="21"/>
          <w:szCs w:val="21"/>
          <w:u w:val="single" w:color="auto"/>
          <w:color w:val="auto"/>
        </w:rPr>
        <w:t>Section 8</w:t>
      </w:r>
      <w:r>
        <w:rPr>
          <w:rFonts w:ascii="Times New Roman" w:cs="Times New Roman" w:eastAsia="Times New Roman" w:hAnsi="Times New Roman"/>
          <w:sz w:val="21"/>
          <w:szCs w:val="21"/>
          <w:color w:val="auto"/>
        </w:rPr>
        <w:t xml:space="preserve">, be final and binding on the Parties absent manifest error. The Company and the Participant shall furnish to the Independent Tax Advisor such information and documents as the Independent Tax Advisor may reasonably request in order to make the determinations required under this </w:t>
      </w:r>
      <w:r>
        <w:rPr>
          <w:rFonts w:ascii="Times New Roman" w:cs="Times New Roman" w:eastAsia="Times New Roman" w:hAnsi="Times New Roman"/>
          <w:sz w:val="21"/>
          <w:szCs w:val="21"/>
          <w:u w:val="single" w:color="auto"/>
          <w:color w:val="auto"/>
        </w:rPr>
        <w:t>Section 8</w:t>
      </w:r>
      <w:r>
        <w:rPr>
          <w:rFonts w:ascii="Times New Roman" w:cs="Times New Roman" w:eastAsia="Times New Roman" w:hAnsi="Times New Roman"/>
          <w:sz w:val="21"/>
          <w:szCs w:val="21"/>
          <w:color w:val="auto"/>
        </w:rPr>
        <w:t>.</w:t>
      </w:r>
    </w:p>
    <w:p>
      <w:pPr>
        <w:spacing w:after="0" w:line="149" w:lineRule="exact"/>
        <w:rPr>
          <w:sz w:val="20"/>
          <w:szCs w:val="20"/>
          <w:color w:val="auto"/>
        </w:rPr>
      </w:pPr>
    </w:p>
    <w:p>
      <w:pPr>
        <w:ind w:left="1300"/>
        <w:spacing w:after="0"/>
        <w:tabs>
          <w:tab w:leader="none" w:pos="2560" w:val="left"/>
        </w:tabs>
        <w:rPr>
          <w:sz w:val="20"/>
          <w:szCs w:val="20"/>
          <w:color w:val="auto"/>
        </w:rPr>
      </w:pPr>
      <w:r>
        <w:rPr>
          <w:rFonts w:ascii="Times New Roman" w:cs="Times New Roman" w:eastAsia="Times New Roman" w:hAnsi="Times New Roman"/>
          <w:sz w:val="21"/>
          <w:szCs w:val="21"/>
          <w:color w:val="auto"/>
        </w:rPr>
        <w:t>Section 9.</w:t>
      </w:r>
      <w:r>
        <w:rPr>
          <w:sz w:val="20"/>
          <w:szCs w:val="20"/>
          <w:color w:val="auto"/>
        </w:rPr>
        <w:tab/>
      </w:r>
      <w:r>
        <w:rPr>
          <w:rFonts w:ascii="Times New Roman" w:cs="Times New Roman" w:eastAsia="Times New Roman" w:hAnsi="Times New Roman"/>
          <w:sz w:val="21"/>
          <w:szCs w:val="21"/>
          <w:i w:val="1"/>
          <w:iCs w:val="1"/>
          <w:color w:val="auto"/>
        </w:rPr>
        <w:t>General Provisions</w:t>
      </w:r>
      <w:r>
        <w:rPr>
          <w:rFonts w:ascii="Times New Roman" w:cs="Times New Roman" w:eastAsia="Times New Roman" w:hAnsi="Times New Roman"/>
          <w:sz w:val="21"/>
          <w:szCs w:val="21"/>
          <w:color w:val="auto"/>
        </w:rPr>
        <w:t>.</w:t>
      </w:r>
    </w:p>
    <w:p>
      <w:pPr>
        <w:spacing w:after="0" w:line="188" w:lineRule="exact"/>
        <w:rPr>
          <w:sz w:val="20"/>
          <w:szCs w:val="20"/>
          <w:color w:val="auto"/>
        </w:rPr>
      </w:pPr>
    </w:p>
    <w:p>
      <w:pPr>
        <w:jc w:val="both"/>
        <w:ind w:right="300" w:firstLine="1288"/>
        <w:spacing w:after="0" w:line="236" w:lineRule="auto"/>
        <w:rPr>
          <w:sz w:val="20"/>
          <w:szCs w:val="20"/>
          <w:color w:val="auto"/>
        </w:rPr>
      </w:pPr>
      <w:r>
        <w:rPr>
          <w:rFonts w:ascii="Times New Roman" w:cs="Times New Roman" w:eastAsia="Times New Roman" w:hAnsi="Times New Roman"/>
          <w:sz w:val="21"/>
          <w:szCs w:val="21"/>
          <w:color w:val="auto"/>
        </w:rPr>
        <w:t xml:space="preserve">9.1 </w:t>
      </w:r>
      <w:r>
        <w:rPr>
          <w:rFonts w:ascii="Times New Roman" w:cs="Times New Roman" w:eastAsia="Times New Roman" w:hAnsi="Times New Roman"/>
          <w:sz w:val="21"/>
          <w:szCs w:val="21"/>
          <w:i w:val="1"/>
          <w:iCs w:val="1"/>
          <w:color w:val="auto"/>
        </w:rPr>
        <w:t>Notices</w:t>
      </w:r>
      <w:r>
        <w:rPr>
          <w:rFonts w:ascii="Times New Roman" w:cs="Times New Roman" w:eastAsia="Times New Roman" w:hAnsi="Times New Roman"/>
          <w:sz w:val="21"/>
          <w:szCs w:val="21"/>
          <w:color w:val="auto"/>
        </w:rPr>
        <w:t>. All notices and communications that are required or permitted to be given hereunder shall be in writing and shall be deemed to have been duly given when delivered personally or upon mailing by registered or certified mail, postage prepaid, return receipt requested, as follows:</w:t>
      </w:r>
    </w:p>
    <w:p>
      <w:pPr>
        <w:spacing w:after="0" w:line="151"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1"/>
          <w:szCs w:val="21"/>
          <w:color w:val="auto"/>
        </w:rPr>
        <w:t>If to the Company:</w:t>
      </w:r>
    </w:p>
    <w:p>
      <w:pPr>
        <w:spacing w:after="0" w:line="185"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1"/>
          <w:szCs w:val="21"/>
          <w:color w:val="auto"/>
        </w:rPr>
        <w:t>Weatherford International plc.</w:t>
      </w:r>
    </w:p>
    <w:p>
      <w:pPr>
        <w:ind w:left="2580"/>
        <w:spacing w:after="0" w:line="213" w:lineRule="auto"/>
        <w:rPr>
          <w:sz w:val="20"/>
          <w:szCs w:val="20"/>
          <w:color w:val="auto"/>
        </w:rPr>
      </w:pPr>
      <w:r>
        <w:rPr>
          <w:rFonts w:ascii="Times New Roman" w:cs="Times New Roman" w:eastAsia="Times New Roman" w:hAnsi="Times New Roman"/>
          <w:sz w:val="21"/>
          <w:szCs w:val="21"/>
          <w:color w:val="auto"/>
        </w:rPr>
        <w:t>2000 Saint James Place</w:t>
      </w:r>
    </w:p>
    <w:p>
      <w:pPr>
        <w:ind w:left="2580"/>
        <w:spacing w:after="0" w:line="213" w:lineRule="auto"/>
        <w:rPr>
          <w:sz w:val="20"/>
          <w:szCs w:val="20"/>
          <w:color w:val="auto"/>
        </w:rPr>
      </w:pPr>
      <w:r>
        <w:rPr>
          <w:rFonts w:ascii="Times New Roman" w:cs="Times New Roman" w:eastAsia="Times New Roman" w:hAnsi="Times New Roman"/>
          <w:sz w:val="21"/>
          <w:szCs w:val="21"/>
          <w:color w:val="auto"/>
        </w:rPr>
        <w:t>Houston, Texas 77056</w:t>
      </w:r>
    </w:p>
    <w:p>
      <w:pPr>
        <w:ind w:left="2580"/>
        <w:spacing w:after="0" w:line="214" w:lineRule="auto"/>
        <w:rPr>
          <w:sz w:val="20"/>
          <w:szCs w:val="20"/>
          <w:color w:val="auto"/>
        </w:rPr>
      </w:pPr>
      <w:r>
        <w:rPr>
          <w:rFonts w:ascii="Times New Roman" w:cs="Times New Roman" w:eastAsia="Times New Roman" w:hAnsi="Times New Roman"/>
          <w:sz w:val="21"/>
          <w:szCs w:val="21"/>
          <w:color w:val="auto"/>
        </w:rPr>
        <w:t>Attention: General Counsel</w:t>
      </w:r>
    </w:p>
    <w:p>
      <w:pPr>
        <w:ind w:left="2580"/>
        <w:spacing w:after="0"/>
        <w:rPr>
          <w:sz w:val="20"/>
          <w:szCs w:val="20"/>
          <w:color w:val="auto"/>
        </w:rPr>
      </w:pPr>
      <w:r>
        <w:rPr>
          <w:rFonts w:ascii="Times New Roman" w:cs="Times New Roman" w:eastAsia="Times New Roman" w:hAnsi="Times New Roman"/>
          <w:sz w:val="21"/>
          <w:szCs w:val="21"/>
          <w:color w:val="auto"/>
        </w:rPr>
        <w:t>Email: legalweatherford@weatherford.com</w:t>
      </w:r>
    </w:p>
    <w:p>
      <w:pPr>
        <w:spacing w:after="0" w:line="164"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1"/>
          <w:szCs w:val="21"/>
          <w:color w:val="auto"/>
        </w:rPr>
        <w:t>If to the Participant, to the address on file with the Company,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or in either case to such other address as may be specified in a notice given by one Party to the other Party hereunder.</w:t>
      </w:r>
    </w:p>
    <w:p>
      <w:pPr>
        <w:spacing w:after="0" w:line="184" w:lineRule="exact"/>
        <w:rPr>
          <w:sz w:val="20"/>
          <w:szCs w:val="20"/>
          <w:color w:val="auto"/>
        </w:rPr>
      </w:pPr>
    </w:p>
    <w:p>
      <w:pPr>
        <w:ind w:right="40" w:firstLine="1288"/>
        <w:spacing w:after="0" w:line="220" w:lineRule="auto"/>
        <w:rPr>
          <w:sz w:val="20"/>
          <w:szCs w:val="20"/>
          <w:color w:val="auto"/>
        </w:rPr>
      </w:pPr>
      <w:r>
        <w:rPr>
          <w:rFonts w:ascii="Times New Roman" w:cs="Times New Roman" w:eastAsia="Times New Roman" w:hAnsi="Times New Roman"/>
          <w:sz w:val="21"/>
          <w:szCs w:val="21"/>
          <w:color w:val="auto"/>
        </w:rPr>
        <w:t xml:space="preserve">9.2 </w:t>
      </w:r>
      <w:r>
        <w:rPr>
          <w:rFonts w:ascii="Times New Roman" w:cs="Times New Roman" w:eastAsia="Times New Roman" w:hAnsi="Times New Roman"/>
          <w:sz w:val="21"/>
          <w:szCs w:val="21"/>
          <w:i w:val="1"/>
          <w:iCs w:val="1"/>
          <w:color w:val="auto"/>
        </w:rPr>
        <w:t>Administration</w:t>
      </w:r>
      <w:r>
        <w:rPr>
          <w:rFonts w:ascii="Times New Roman" w:cs="Times New Roman" w:eastAsia="Times New Roman" w:hAnsi="Times New Roman"/>
          <w:sz w:val="21"/>
          <w:szCs w:val="21"/>
          <w:color w:val="auto"/>
        </w:rPr>
        <w:t xml:space="preserve">. This Plan shall be interpreted, administered and operated by the Committee, which shall have complete authority, in its sole discretion subject to the express provisions of this Plan, to interpret this Plan, to prescribe, amend and rescind rules and regulations relating to it and to make all other determinations necessary or advisable for the administration of this Plan (including, without limitation, any determinations regarding eligibility to participate in this Plan). All questions of any character whatsoever arising in connection with the interpretation of this Plan or its administration or operation shall be submitted to and settled and determined by the Committee in accordance with the procedure for the settlement of disputes described in </w:t>
      </w:r>
      <w:r>
        <w:rPr>
          <w:rFonts w:ascii="Times New Roman" w:cs="Times New Roman" w:eastAsia="Times New Roman" w:hAnsi="Times New Roman"/>
          <w:sz w:val="21"/>
          <w:szCs w:val="21"/>
          <w:u w:val="single" w:color="auto"/>
          <w:color w:val="auto"/>
        </w:rPr>
        <w:t>Section 5</w:t>
      </w:r>
      <w:r>
        <w:rPr>
          <w:rFonts w:ascii="Times New Roman" w:cs="Times New Roman" w:eastAsia="Times New Roman" w:hAnsi="Times New Roman"/>
          <w:sz w:val="21"/>
          <w:szCs w:val="21"/>
          <w:color w:val="auto"/>
        </w:rPr>
        <w:t xml:space="preserve"> hereof. Any such settlement and determination shall be final and conclusive, and shall bind and may be relied upon by the Company, each of the Participants and all other parties in interest. The Committee may delegate any of its duties hereunder to such person or persons from time to time as it may designate.</w:t>
      </w:r>
    </w:p>
    <w:p>
      <w:pPr>
        <w:spacing w:after="0" w:line="155" w:lineRule="exact"/>
        <w:rPr>
          <w:sz w:val="20"/>
          <w:szCs w:val="20"/>
          <w:color w:val="auto"/>
        </w:rPr>
      </w:pPr>
    </w:p>
    <w:p>
      <w:pPr>
        <w:ind w:firstLine="1288"/>
        <w:spacing w:after="0" w:line="230" w:lineRule="auto"/>
        <w:rPr>
          <w:sz w:val="20"/>
          <w:szCs w:val="20"/>
          <w:color w:val="auto"/>
        </w:rPr>
      </w:pPr>
      <w:r>
        <w:rPr>
          <w:rFonts w:ascii="Times New Roman" w:cs="Times New Roman" w:eastAsia="Times New Roman" w:hAnsi="Times New Roman"/>
          <w:sz w:val="21"/>
          <w:szCs w:val="21"/>
          <w:color w:val="auto"/>
        </w:rPr>
        <w:t xml:space="preserve">9.3 </w:t>
      </w:r>
      <w:r>
        <w:rPr>
          <w:rFonts w:ascii="Times New Roman" w:cs="Times New Roman" w:eastAsia="Times New Roman" w:hAnsi="Times New Roman"/>
          <w:sz w:val="21"/>
          <w:szCs w:val="21"/>
          <w:i w:val="1"/>
          <w:iCs w:val="1"/>
          <w:color w:val="auto"/>
        </w:rPr>
        <w:t>Assignment</w:t>
      </w:r>
      <w:r>
        <w:rPr>
          <w:rFonts w:ascii="Times New Roman" w:cs="Times New Roman" w:eastAsia="Times New Roman" w:hAnsi="Times New Roman"/>
          <w:sz w:val="21"/>
          <w:szCs w:val="21"/>
          <w:color w:val="auto"/>
        </w:rPr>
        <w:t>. Except as otherwise provided herein or by law, no right or interest of any Participant under this Plan shall be assignable or transferable, in whole or in part, either directly or by operation of law or otherwise, including without limitation, by execution, levy, garnishment, attachment, pledge or in any manner; no attempted assignment or transfer thereof shall be effective; and no right or interest of any Participant under this Plan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w:t>
      </w:r>
    </w:p>
    <w:p>
      <w:pPr>
        <w:sectPr>
          <w:pgSz w:w="11900" w:h="16838" w:orient="portrait"/>
          <w:cols w:equalWidth="0" w:num="1">
            <w:col w:w="11240"/>
          </w:cols>
          <w:pgMar w:left="320" w:top="1387" w:right="339" w:bottom="1440" w:gutter="0" w:footer="0" w:header="0"/>
        </w:sectPr>
      </w:pPr>
    </w:p>
    <w:bookmarkStart w:id="14" w:name="page15"/>
    <w:bookmarkEnd w:id="14"/>
    <w:p>
      <w:pPr>
        <w:ind w:right="220"/>
        <w:spacing w:after="0" w:line="251" w:lineRule="auto"/>
        <w:rPr>
          <w:sz w:val="20"/>
          <w:szCs w:val="20"/>
          <w:color w:val="auto"/>
        </w:rPr>
      </w:pPr>
      <w:r>
        <w:rPr>
          <w:rFonts w:ascii="Times New Roman" w:cs="Times New Roman" w:eastAsia="Times New Roman" w:hAnsi="Times New Roman"/>
          <w:sz w:val="21"/>
          <w:szCs w:val="21"/>
          <w:color w:val="auto"/>
        </w:rPr>
        <w:t>subject to any obligation or liability of such Participant. When a payment is due under this Plan to a Participant who is unable to care for his or her affairs, payment may be made directly to his or her legal guardian or personal representative.</w:t>
      </w:r>
    </w:p>
    <w:p>
      <w:pPr>
        <w:spacing w:after="0" w:line="135" w:lineRule="exact"/>
        <w:rPr>
          <w:sz w:val="20"/>
          <w:szCs w:val="20"/>
          <w:color w:val="auto"/>
        </w:rPr>
      </w:pPr>
    </w:p>
    <w:p>
      <w:pPr>
        <w:ind w:right="20" w:firstLine="1288"/>
        <w:spacing w:after="0" w:line="236" w:lineRule="auto"/>
        <w:rPr>
          <w:sz w:val="20"/>
          <w:szCs w:val="20"/>
          <w:color w:val="auto"/>
        </w:rPr>
      </w:pPr>
      <w:r>
        <w:rPr>
          <w:rFonts w:ascii="Times New Roman" w:cs="Times New Roman" w:eastAsia="Times New Roman" w:hAnsi="Times New Roman"/>
          <w:sz w:val="21"/>
          <w:szCs w:val="21"/>
          <w:color w:val="auto"/>
        </w:rPr>
        <w:t xml:space="preserve">9.4 </w:t>
      </w:r>
      <w:r>
        <w:rPr>
          <w:rFonts w:ascii="Times New Roman" w:cs="Times New Roman" w:eastAsia="Times New Roman" w:hAnsi="Times New Roman"/>
          <w:sz w:val="21"/>
          <w:szCs w:val="21"/>
          <w:i w:val="1"/>
          <w:iCs w:val="1"/>
          <w:color w:val="auto"/>
        </w:rPr>
        <w:t>Governing Law</w:t>
      </w:r>
      <w:r>
        <w:rPr>
          <w:rFonts w:ascii="Times New Roman" w:cs="Times New Roman" w:eastAsia="Times New Roman" w:hAnsi="Times New Roman"/>
          <w:sz w:val="21"/>
          <w:szCs w:val="21"/>
          <w:color w:val="auto"/>
        </w:rPr>
        <w:t>. This Plan shall be governed by and construed in accordance with the laws of the State of Texas, without regard to any conflicts or choice of law, rule or principle that might otherwise refer the interpretation of this Plan to the substantive law of another jurisdiction.</w:t>
      </w:r>
    </w:p>
    <w:p>
      <w:pPr>
        <w:spacing w:after="0" w:line="147" w:lineRule="exact"/>
        <w:rPr>
          <w:sz w:val="20"/>
          <w:szCs w:val="20"/>
          <w:color w:val="auto"/>
        </w:rPr>
      </w:pPr>
    </w:p>
    <w:p>
      <w:pPr>
        <w:ind w:right="780" w:firstLine="1288"/>
        <w:spacing w:after="0" w:line="255" w:lineRule="auto"/>
        <w:rPr>
          <w:sz w:val="20"/>
          <w:szCs w:val="20"/>
          <w:color w:val="auto"/>
        </w:rPr>
      </w:pPr>
      <w:r>
        <w:rPr>
          <w:rFonts w:ascii="Times New Roman" w:cs="Times New Roman" w:eastAsia="Times New Roman" w:hAnsi="Times New Roman"/>
          <w:sz w:val="21"/>
          <w:szCs w:val="21"/>
          <w:color w:val="auto"/>
        </w:rPr>
        <w:t xml:space="preserve">9.5 </w:t>
      </w:r>
      <w:r>
        <w:rPr>
          <w:rFonts w:ascii="Times New Roman" w:cs="Times New Roman" w:eastAsia="Times New Roman" w:hAnsi="Times New Roman"/>
          <w:sz w:val="21"/>
          <w:szCs w:val="21"/>
          <w:i w:val="1"/>
          <w:iCs w:val="1"/>
          <w:color w:val="auto"/>
        </w:rPr>
        <w:t>Withholding</w:t>
      </w:r>
      <w:r>
        <w:rPr>
          <w:rFonts w:ascii="Times New Roman" w:cs="Times New Roman" w:eastAsia="Times New Roman" w:hAnsi="Times New Roman"/>
          <w:sz w:val="21"/>
          <w:szCs w:val="21"/>
          <w:color w:val="auto"/>
        </w:rPr>
        <w:t>. Any payments and benefits provided for hereunder shall be paid net of any applicable withholding required under applicable law.</w:t>
      </w:r>
    </w:p>
    <w:p>
      <w:pPr>
        <w:spacing w:after="0" w:line="131" w:lineRule="exact"/>
        <w:rPr>
          <w:sz w:val="20"/>
          <w:szCs w:val="20"/>
          <w:color w:val="auto"/>
        </w:rPr>
      </w:pPr>
    </w:p>
    <w:p>
      <w:pPr>
        <w:ind w:right="380" w:firstLine="1288"/>
        <w:spacing w:after="0" w:line="255" w:lineRule="auto"/>
        <w:rPr>
          <w:sz w:val="20"/>
          <w:szCs w:val="20"/>
          <w:color w:val="auto"/>
        </w:rPr>
      </w:pPr>
      <w:r>
        <w:rPr>
          <w:rFonts w:ascii="Times New Roman" w:cs="Times New Roman" w:eastAsia="Times New Roman" w:hAnsi="Times New Roman"/>
          <w:sz w:val="21"/>
          <w:szCs w:val="21"/>
          <w:color w:val="auto"/>
        </w:rPr>
        <w:t xml:space="preserve">9.6 </w:t>
      </w:r>
      <w:r>
        <w:rPr>
          <w:rFonts w:ascii="Times New Roman" w:cs="Times New Roman" w:eastAsia="Times New Roman" w:hAnsi="Times New Roman"/>
          <w:sz w:val="21"/>
          <w:szCs w:val="21"/>
          <w:i w:val="1"/>
          <w:iCs w:val="1"/>
          <w:color w:val="auto"/>
        </w:rPr>
        <w:t>Survival</w:t>
      </w:r>
      <w:r>
        <w:rPr>
          <w:rFonts w:ascii="Times New Roman" w:cs="Times New Roman" w:eastAsia="Times New Roman" w:hAnsi="Times New Roman"/>
          <w:sz w:val="21"/>
          <w:szCs w:val="21"/>
          <w:color w:val="auto"/>
        </w:rPr>
        <w:t>. The obligations of the Company and the Participant under this Plan which by their nature may require either partial or total performance after the termination of this Plan shall survive such termination.</w:t>
      </w:r>
    </w:p>
    <w:p>
      <w:pPr>
        <w:spacing w:after="0" w:line="131" w:lineRule="exact"/>
        <w:rPr>
          <w:sz w:val="20"/>
          <w:szCs w:val="20"/>
          <w:color w:val="auto"/>
        </w:rPr>
      </w:pPr>
    </w:p>
    <w:p>
      <w:pPr>
        <w:ind w:firstLine="1288"/>
        <w:spacing w:after="0" w:line="230" w:lineRule="auto"/>
        <w:rPr>
          <w:sz w:val="20"/>
          <w:szCs w:val="20"/>
          <w:color w:val="auto"/>
        </w:rPr>
      </w:pPr>
      <w:r>
        <w:rPr>
          <w:rFonts w:ascii="Times New Roman" w:cs="Times New Roman" w:eastAsia="Times New Roman" w:hAnsi="Times New Roman"/>
          <w:sz w:val="21"/>
          <w:szCs w:val="21"/>
          <w:color w:val="auto"/>
        </w:rPr>
        <w:t xml:space="preserve">9.7 </w:t>
      </w:r>
      <w:r>
        <w:rPr>
          <w:rFonts w:ascii="Times New Roman" w:cs="Times New Roman" w:eastAsia="Times New Roman" w:hAnsi="Times New Roman"/>
          <w:sz w:val="21"/>
          <w:szCs w:val="21"/>
          <w:i w:val="1"/>
          <w:iCs w:val="1"/>
          <w:color w:val="auto"/>
        </w:rPr>
        <w:t>No Right to Continued Employment</w:t>
      </w:r>
      <w:r>
        <w:rPr>
          <w:rFonts w:ascii="Times New Roman" w:cs="Times New Roman" w:eastAsia="Times New Roman" w:hAnsi="Times New Roman"/>
          <w:sz w:val="21"/>
          <w:szCs w:val="21"/>
          <w:color w:val="auto"/>
        </w:rPr>
        <w:t>. Neither the establishment of this Plan, nor any modification thereof, nor the creation of any fund, trust or account, nor the payment of any benefits shall be construed as giving any Participant, or any person whomsoever, the right to be retained in the service of the Company, and all Participants shall remain subject to discharge to the same extent as if this Plan had never been adopted.</w:t>
      </w:r>
    </w:p>
    <w:p>
      <w:pPr>
        <w:spacing w:after="0" w:line="148" w:lineRule="exact"/>
        <w:rPr>
          <w:sz w:val="20"/>
          <w:szCs w:val="20"/>
          <w:color w:val="auto"/>
        </w:rPr>
      </w:pPr>
    </w:p>
    <w:p>
      <w:pPr>
        <w:ind w:right="320" w:firstLine="1288"/>
        <w:spacing w:after="0" w:line="255" w:lineRule="auto"/>
        <w:rPr>
          <w:sz w:val="20"/>
          <w:szCs w:val="20"/>
          <w:color w:val="auto"/>
        </w:rPr>
      </w:pPr>
      <w:r>
        <w:rPr>
          <w:rFonts w:ascii="Times New Roman" w:cs="Times New Roman" w:eastAsia="Times New Roman" w:hAnsi="Times New Roman"/>
          <w:sz w:val="21"/>
          <w:szCs w:val="21"/>
          <w:color w:val="auto"/>
        </w:rPr>
        <w:t xml:space="preserve">9.8 </w:t>
      </w:r>
      <w:r>
        <w:rPr>
          <w:rFonts w:ascii="Times New Roman" w:cs="Times New Roman" w:eastAsia="Times New Roman" w:hAnsi="Times New Roman"/>
          <w:sz w:val="21"/>
          <w:szCs w:val="21"/>
          <w:i w:val="1"/>
          <w:iCs w:val="1"/>
          <w:color w:val="auto"/>
        </w:rPr>
        <w:t>Headings Descriptive</w:t>
      </w:r>
      <w:r>
        <w:rPr>
          <w:rFonts w:ascii="Times New Roman" w:cs="Times New Roman" w:eastAsia="Times New Roman" w:hAnsi="Times New Roman"/>
          <w:sz w:val="21"/>
          <w:szCs w:val="21"/>
          <w:color w:val="auto"/>
        </w:rPr>
        <w:t>. The headings of sections and paragraphs of this Plan are inserted for convenience only and shall not in any way affect the meaning or construction of any provision of this Plan.</w:t>
      </w:r>
    </w:p>
    <w:p>
      <w:pPr>
        <w:spacing w:after="0" w:line="131" w:lineRule="exact"/>
        <w:rPr>
          <w:sz w:val="20"/>
          <w:szCs w:val="20"/>
          <w:color w:val="auto"/>
        </w:rPr>
      </w:pPr>
    </w:p>
    <w:p>
      <w:pPr>
        <w:ind w:right="160" w:firstLine="1288"/>
        <w:spacing w:after="0" w:line="255" w:lineRule="auto"/>
        <w:rPr>
          <w:sz w:val="20"/>
          <w:szCs w:val="20"/>
          <w:color w:val="auto"/>
        </w:rPr>
      </w:pPr>
      <w:r>
        <w:rPr>
          <w:rFonts w:ascii="Times New Roman" w:cs="Times New Roman" w:eastAsia="Times New Roman" w:hAnsi="Times New Roman"/>
          <w:sz w:val="21"/>
          <w:szCs w:val="21"/>
          <w:color w:val="auto"/>
        </w:rPr>
        <w:t xml:space="preserve">9.9 </w:t>
      </w:r>
      <w:r>
        <w:rPr>
          <w:rFonts w:ascii="Times New Roman" w:cs="Times New Roman" w:eastAsia="Times New Roman" w:hAnsi="Times New Roman"/>
          <w:sz w:val="21"/>
          <w:szCs w:val="21"/>
          <w:i w:val="1"/>
          <w:iCs w:val="1"/>
          <w:color w:val="auto"/>
        </w:rPr>
        <w:t>Benefits Unfunded</w:t>
      </w:r>
      <w:r>
        <w:rPr>
          <w:rFonts w:ascii="Times New Roman" w:cs="Times New Roman" w:eastAsia="Times New Roman" w:hAnsi="Times New Roman"/>
          <w:sz w:val="21"/>
          <w:szCs w:val="21"/>
          <w:color w:val="auto"/>
        </w:rPr>
        <w:t>. This Plan shall not be funded. No Participant shall have any right to, or interest in, any assets of the Company which may be applied by the Company to the payment of benefits or other rights under this Plan.</w:t>
      </w:r>
    </w:p>
    <w:p>
      <w:pPr>
        <w:spacing w:after="0" w:line="131" w:lineRule="exact"/>
        <w:rPr>
          <w:sz w:val="20"/>
          <w:szCs w:val="20"/>
          <w:color w:val="auto"/>
        </w:rPr>
      </w:pPr>
    </w:p>
    <w:p>
      <w:pPr>
        <w:ind w:right="220" w:firstLine="1288"/>
        <w:spacing w:after="0" w:line="255" w:lineRule="auto"/>
        <w:rPr>
          <w:sz w:val="20"/>
          <w:szCs w:val="20"/>
          <w:color w:val="auto"/>
        </w:rPr>
      </w:pPr>
      <w:r>
        <w:rPr>
          <w:rFonts w:ascii="Times New Roman" w:cs="Times New Roman" w:eastAsia="Times New Roman" w:hAnsi="Times New Roman"/>
          <w:sz w:val="21"/>
          <w:szCs w:val="21"/>
          <w:color w:val="auto"/>
        </w:rPr>
        <w:t xml:space="preserve">9.10 </w:t>
      </w:r>
      <w:r>
        <w:rPr>
          <w:rFonts w:ascii="Times New Roman" w:cs="Times New Roman" w:eastAsia="Times New Roman" w:hAnsi="Times New Roman"/>
          <w:sz w:val="21"/>
          <w:szCs w:val="21"/>
          <w:i w:val="1"/>
          <w:iCs w:val="1"/>
          <w:color w:val="auto"/>
        </w:rPr>
        <w:t>Enforceability</w:t>
      </w:r>
      <w:r>
        <w:rPr>
          <w:rFonts w:ascii="Times New Roman" w:cs="Times New Roman" w:eastAsia="Times New Roman" w:hAnsi="Times New Roman"/>
          <w:sz w:val="21"/>
          <w:szCs w:val="21"/>
          <w:color w:val="auto"/>
        </w:rPr>
        <w:t>. The invalidity or unenforceability of any provision of this Plan shall not affect the validity or enforceability of any other provision of this Plan, which shall remain in full force and effect.</w:t>
      </w:r>
    </w:p>
    <w:p>
      <w:pPr>
        <w:spacing w:after="0" w:line="131" w:lineRule="exact"/>
        <w:rPr>
          <w:sz w:val="20"/>
          <w:szCs w:val="20"/>
          <w:color w:val="auto"/>
        </w:rPr>
      </w:pPr>
    </w:p>
    <w:p>
      <w:pPr>
        <w:ind w:right="40" w:firstLine="1288"/>
        <w:spacing w:after="0" w:line="217" w:lineRule="auto"/>
        <w:rPr>
          <w:sz w:val="20"/>
          <w:szCs w:val="20"/>
          <w:color w:val="auto"/>
        </w:rPr>
      </w:pPr>
      <w:r>
        <w:rPr>
          <w:rFonts w:ascii="Times New Roman" w:cs="Times New Roman" w:eastAsia="Times New Roman" w:hAnsi="Times New Roman"/>
          <w:sz w:val="21"/>
          <w:szCs w:val="21"/>
          <w:color w:val="auto"/>
        </w:rPr>
        <w:t xml:space="preserve">9.11 </w:t>
      </w:r>
      <w:r>
        <w:rPr>
          <w:rFonts w:ascii="Times New Roman" w:cs="Times New Roman" w:eastAsia="Times New Roman" w:hAnsi="Times New Roman"/>
          <w:sz w:val="21"/>
          <w:szCs w:val="21"/>
          <w:i w:val="1"/>
          <w:iCs w:val="1"/>
          <w:color w:val="auto"/>
        </w:rPr>
        <w:t>Section 409A</w:t>
      </w:r>
      <w:r>
        <w:rPr>
          <w:rFonts w:ascii="Times New Roman" w:cs="Times New Roman" w:eastAsia="Times New Roman" w:hAnsi="Times New Roman"/>
          <w:sz w:val="21"/>
          <w:szCs w:val="21"/>
          <w:color w:val="auto"/>
        </w:rPr>
        <w:t>. This Plan shall be interpreted to avoid any penalty sanctions under Section 409A or 457A of the Code. If any payment or benefit cannot be provided or made at the time specified herein without incurring sanctions under Section 409A or 457A of the Code, then such benefit or payment shall be provided in full at the earliest time thereafter when such sanctions shall not be imposed. All payments to be made upon a termination of employment under this Plan shall be made upon a “separation from service” within the meaning of Section 409A of the Code. For purposes of Section 409A of the Code, each payment made under this Plan shall be treated as a separate payment. In no event may the Participant, directly or indirectly, designate the calendar year of payment. To the maximum extent permitted under Section 409A of the Code and its corresponding regulations, the cash severance benefits payable under this Plan are intended to meet the requirements of the short-term deferral exemption under Section 409A or 457A of the Code and the “separation pay exception” under Treas. Reg. §1.409A-1(b)(9)(iii). However, if such severance benefits do not qualify for such exemptions at the time of the Participant’s termination of employment and therefore are deemed as deferred compensation subject to the requirements of Section 409A of the Code, then if the Participant is a “specified employee” under Section 409A of the Code on the date of the Participant’s termination of employment, notwithstanding any other provision of this Plan, payment of severance under this Plan shall be delayed for a period of six months from the date of the Participant’s termination of employment if required by Section 409A of the Code. The accumulated postponed amount shall be paid in a lump sum payment within 15 days 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11</w:t>
      </w:r>
    </w:p>
    <w:p>
      <w:pPr>
        <w:sectPr>
          <w:pgSz w:w="11900" w:h="16838" w:orient="portrait"/>
          <w:cols w:equalWidth="0" w:num="1">
            <w:col w:w="11240"/>
          </w:cols>
          <w:pgMar w:left="320" w:top="1387" w:right="339" w:bottom="1440" w:gutter="0" w:footer="0" w:header="0"/>
        </w:sectPr>
      </w:pPr>
    </w:p>
    <w:bookmarkStart w:id="15" w:name="page16"/>
    <w:bookmarkEnd w:id="15"/>
    <w:p>
      <w:pPr>
        <w:spacing w:after="0" w:line="218" w:lineRule="auto"/>
        <w:rPr>
          <w:sz w:val="20"/>
          <w:szCs w:val="20"/>
          <w:color w:val="auto"/>
        </w:rPr>
      </w:pPr>
      <w:r>
        <w:rPr>
          <w:rFonts w:ascii="Times New Roman" w:cs="Times New Roman" w:eastAsia="Times New Roman" w:hAnsi="Times New Roman"/>
          <w:sz w:val="21"/>
          <w:szCs w:val="21"/>
          <w:color w:val="auto"/>
        </w:rPr>
        <w:t xml:space="preserve">the end of the six-month period. If the Participant dies during the postponement period prior to payment of the postponed amount, the amounts withheld on account of Section 409A of the Code shall be paid to the Participant’s estate within 15 days after the date of the Participant’s death. All reimbursements and in-kind benefits provided under this Plan shall be made or provided in accordance with the requirements of Section 409A of the Code, including, where applicable, the requirement that (i) any reimbursement shall be for expenses incurred during the Participant’s lifetime (or during a shorter period of time specified in this Plan), (ii) the amount of expenses eligible for reimbursement, or in kind benefits provided, during a calendar year may not affect the expenses eligible for reimbursement, or in kind benefits to be provided, in any other calendar year, (iii) the reimbursement of an eligible expense shall be made on or before the last day of the calendar year following the year in which the expense is incurred and (iv) the right to reimbursement or in kind benefits is not subject to liquidation or exchange for another benefit. For the avoidance of doubt, this </w:t>
      </w:r>
      <w:r>
        <w:rPr>
          <w:rFonts w:ascii="Times New Roman" w:cs="Times New Roman" w:eastAsia="Times New Roman" w:hAnsi="Times New Roman"/>
          <w:sz w:val="21"/>
          <w:szCs w:val="21"/>
          <w:u w:val="single" w:color="auto"/>
          <w:color w:val="auto"/>
        </w:rPr>
        <w:t>Section 9.11</w:t>
      </w:r>
      <w:r>
        <w:rPr>
          <w:rFonts w:ascii="Times New Roman" w:cs="Times New Roman" w:eastAsia="Times New Roman" w:hAnsi="Times New Roman"/>
          <w:sz w:val="21"/>
          <w:szCs w:val="21"/>
          <w:color w:val="auto"/>
        </w:rPr>
        <w:t xml:space="preserve"> shall not apply to any Participant who is not subject to the provisions of Section 409A of the Code. Neither the Company nor its directors, officers, employees or advisers shall be liable to the Participant (or any other individual claiming a benefit through the Participant) for any tax, interest, or penalties the Participant may owe as a result of compensation or benefits paid under this Plan, and the Company shall have no obligation to indemnify or otherwise protect the Participant from the obligation to pay any taxes pursuant to Section 409A or 457A or otherwise.</w:t>
      </w:r>
    </w:p>
    <w:p>
      <w:pPr>
        <w:spacing w:after="0" w:line="146" w:lineRule="exact"/>
        <w:rPr>
          <w:sz w:val="20"/>
          <w:szCs w:val="20"/>
          <w:color w:val="auto"/>
        </w:rPr>
      </w:pPr>
    </w:p>
    <w:p>
      <w:pPr>
        <w:ind w:right="40" w:firstLine="1288"/>
        <w:spacing w:after="0"/>
        <w:rPr>
          <w:sz w:val="20"/>
          <w:szCs w:val="20"/>
          <w:color w:val="auto"/>
        </w:rPr>
      </w:pPr>
      <w:r>
        <w:rPr>
          <w:rFonts w:ascii="Times New Roman" w:cs="Times New Roman" w:eastAsia="Times New Roman" w:hAnsi="Times New Roman"/>
          <w:sz w:val="21"/>
          <w:szCs w:val="21"/>
          <w:color w:val="auto"/>
        </w:rPr>
        <w:t xml:space="preserve">9.12 </w:t>
      </w:r>
      <w:r>
        <w:rPr>
          <w:rFonts w:ascii="Times New Roman" w:cs="Times New Roman" w:eastAsia="Times New Roman" w:hAnsi="Times New Roman"/>
          <w:sz w:val="21"/>
          <w:szCs w:val="21"/>
          <w:i w:val="1"/>
          <w:iCs w:val="1"/>
          <w:color w:val="auto"/>
        </w:rPr>
        <w:t>Entire Agreement</w:t>
      </w:r>
      <w:r>
        <w:rPr>
          <w:rFonts w:ascii="Times New Roman" w:cs="Times New Roman" w:eastAsia="Times New Roman" w:hAnsi="Times New Roman"/>
          <w:sz w:val="21"/>
          <w:szCs w:val="21"/>
          <w:color w:val="auto"/>
        </w:rPr>
        <w:t xml:space="preserve">. This Plan constitutes the entire agreement between the Company and the Participants and, except as expressly provided herein or in another agreement that specifically references this </w:t>
      </w:r>
      <w:r>
        <w:rPr>
          <w:rFonts w:ascii="Times New Roman" w:cs="Times New Roman" w:eastAsia="Times New Roman" w:hAnsi="Times New Roman"/>
          <w:sz w:val="21"/>
          <w:szCs w:val="21"/>
          <w:u w:val="single" w:color="auto"/>
          <w:color w:val="auto"/>
        </w:rPr>
        <w:t>Section 9.12</w:t>
      </w:r>
      <w:r>
        <w:rPr>
          <w:rFonts w:ascii="Times New Roman" w:cs="Times New Roman" w:eastAsia="Times New Roman" w:hAnsi="Times New Roman"/>
          <w:sz w:val="21"/>
          <w:szCs w:val="21"/>
          <w:color w:val="auto"/>
        </w:rPr>
        <w:t xml:space="preserve">, supersedes the provisions of all other prior agreements or policies concerning the payment of severance benefits upon a termination of employment in connection with or following a Change in Control;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in no event shall payments or benefits provided pursuant to any other severance agreement or policy entitle a Participant to a duplication of payments and benefits pursuant to this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12</w:t>
      </w:r>
    </w:p>
    <w:p>
      <w:pPr>
        <w:sectPr>
          <w:pgSz w:w="11900" w:h="16838" w:orient="portrait"/>
          <w:cols w:equalWidth="0" w:num="1">
            <w:col w:w="11240"/>
          </w:cols>
          <w:pgMar w:left="320" w:top="1387" w:right="339" w:bottom="1440" w:gutter="0" w:footer="0" w:header="0"/>
        </w:sectPr>
      </w:pPr>
    </w:p>
    <w:bookmarkStart w:id="16" w:name="page17"/>
    <w:bookmarkEnd w:id="16"/>
    <w:p>
      <w:pPr>
        <w:ind w:left="10140"/>
        <w:spacing w:after="0"/>
        <w:rPr>
          <w:sz w:val="20"/>
          <w:szCs w:val="20"/>
          <w:color w:val="auto"/>
        </w:rPr>
      </w:pPr>
      <w:r>
        <w:rPr>
          <w:rFonts w:ascii="Times New Roman" w:cs="Times New Roman" w:eastAsia="Times New Roman" w:hAnsi="Times New Roman"/>
          <w:sz w:val="21"/>
          <w:szCs w:val="21"/>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WEATHERFORD INTERNATIONAL PLC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THIRD AMENDED AND RESTATED 2019 EQUITY INCENTIVE PLAN</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Amended, Restated and Adopted as of January 18, 2023</w:t>
      </w:r>
    </w:p>
    <w:p>
      <w:pPr>
        <w:spacing w:after="0" w:line="188" w:lineRule="exact"/>
        <w:rPr>
          <w:sz w:val="20"/>
          <w:szCs w:val="20"/>
          <w:color w:val="auto"/>
        </w:rPr>
      </w:pPr>
    </w:p>
    <w:p>
      <w:pPr>
        <w:ind w:left="660" w:hanging="653"/>
        <w:spacing w:after="0"/>
        <w:tabs>
          <w:tab w:leader="none" w:pos="660" w:val="left"/>
        </w:tabs>
        <w:numPr>
          <w:ilvl w:val="0"/>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Purpose of the Plan</w:t>
      </w:r>
    </w:p>
    <w:p>
      <w:pPr>
        <w:spacing w:after="0" w:line="192" w:lineRule="exact"/>
        <w:rPr>
          <w:sz w:val="20"/>
          <w:szCs w:val="20"/>
          <w:color w:val="auto"/>
        </w:rPr>
      </w:pPr>
    </w:p>
    <w:p>
      <w:pPr>
        <w:jc w:val="both"/>
        <w:ind w:firstLine="644"/>
        <w:spacing w:after="0" w:line="224" w:lineRule="auto"/>
        <w:rPr>
          <w:sz w:val="20"/>
          <w:szCs w:val="20"/>
          <w:color w:val="auto"/>
        </w:rPr>
      </w:pPr>
      <w:r>
        <w:rPr>
          <w:rFonts w:ascii="Times New Roman" w:cs="Times New Roman" w:eastAsia="Times New Roman" w:hAnsi="Times New Roman"/>
          <w:sz w:val="21"/>
          <w:szCs w:val="21"/>
          <w:color w:val="auto"/>
        </w:rPr>
        <w:t>The Weatherford International plc 2019 Equity Incentive Plan was originally adopted by the Board on December 12, 2019, amended and restated as of April 13, 2020 and October 30, 2022 and is hereby further amended and restated as of January 18, 2023 (the “</w:t>
      </w:r>
      <w:r>
        <w:rPr>
          <w:rFonts w:ascii="Times New Roman" w:cs="Times New Roman" w:eastAsia="Times New Roman" w:hAnsi="Times New Roman"/>
          <w:sz w:val="21"/>
          <w:szCs w:val="21"/>
          <w:u w:val="single" w:color="auto"/>
          <w:color w:val="auto"/>
        </w:rPr>
        <w:t>Effective Date</w:t>
      </w:r>
      <w:r>
        <w:rPr>
          <w:rFonts w:ascii="Times New Roman" w:cs="Times New Roman" w:eastAsia="Times New Roman" w:hAnsi="Times New Roman"/>
          <w:sz w:val="21"/>
          <w:szCs w:val="21"/>
          <w:color w:val="auto"/>
        </w:rPr>
        <w:t>”). The Plan is intended to advance the best interests of the Company, its Affiliates and its shareholders by providing those persons whose substantial contributions are essential to the continued growth and profitability of the Company and its Affiliates with additional performance incentives and an opportunity to obtain or increase their proprietary interest in the Company, thereby encouraging them to continue in their Employment or affiliation with the Company or its Affiliates.</w:t>
      </w:r>
    </w:p>
    <w:p>
      <w:pPr>
        <w:spacing w:after="0" w:line="147" w:lineRule="exact"/>
        <w:rPr>
          <w:sz w:val="20"/>
          <w:szCs w:val="20"/>
          <w:color w:val="auto"/>
        </w:rPr>
      </w:pPr>
    </w:p>
    <w:p>
      <w:pPr>
        <w:ind w:left="660" w:hanging="653"/>
        <w:spacing w:after="0"/>
        <w:tabs>
          <w:tab w:leader="none" w:pos="660"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Definitions</w:t>
      </w:r>
    </w:p>
    <w:p>
      <w:pPr>
        <w:spacing w:after="0" w:line="192" w:lineRule="exact"/>
        <w:rPr>
          <w:sz w:val="20"/>
          <w:szCs w:val="20"/>
          <w:color w:val="auto"/>
        </w:rPr>
      </w:pPr>
    </w:p>
    <w:p>
      <w:pPr>
        <w:ind w:firstLine="644"/>
        <w:spacing w:after="0" w:line="251" w:lineRule="auto"/>
        <w:rPr>
          <w:sz w:val="20"/>
          <w:szCs w:val="20"/>
          <w:color w:val="auto"/>
        </w:rPr>
      </w:pPr>
      <w:r>
        <w:rPr>
          <w:rFonts w:ascii="Times New Roman" w:cs="Times New Roman" w:eastAsia="Times New Roman" w:hAnsi="Times New Roman"/>
          <w:sz w:val="21"/>
          <w:szCs w:val="21"/>
          <w:color w:val="auto"/>
        </w:rPr>
        <w:t xml:space="preserve">The following capitalized terms used in the Plan have the respective meanings set forth in this </w:t>
      </w:r>
      <w:r>
        <w:rPr>
          <w:rFonts w:ascii="Times New Roman" w:cs="Times New Roman" w:eastAsia="Times New Roman" w:hAnsi="Times New Roman"/>
          <w:sz w:val="21"/>
          <w:szCs w:val="21"/>
          <w:u w:val="single" w:color="auto"/>
          <w:color w:val="auto"/>
        </w:rPr>
        <w:t>Section 2</w:t>
      </w:r>
      <w:r>
        <w:rPr>
          <w:rFonts w:ascii="Times New Roman" w:cs="Times New Roman" w:eastAsia="Times New Roman" w:hAnsi="Times New Roman"/>
          <w:sz w:val="21"/>
          <w:szCs w:val="21"/>
          <w:color w:val="auto"/>
        </w:rPr>
        <w:t>, unless the context clearly indicates otherwise. The singular pronoun shall include the plural where the context so indicates.</w:t>
      </w:r>
    </w:p>
    <w:p>
      <w:pPr>
        <w:spacing w:after="0" w:line="139" w:lineRule="exact"/>
        <w:rPr>
          <w:sz w:val="20"/>
          <w:szCs w:val="20"/>
          <w:color w:val="auto"/>
        </w:rPr>
      </w:pPr>
    </w:p>
    <w:p>
      <w:pPr>
        <w:ind w:left="1300" w:hanging="648"/>
        <w:spacing w:after="0"/>
        <w:tabs>
          <w:tab w:leader="none" w:pos="1300" w:val="left"/>
        </w:tabs>
        <w:numPr>
          <w:ilvl w:val="0"/>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Act</w:t>
      </w:r>
      <w:r>
        <w:rPr>
          <w:rFonts w:ascii="Times New Roman" w:cs="Times New Roman" w:eastAsia="Times New Roman" w:hAnsi="Times New Roman"/>
          <w:sz w:val="21"/>
          <w:szCs w:val="21"/>
          <w:color w:val="auto"/>
        </w:rPr>
        <w:t>: The Companies Act 2014 of Ireland, as amended.</w:t>
      </w:r>
    </w:p>
    <w:p>
      <w:pPr>
        <w:spacing w:after="0" w:line="187" w:lineRule="exact"/>
        <w:rPr>
          <w:rFonts w:ascii="Times New Roman" w:cs="Times New Roman" w:eastAsia="Times New Roman" w:hAnsi="Times New Roman"/>
          <w:sz w:val="21"/>
          <w:szCs w:val="21"/>
          <w:color w:val="auto"/>
        </w:rPr>
      </w:pPr>
    </w:p>
    <w:p>
      <w:pPr>
        <w:jc w:val="both"/>
        <w:ind w:firstLine="652"/>
        <w:spacing w:after="0" w:line="229" w:lineRule="auto"/>
        <w:tabs>
          <w:tab w:leader="none" w:pos="1284" w:val="left"/>
        </w:tabs>
        <w:numPr>
          <w:ilvl w:val="0"/>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Affiliate</w:t>
      </w:r>
      <w:r>
        <w:rPr>
          <w:rFonts w:ascii="Times New Roman" w:cs="Times New Roman" w:eastAsia="Times New Roman" w:hAnsi="Times New Roman"/>
          <w:sz w:val="21"/>
          <w:szCs w:val="21"/>
          <w:color w:val="auto"/>
        </w:rPr>
        <w:t>: With respect to the Company, any Person directly or indirectly controlling, controlled by, or under common control with, the Company or any other Person designated by the Committee in which the Company or an Affiliate has an interest. The Committee shall have the authority to determine the time or times at which “Affiliate” status is determined within the foregoing definition.</w:t>
      </w:r>
    </w:p>
    <w:p>
      <w:pPr>
        <w:spacing w:after="0" w:line="152" w:lineRule="exact"/>
        <w:rPr>
          <w:rFonts w:ascii="Times New Roman" w:cs="Times New Roman" w:eastAsia="Times New Roman" w:hAnsi="Times New Roman"/>
          <w:sz w:val="21"/>
          <w:szCs w:val="21"/>
          <w:color w:val="auto"/>
        </w:rPr>
      </w:pPr>
    </w:p>
    <w:p>
      <w:pPr>
        <w:jc w:val="both"/>
        <w:ind w:firstLine="652"/>
        <w:spacing w:after="0" w:line="234" w:lineRule="auto"/>
        <w:tabs>
          <w:tab w:leader="none" w:pos="1285" w:val="left"/>
        </w:tabs>
        <w:numPr>
          <w:ilvl w:val="0"/>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Applicable Accounting Standards Generally Accepted Accounting Principles</w:t>
      </w:r>
      <w:r>
        <w:rPr>
          <w:rFonts w:ascii="Times New Roman" w:cs="Times New Roman" w:eastAsia="Times New Roman" w:hAnsi="Times New Roman"/>
          <w:sz w:val="21"/>
          <w:szCs w:val="21"/>
          <w:color w:val="auto"/>
        </w:rPr>
        <w:t>: Means in the United States, International Financial Reporting Standards or such other accounting principles or standards as may apply to the Company's financial statements under United States federal securities laws from time to time.</w:t>
      </w:r>
    </w:p>
    <w:p>
      <w:pPr>
        <w:spacing w:after="0" w:line="152" w:lineRule="exact"/>
        <w:rPr>
          <w:rFonts w:ascii="Times New Roman" w:cs="Times New Roman" w:eastAsia="Times New Roman" w:hAnsi="Times New Roman"/>
          <w:sz w:val="21"/>
          <w:szCs w:val="21"/>
          <w:color w:val="auto"/>
        </w:rPr>
      </w:pPr>
    </w:p>
    <w:p>
      <w:pPr>
        <w:jc w:val="both"/>
        <w:ind w:firstLine="652"/>
        <w:spacing w:after="0"/>
        <w:tabs>
          <w:tab w:leader="none" w:pos="1284" w:val="left"/>
        </w:tabs>
        <w:numPr>
          <w:ilvl w:val="0"/>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Applicable Laws</w:t>
      </w:r>
      <w:r>
        <w:rPr>
          <w:rFonts w:ascii="Times New Roman" w:cs="Times New Roman" w:eastAsia="Times New Roman" w:hAnsi="Times New Roman"/>
          <w:sz w:val="21"/>
          <w:szCs w:val="21"/>
          <w:color w:val="auto"/>
        </w:rPr>
        <w:t>: The requirements relating to the administration of equity-based and cash-based awards, as applicable, and the related issuance of Shares under U.S. state corporate laws, U.S. federal and state and Irish or other non-U.S. corporate and securities laws, the Code or other applicable tax laws, any stock exchange or quotation system on which the Shares are listed or quoted and the applicable laws of any non-U.S. country or jurisdiction where Awards are, or will be, granted under the Plan.</w:t>
      </w:r>
    </w:p>
    <w:p>
      <w:pPr>
        <w:spacing w:after="0" w:line="322" w:lineRule="exact"/>
        <w:rPr>
          <w:rFonts w:ascii="Times New Roman" w:cs="Times New Roman" w:eastAsia="Times New Roman" w:hAnsi="Times New Roman"/>
          <w:sz w:val="21"/>
          <w:szCs w:val="21"/>
          <w:color w:val="auto"/>
        </w:rPr>
      </w:pPr>
    </w:p>
    <w:p>
      <w:pPr>
        <w:ind w:left="1300" w:hanging="648"/>
        <w:spacing w:after="0"/>
        <w:tabs>
          <w:tab w:leader="none" w:pos="1300" w:val="left"/>
        </w:tabs>
        <w:numPr>
          <w:ilvl w:val="0"/>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Associate</w:t>
      </w:r>
      <w:r>
        <w:rPr>
          <w:rFonts w:ascii="Times New Roman" w:cs="Times New Roman" w:eastAsia="Times New Roman" w:hAnsi="Times New Roman"/>
          <w:sz w:val="21"/>
          <w:szCs w:val="21"/>
          <w:color w:val="auto"/>
        </w:rPr>
        <w:t>: With respect to a specified Person, means:</w:t>
      </w:r>
    </w:p>
    <w:p>
      <w:pPr>
        <w:spacing w:after="0" w:line="185" w:lineRule="exact"/>
        <w:rPr>
          <w:rFonts w:ascii="Times New Roman" w:cs="Times New Roman" w:eastAsia="Times New Roman" w:hAnsi="Times New Roman"/>
          <w:sz w:val="21"/>
          <w:szCs w:val="21"/>
          <w:color w:val="auto"/>
        </w:rPr>
      </w:pPr>
    </w:p>
    <w:p>
      <w:pPr>
        <w:ind w:left="1920" w:hanging="624"/>
        <w:spacing w:after="0"/>
        <w:tabs>
          <w:tab w:leader="none" w:pos="1920" w:val="left"/>
        </w:tabs>
        <w:numPr>
          <w:ilvl w:val="1"/>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company, corporation, partnership, or other organization of which such specified Person is an officer or</w:t>
      </w:r>
    </w:p>
    <w:p>
      <w:pPr>
        <w:ind w:left="6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partner;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w:t>
      </w:r>
    </w:p>
    <w:p>
      <w:pPr>
        <w:sectPr>
          <w:pgSz w:w="11900" w:h="16838" w:orient="portrait"/>
          <w:cols w:equalWidth="0" w:num="1">
            <w:col w:w="11240"/>
          </w:cols>
          <w:pgMar w:left="320" w:top="96" w:right="339" w:bottom="1440" w:gutter="0" w:footer="0" w:header="0"/>
        </w:sectPr>
      </w:pPr>
    </w:p>
    <w:bookmarkStart w:id="17" w:name="page18"/>
    <w:bookmarkEnd w:id="17"/>
    <w:p>
      <w:pPr>
        <w:spacing w:after="0" w:line="270" w:lineRule="exact"/>
        <w:rPr>
          <w:sz w:val="20"/>
          <w:szCs w:val="20"/>
          <w:color w:val="auto"/>
        </w:rPr>
      </w:pPr>
    </w:p>
    <w:p>
      <w:pPr>
        <w:ind w:left="660" w:right="20" w:firstLine="636"/>
        <w:spacing w:after="0" w:line="251" w:lineRule="auto"/>
        <w:tabs>
          <w:tab w:leader="none" w:pos="1942" w:val="left"/>
        </w:tabs>
        <w:numPr>
          <w:ilvl w:val="1"/>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trust or other estate in which such specified Person has a substantial beneficial interest or as to which such specified Person serves as trustee or in a similar fiduciary capacity;</w:t>
      </w:r>
    </w:p>
    <w:p>
      <w:pPr>
        <w:spacing w:after="0" w:line="139" w:lineRule="exact"/>
        <w:rPr>
          <w:rFonts w:ascii="Times New Roman" w:cs="Times New Roman" w:eastAsia="Times New Roman" w:hAnsi="Times New Roman"/>
          <w:sz w:val="21"/>
          <w:szCs w:val="21"/>
          <w:color w:val="auto"/>
        </w:rPr>
      </w:pPr>
    </w:p>
    <w:p>
      <w:pPr>
        <w:ind w:left="660" w:firstLine="636"/>
        <w:spacing w:after="0" w:line="251" w:lineRule="auto"/>
        <w:tabs>
          <w:tab w:leader="none" w:pos="1948" w:val="left"/>
        </w:tabs>
        <w:numPr>
          <w:ilvl w:val="1"/>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relative or spouse of such specified Person, or any relative of such spouse who has the same home as such specified Person, or who is a director or officer of the Company or any of its Subsidiaries; and</w:t>
      </w:r>
    </w:p>
    <w:p>
      <w:pPr>
        <w:spacing w:after="0" w:line="139" w:lineRule="exact"/>
        <w:rPr>
          <w:rFonts w:ascii="Times New Roman" w:cs="Times New Roman" w:eastAsia="Times New Roman" w:hAnsi="Times New Roman"/>
          <w:sz w:val="21"/>
          <w:szCs w:val="21"/>
          <w:color w:val="auto"/>
        </w:rPr>
      </w:pPr>
    </w:p>
    <w:p>
      <w:pPr>
        <w:jc w:val="both"/>
        <w:ind w:left="660" w:firstLine="636"/>
        <w:spacing w:after="0" w:line="234" w:lineRule="auto"/>
        <w:tabs>
          <w:tab w:leader="none" w:pos="1936" w:val="left"/>
        </w:tabs>
        <w:numPr>
          <w:ilvl w:val="1"/>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Person who is a director, officer, or partner of such specified Person or of any company (other than the Company or any wholly-owned Subsidiary), corporation, partnership or other entity which is an Affiliate of such specified person.</w:t>
      </w:r>
    </w:p>
    <w:p>
      <w:pPr>
        <w:spacing w:after="0" w:line="152" w:lineRule="exact"/>
        <w:rPr>
          <w:rFonts w:ascii="Times New Roman" w:cs="Times New Roman" w:eastAsia="Times New Roman" w:hAnsi="Times New Roman"/>
          <w:sz w:val="21"/>
          <w:szCs w:val="21"/>
          <w:color w:val="auto"/>
        </w:rPr>
      </w:pPr>
    </w:p>
    <w:p>
      <w:pPr>
        <w:ind w:firstLine="652"/>
        <w:spacing w:after="0" w:line="251" w:lineRule="auto"/>
        <w:tabs>
          <w:tab w:leader="none" w:pos="1288"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Award</w:t>
      </w:r>
      <w:r>
        <w:rPr>
          <w:rFonts w:ascii="Times New Roman" w:cs="Times New Roman" w:eastAsia="Times New Roman" w:hAnsi="Times New Roman"/>
          <w:sz w:val="21"/>
          <w:szCs w:val="21"/>
          <w:color w:val="auto"/>
        </w:rPr>
        <w:t>: An Option, Restricted Share, Restricted Share Unit, Share Appreciation Right, Other Share-Based Award or Performance-Based Award granted pursuant to the Plan.</w:t>
      </w:r>
    </w:p>
    <w:p>
      <w:pPr>
        <w:spacing w:after="0" w:line="139" w:lineRule="exact"/>
        <w:rPr>
          <w:rFonts w:ascii="Times New Roman" w:cs="Times New Roman" w:eastAsia="Times New Roman" w:hAnsi="Times New Roman"/>
          <w:sz w:val="21"/>
          <w:szCs w:val="21"/>
          <w:color w:val="auto"/>
        </w:rPr>
      </w:pPr>
    </w:p>
    <w:p>
      <w:pPr>
        <w:ind w:firstLine="652"/>
        <w:spacing w:after="0" w:line="251" w:lineRule="auto"/>
        <w:tabs>
          <w:tab w:leader="none" w:pos="1284"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Award A</w:t>
      </w:r>
      <w:r>
        <w:rPr>
          <w:rFonts w:ascii="Times New Roman" w:cs="Times New Roman" w:eastAsia="Times New Roman" w:hAnsi="Times New Roman"/>
          <w:sz w:val="21"/>
          <w:szCs w:val="21"/>
          <w:color w:val="auto"/>
        </w:rPr>
        <w:t>g</w:t>
      </w:r>
      <w:r>
        <w:rPr>
          <w:rFonts w:ascii="Times New Roman" w:cs="Times New Roman" w:eastAsia="Times New Roman" w:hAnsi="Times New Roman"/>
          <w:sz w:val="21"/>
          <w:szCs w:val="21"/>
          <w:u w:val="single" w:color="auto"/>
          <w:color w:val="auto"/>
        </w:rPr>
        <w:t>reement</w:t>
      </w:r>
      <w:r>
        <w:rPr>
          <w:rFonts w:ascii="Times New Roman" w:cs="Times New Roman" w:eastAsia="Times New Roman" w:hAnsi="Times New Roman"/>
          <w:sz w:val="21"/>
          <w:szCs w:val="21"/>
          <w:color w:val="auto"/>
        </w:rPr>
        <w:t>: Any written agreement, contract, or other instrument or document evidencing the terms and conditions of an Award, including through electronic medium.</w:t>
      </w:r>
    </w:p>
    <w:p>
      <w:pPr>
        <w:spacing w:after="0" w:line="139" w:lineRule="exact"/>
        <w:rPr>
          <w:rFonts w:ascii="Times New Roman" w:cs="Times New Roman" w:eastAsia="Times New Roman" w:hAnsi="Times New Roman"/>
          <w:sz w:val="21"/>
          <w:szCs w:val="21"/>
          <w:color w:val="auto"/>
        </w:rPr>
      </w:pPr>
    </w:p>
    <w:p>
      <w:pPr>
        <w:jc w:val="both"/>
        <w:ind w:firstLine="652"/>
        <w:spacing w:after="0"/>
        <w:tabs>
          <w:tab w:leader="none" w:pos="1284"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Beneficial Owner</w:t>
      </w:r>
      <w:r>
        <w:rPr>
          <w:rFonts w:ascii="Times New Roman" w:cs="Times New Roman" w:eastAsia="Times New Roman" w:hAnsi="Times New Roman"/>
          <w:sz w:val="21"/>
          <w:szCs w:val="21"/>
          <w:color w:val="auto"/>
        </w:rPr>
        <w:t>: A “beneficial owner”, as such term is defined in Rule 13d-3 under the Exchange Act provided that any Person that has the right to acquire any of the Company's outstanding securities entitled to vote generally in election of directors at any time in the future, whether such right is contingent or absolute, pursuant to any agreement, arrangement or understanding or upon exercise of conversion rights, warrants or options, or otherwise, shall be deemed the Beneficial Owner of such securities.</w:t>
      </w:r>
    </w:p>
    <w:p>
      <w:pPr>
        <w:spacing w:after="0" w:line="322" w:lineRule="exact"/>
        <w:rPr>
          <w:rFonts w:ascii="Times New Roman" w:cs="Times New Roman" w:eastAsia="Times New Roman" w:hAnsi="Times New Roman"/>
          <w:sz w:val="21"/>
          <w:szCs w:val="21"/>
          <w:color w:val="auto"/>
        </w:rPr>
      </w:pPr>
    </w:p>
    <w:p>
      <w:pPr>
        <w:ind w:firstLine="652"/>
        <w:spacing w:after="0" w:line="251" w:lineRule="auto"/>
        <w:tabs>
          <w:tab w:leader="none" w:pos="1276"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Benefit Plans</w:t>
      </w:r>
      <w:r>
        <w:rPr>
          <w:rFonts w:ascii="Times New Roman" w:cs="Times New Roman" w:eastAsia="Times New Roman" w:hAnsi="Times New Roman"/>
          <w:sz w:val="21"/>
          <w:szCs w:val="21"/>
          <w:color w:val="auto"/>
        </w:rPr>
        <w:t>: All employee benefit and compensation plans, agreements, arrangements, programs, policies, practices, contracts or agreements of the Company and its Affiliates.</w:t>
      </w:r>
    </w:p>
    <w:p>
      <w:pPr>
        <w:spacing w:after="0" w:line="139" w:lineRule="exact"/>
        <w:rPr>
          <w:rFonts w:ascii="Times New Roman" w:cs="Times New Roman" w:eastAsia="Times New Roman" w:hAnsi="Times New Roman"/>
          <w:sz w:val="21"/>
          <w:szCs w:val="21"/>
          <w:color w:val="auto"/>
        </w:rPr>
      </w:pPr>
    </w:p>
    <w:p>
      <w:pPr>
        <w:ind w:left="1280" w:hanging="628"/>
        <w:spacing w:after="0"/>
        <w:tabs>
          <w:tab w:leader="none" w:pos="1280"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Board</w:t>
      </w:r>
      <w:r>
        <w:rPr>
          <w:rFonts w:ascii="Times New Roman" w:cs="Times New Roman" w:eastAsia="Times New Roman" w:hAnsi="Times New Roman"/>
          <w:sz w:val="21"/>
          <w:szCs w:val="21"/>
          <w:color w:val="auto"/>
        </w:rPr>
        <w:t>: The Board of Directors of the Company.</w:t>
      </w:r>
    </w:p>
    <w:p>
      <w:pPr>
        <w:spacing w:after="0" w:line="187" w:lineRule="exact"/>
        <w:rPr>
          <w:rFonts w:ascii="Times New Roman" w:cs="Times New Roman" w:eastAsia="Times New Roman" w:hAnsi="Times New Roman"/>
          <w:sz w:val="21"/>
          <w:szCs w:val="21"/>
          <w:color w:val="auto"/>
        </w:rPr>
      </w:pPr>
    </w:p>
    <w:p>
      <w:pPr>
        <w:jc w:val="both"/>
        <w:ind w:firstLine="652"/>
        <w:spacing w:after="0" w:line="218" w:lineRule="auto"/>
        <w:tabs>
          <w:tab w:leader="none" w:pos="1284"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Cause</w:t>
      </w:r>
      <w:r>
        <w:rPr>
          <w:rFonts w:ascii="Times New Roman" w:cs="Times New Roman" w:eastAsia="Times New Roman" w:hAnsi="Times New Roman"/>
          <w:sz w:val="21"/>
          <w:szCs w:val="21"/>
          <w:color w:val="auto"/>
        </w:rPr>
        <w:t xml:space="preserve">: Means in the case of a particular Award, unless the applicable Award Agreement states otherwise, (i) the Company or any member of the Weatherford Group having “Cause” to terminate the Participant's employment or service, as defined in any employment or consulting agreement between the Participant and any member of the Weatherford Group in effect at the time of such termination, or (ii) in the absence of any such employment or consulting agreement (or the absence of any definition of “Cause” contained therein), the Participant's (A) commission of, conviction for, plea of guilty or </w:t>
      </w:r>
      <w:r>
        <w:rPr>
          <w:rFonts w:ascii="Times New Roman" w:cs="Times New Roman" w:eastAsia="Times New Roman" w:hAnsi="Times New Roman"/>
          <w:sz w:val="21"/>
          <w:szCs w:val="21"/>
          <w:i w:val="1"/>
          <w:iCs w:val="1"/>
          <w:color w:val="auto"/>
        </w:rPr>
        <w:t>nolo contendere</w:t>
      </w:r>
      <w:r>
        <w:rPr>
          <w:rFonts w:ascii="Times New Roman" w:cs="Times New Roman" w:eastAsia="Times New Roman" w:hAnsi="Times New Roman"/>
          <w:sz w:val="21"/>
          <w:szCs w:val="21"/>
          <w:color w:val="auto"/>
        </w:rPr>
        <w:t xml:space="preserve"> to a felony or a crime involving moral turpitude, or other material act or omission involving dishonesty or fraud, (B) engaging in conduct that constitutes fraud or embezzlement, (C) engaging in conduct that constitutes gross negligence or willful gross misconduct that results or could reasonably be expected to result in harm to any member of the Weatherford Group's business or reputation, (D) breach of any material terms of written agreement between the Company and the Participant, (E) willful neglect in the performance of Participant's duties on behalf of the Weatherford Group or willful or repeated failure or refusal to perform the Participant's duties on behalf of the Weatherford Group or (F) violation of any material policy of any member of the Weatherford Group, including, but not limited to, those relating to discrimination, harassment, performance of illegal or unethical activities, and ethical misconduct; provided, in any case, the Participant's resignation after an event that would be grounds for a termination of employment for Cause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40"/>
          </w:cols>
          <w:pgMar w:left="320" w:top="1440" w:right="339" w:bottom="1440" w:gutter="0" w:footer="0" w:header="0"/>
        </w:sectPr>
      </w:pPr>
    </w:p>
    <w:bookmarkStart w:id="18" w:name="page19"/>
    <w:bookmarkEnd w:id="18"/>
    <w:p>
      <w:pPr>
        <w:spacing w:after="0" w:line="270"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21"/>
          <w:szCs w:val="21"/>
          <w:color w:val="auto"/>
        </w:rPr>
        <w:t>be treated as a termination of employment for Cause hereunder. Any determination of whether Cause exists shall be made by the Committee in its sole discretion.</w:t>
      </w:r>
    </w:p>
    <w:p>
      <w:pPr>
        <w:spacing w:after="0" w:line="139" w:lineRule="exact"/>
        <w:rPr>
          <w:sz w:val="20"/>
          <w:szCs w:val="20"/>
          <w:color w:val="auto"/>
        </w:rPr>
      </w:pPr>
    </w:p>
    <w:p>
      <w:pPr>
        <w:ind w:firstLine="652"/>
        <w:spacing w:after="0" w:line="251" w:lineRule="auto"/>
        <w:tabs>
          <w:tab w:leader="none" w:pos="1276" w:val="left"/>
        </w:tabs>
        <w:numPr>
          <w:ilvl w:val="0"/>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Change in Control</w:t>
      </w:r>
      <w:r>
        <w:rPr>
          <w:rFonts w:ascii="Times New Roman" w:cs="Times New Roman" w:eastAsia="Times New Roman" w:hAnsi="Times New Roman"/>
          <w:sz w:val="21"/>
          <w:szCs w:val="21"/>
          <w:color w:val="auto"/>
        </w:rPr>
        <w:t>: Shall be deemed to have occurred if any event set forth in any one of the following paragraphs shall have occurred:</w:t>
      </w:r>
    </w:p>
    <w:p>
      <w:pPr>
        <w:spacing w:after="0" w:line="139" w:lineRule="exact"/>
        <w:rPr>
          <w:rFonts w:ascii="Times New Roman" w:cs="Times New Roman" w:eastAsia="Times New Roman" w:hAnsi="Times New Roman"/>
          <w:sz w:val="21"/>
          <w:szCs w:val="21"/>
          <w:color w:val="auto"/>
        </w:rPr>
      </w:pPr>
    </w:p>
    <w:p>
      <w:pPr>
        <w:jc w:val="both"/>
        <w:ind w:left="660" w:firstLine="636"/>
        <w:spacing w:after="0" w:line="226" w:lineRule="auto"/>
        <w:tabs>
          <w:tab w:leader="none" w:pos="1936" w:val="left"/>
        </w:tabs>
        <w:numPr>
          <w:ilvl w:val="1"/>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Person is or becomes the Beneficial Owner, directly or indirectly, of 50% or more of either (A) the then outstanding Shares of the Company (the “</w:t>
      </w:r>
      <w:r>
        <w:rPr>
          <w:rFonts w:ascii="Times New Roman" w:cs="Times New Roman" w:eastAsia="Times New Roman" w:hAnsi="Times New Roman"/>
          <w:sz w:val="21"/>
          <w:szCs w:val="21"/>
          <w:u w:val="single" w:color="auto"/>
          <w:color w:val="auto"/>
        </w:rPr>
        <w:t>Outstanding Ordinary Shares</w:t>
      </w:r>
      <w:r>
        <w:rPr>
          <w:rFonts w:ascii="Times New Roman" w:cs="Times New Roman" w:eastAsia="Times New Roman" w:hAnsi="Times New Roman"/>
          <w:sz w:val="21"/>
          <w:szCs w:val="21"/>
          <w:color w:val="auto"/>
        </w:rPr>
        <w:t>”) or (B) the combined voting power of the then outstanding voting securities of the Company entitled to vote generally in the election of directors (the “</w:t>
      </w:r>
      <w:r>
        <w:rPr>
          <w:rFonts w:ascii="Times New Roman" w:cs="Times New Roman" w:eastAsia="Times New Roman" w:hAnsi="Times New Roman"/>
          <w:sz w:val="21"/>
          <w:szCs w:val="21"/>
          <w:u w:val="single" w:color="auto"/>
          <w:color w:val="auto"/>
        </w:rPr>
        <w:t>Outstanding</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Voting Securities</w:t>
      </w:r>
      <w:r>
        <w:rPr>
          <w:rFonts w:ascii="Times New Roman" w:cs="Times New Roman" w:eastAsia="Times New Roman" w:hAnsi="Times New Roman"/>
          <w:sz w:val="21"/>
          <w:szCs w:val="21"/>
          <w:color w:val="auto"/>
        </w:rPr>
        <w:t>”), excluding any Specified Holder or any Person who becomes such a Beneficial Owner in connection with a transaction that complies with clauses (A), (B) and (C) of paragraph (iii) below;</w:t>
      </w:r>
    </w:p>
    <w:p>
      <w:pPr>
        <w:spacing w:after="0" w:line="151" w:lineRule="exact"/>
        <w:rPr>
          <w:rFonts w:ascii="Times New Roman" w:cs="Times New Roman" w:eastAsia="Times New Roman" w:hAnsi="Times New Roman"/>
          <w:sz w:val="21"/>
          <w:szCs w:val="21"/>
          <w:color w:val="auto"/>
        </w:rPr>
      </w:pPr>
    </w:p>
    <w:p>
      <w:pPr>
        <w:jc w:val="both"/>
        <w:ind w:left="660" w:firstLine="636"/>
        <w:spacing w:after="0" w:line="222" w:lineRule="auto"/>
        <w:tabs>
          <w:tab w:leader="none" w:pos="1942" w:val="left"/>
        </w:tabs>
        <w:numPr>
          <w:ilvl w:val="1"/>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individuals, who, as of the Effective Date, constitute the Board (the “</w:t>
      </w:r>
      <w:r>
        <w:rPr>
          <w:rFonts w:ascii="Times New Roman" w:cs="Times New Roman" w:eastAsia="Times New Roman" w:hAnsi="Times New Roman"/>
          <w:sz w:val="21"/>
          <w:szCs w:val="21"/>
          <w:u w:val="single" w:color="auto"/>
          <w:color w:val="auto"/>
        </w:rPr>
        <w:t>Incumbent Board</w:t>
      </w:r>
      <w:r>
        <w:rPr>
          <w:rFonts w:ascii="Times New Roman" w:cs="Times New Roman" w:eastAsia="Times New Roman" w:hAnsi="Times New Roman"/>
          <w:sz w:val="21"/>
          <w:szCs w:val="21"/>
          <w:color w:val="auto"/>
        </w:rPr>
        <w:t>”) cease for any reason to constitute at least a majority of the Board; provided, however, that any individual becoming a director subsequent to the Effective Date whose election, or nomination for election by the Company's shareholders, was approved by a vote of at least 2/3rds of the Incumbent Board shall be considered as though such individual was a member of the Incumbent Board, but excluding, for this purpose, any such individual whose initial assumption of office occurs as a result of an actual or threatened election contest with respect to the election or removal of directors or any other actual or threatened solicitation of proxies or consents by or on behalf of a Person other than the Board; or</w:t>
      </w:r>
    </w:p>
    <w:p>
      <w:pPr>
        <w:spacing w:after="0" w:line="154" w:lineRule="exact"/>
        <w:rPr>
          <w:rFonts w:ascii="Times New Roman" w:cs="Times New Roman" w:eastAsia="Times New Roman" w:hAnsi="Times New Roman"/>
          <w:sz w:val="21"/>
          <w:szCs w:val="21"/>
          <w:color w:val="auto"/>
        </w:rPr>
      </w:pPr>
    </w:p>
    <w:p>
      <w:pPr>
        <w:jc w:val="both"/>
        <w:ind w:left="660" w:firstLine="636"/>
        <w:spacing w:after="0" w:line="228" w:lineRule="auto"/>
        <w:tabs>
          <w:tab w:leader="none" w:pos="1948" w:val="left"/>
        </w:tabs>
        <w:numPr>
          <w:ilvl w:val="1"/>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consummation of an acquisition, reorganization, reincorporation, redomestication, merger, amalgamation, consolidation, plan or scheme of arrangement, exchange offer, business combination or similar transaction of the Company or any of its Subsidiaries or the sale, transfer or other disposition of all or substantially all of the Company's Assets (any of which, a “</w:t>
      </w:r>
      <w:r>
        <w:rPr>
          <w:rFonts w:ascii="Times New Roman" w:cs="Times New Roman" w:eastAsia="Times New Roman" w:hAnsi="Times New Roman"/>
          <w:sz w:val="21"/>
          <w:szCs w:val="21"/>
          <w:u w:val="single" w:color="auto"/>
          <w:color w:val="auto"/>
        </w:rPr>
        <w:t>Corporate Transaction</w:t>
      </w:r>
      <w:r>
        <w:rPr>
          <w:rFonts w:ascii="Times New Roman" w:cs="Times New Roman" w:eastAsia="Times New Roman" w:hAnsi="Times New Roman"/>
          <w:sz w:val="21"/>
          <w:szCs w:val="21"/>
          <w:color w:val="auto"/>
        </w:rPr>
        <w:t>”), unless, following such Corporate Transaction or series of related Corporate Transactions, as the case may be, (A) all of the Persons who were the Beneficial Owners, respectively, of the Outstanding Ordinary Shares and Outstanding Voting Securities immediately prior to such Corporate Transaction own or beneficially own, directly or indirectly, more than 50% of, respectively, the Outstanding Ordinary Shares and the combined voting power of the Outstanding Voting Securities entitled to vote generally in the election of directors (or other governing body), as the case may be, of the Entity resulting from such Corporate Transaction (including, without limitation, an Entity (including any new parent Entity) which as a result of such transaction owns the Company or all or substantially all of the Company's Assets either directly or through one or more Subsidiaries or other Entities) in substantially the same proportions as their ownership, immediately prior to such Corporate Transaction, of the Outstanding Ordinary Shares and the Outstanding Voting Securities, as the case may be, (B) no Person (excluding any Specified Holder, any Entity resulting from such Corporate Transaction or any Benefit Plan (or related trust) of the Company or such Entity resulting from such Corporate Transaction) beneficially owns, directly or indirectly, 50% or more of, respectively, the then outstanding common shares of the Entity resulting from such Corporate Transaction or the combined voting power of the then outstanding voting securities of such Entity except to the extent that such ownership existed prior to the Corporate Transaction and (C) at least a majority of the members of the board of directors (or other governing body) of the Entity resulting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40"/>
          </w:cols>
          <w:pgMar w:left="320" w:top="1440" w:right="339" w:bottom="1440" w:gutter="0" w:footer="0" w:header="0"/>
        </w:sectPr>
      </w:pPr>
    </w:p>
    <w:bookmarkStart w:id="19" w:name="page20"/>
    <w:bookmarkEnd w:id="19"/>
    <w:p>
      <w:pPr>
        <w:spacing w:after="0" w:line="270" w:lineRule="exact"/>
        <w:rPr>
          <w:sz w:val="20"/>
          <w:szCs w:val="20"/>
          <w:color w:val="auto"/>
        </w:rPr>
      </w:pPr>
    </w:p>
    <w:p>
      <w:pPr>
        <w:ind w:left="660"/>
        <w:spacing w:after="0" w:line="245" w:lineRule="auto"/>
        <w:rPr>
          <w:sz w:val="20"/>
          <w:szCs w:val="20"/>
          <w:color w:val="auto"/>
        </w:rPr>
      </w:pPr>
      <w:r>
        <w:rPr>
          <w:rFonts w:ascii="Times New Roman" w:cs="Times New Roman" w:eastAsia="Times New Roman" w:hAnsi="Times New Roman"/>
          <w:sz w:val="21"/>
          <w:szCs w:val="21"/>
          <w:color w:val="auto"/>
        </w:rPr>
        <w:t>such Corporate Transaction were members of the Incumbent Board at the time of the approval of such Corporate Transaction.</w:t>
      </w:r>
    </w:p>
    <w:p>
      <w:pPr>
        <w:spacing w:after="0" w:line="398" w:lineRule="exact"/>
        <w:rPr>
          <w:sz w:val="20"/>
          <w:szCs w:val="20"/>
          <w:color w:val="auto"/>
        </w:rPr>
      </w:pPr>
    </w:p>
    <w:p>
      <w:pPr>
        <w:jc w:val="both"/>
        <w:ind w:firstLine="644"/>
        <w:spacing w:after="0" w:line="225" w:lineRule="auto"/>
        <w:rPr>
          <w:sz w:val="20"/>
          <w:szCs w:val="20"/>
          <w:color w:val="auto"/>
        </w:rPr>
      </w:pPr>
      <w:r>
        <w:rPr>
          <w:rFonts w:ascii="Times New Roman" w:cs="Times New Roman" w:eastAsia="Times New Roman" w:hAnsi="Times New Roman"/>
          <w:sz w:val="21"/>
          <w:szCs w:val="21"/>
          <w:color w:val="auto"/>
        </w:rPr>
        <w:t>Notwithstanding the foregoing, no Change in Control shall be deemed to have occurred (i) in connection with a bankruptcy pursuant to Chapter 7 or Chapter 11 of the United States Bankruptcy Code or upon consummation of a Restructuring,</w:t>
      </w:r>
    </w:p>
    <w:p>
      <w:pPr>
        <w:spacing w:after="0" w:line="1" w:lineRule="exact"/>
        <w:rPr>
          <w:sz w:val="20"/>
          <w:szCs w:val="20"/>
          <w:color w:val="auto"/>
        </w:rPr>
      </w:pPr>
    </w:p>
    <w:p>
      <w:pPr>
        <w:jc w:val="both"/>
        <w:ind w:firstLine="7"/>
        <w:spacing w:after="0" w:line="218" w:lineRule="auto"/>
        <w:tabs>
          <w:tab w:leader="none" w:pos="368"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it is effected solely for the purpose of changing the place of incorporation or formation, tax residency or form of organization of the ultimate parent entity of the Weatherford Group (including where the Company is succeeded by an entity incorporated under the laws of another state, country or foreign government for such purpose and whether or not the Company remains in existence following such transaction) or (iii) where all or substantially all of the Person(s) who are the Beneficial Owners of the combined voting power of the Outstanding Voting Securities immediately prior to such transaction will beneficially own, directly or indirectly, all or substantially all of the combined voting power of the Outstanding Voting Securities of the ultimate parent entity resulting from such transaction in substantially the same proportions as their ownership, immediately prior to such transaction, of such securities of the Company.</w:t>
      </w:r>
    </w:p>
    <w:p>
      <w:pPr>
        <w:spacing w:after="0" w:line="154" w:lineRule="exact"/>
        <w:rPr>
          <w:sz w:val="20"/>
          <w:szCs w:val="20"/>
          <w:color w:val="auto"/>
        </w:rPr>
      </w:pPr>
    </w:p>
    <w:p>
      <w:pPr>
        <w:jc w:val="both"/>
        <w:ind w:firstLine="644"/>
        <w:spacing w:after="0" w:line="226" w:lineRule="auto"/>
        <w:rPr>
          <w:sz w:val="20"/>
          <w:szCs w:val="20"/>
          <w:color w:val="auto"/>
        </w:rPr>
      </w:pPr>
      <w:r>
        <w:rPr>
          <w:rFonts w:ascii="Times New Roman" w:cs="Times New Roman" w:eastAsia="Times New Roman" w:hAnsi="Times New Roman"/>
          <w:sz w:val="21"/>
          <w:szCs w:val="21"/>
          <w:color w:val="auto"/>
        </w:rPr>
        <w:t xml:space="preserve">Notwithstanding the foregoing, if a Change in Control constitutes a payment event with respect to any Award (or any portion of an Award) that provides for the deferral of compensation that is subject to Section 409A, to the extent required to avoid the imposition of additional taxes under Section 409A, the transaction or event described in this </w:t>
      </w:r>
      <w:r>
        <w:rPr>
          <w:rFonts w:ascii="Times New Roman" w:cs="Times New Roman" w:eastAsia="Times New Roman" w:hAnsi="Times New Roman"/>
          <w:sz w:val="21"/>
          <w:szCs w:val="21"/>
          <w:u w:val="single" w:color="auto"/>
          <w:color w:val="auto"/>
        </w:rPr>
        <w:t>Section 2(l)</w:t>
      </w:r>
      <w:r>
        <w:rPr>
          <w:rFonts w:ascii="Times New Roman" w:cs="Times New Roman" w:eastAsia="Times New Roman" w:hAnsi="Times New Roman"/>
          <w:sz w:val="21"/>
          <w:szCs w:val="21"/>
          <w:color w:val="auto"/>
        </w:rPr>
        <w:t>with respect to such Award (or portion thereof) shall only constitute a Change in Control for purposes of the payment timing of such Award if such transaction also constitutes a “change in control event,” as defined in Treasury Regulation Section 1.409A-3(i)(5).</w:t>
      </w:r>
    </w:p>
    <w:p>
      <w:pPr>
        <w:spacing w:after="0" w:line="151" w:lineRule="exact"/>
        <w:rPr>
          <w:sz w:val="20"/>
          <w:szCs w:val="20"/>
          <w:color w:val="auto"/>
        </w:rPr>
      </w:pPr>
    </w:p>
    <w:p>
      <w:pPr>
        <w:ind w:firstLine="652"/>
        <w:spacing w:after="0" w:line="251" w:lineRule="auto"/>
        <w:tabs>
          <w:tab w:leader="none" w:pos="1276"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Code</w:t>
      </w:r>
      <w:r>
        <w:rPr>
          <w:rFonts w:ascii="Times New Roman" w:cs="Times New Roman" w:eastAsia="Times New Roman" w:hAnsi="Times New Roman"/>
          <w:sz w:val="21"/>
          <w:szCs w:val="21"/>
          <w:color w:val="auto"/>
        </w:rPr>
        <w:t>: The U.S. Internal Revenue Code of 1986, as amended, or any successor thereto, and the rules and regulations promulgated thereunder.</w:t>
      </w:r>
    </w:p>
    <w:p>
      <w:pPr>
        <w:spacing w:after="0" w:line="139" w:lineRule="exact"/>
        <w:rPr>
          <w:rFonts w:ascii="Times New Roman" w:cs="Times New Roman" w:eastAsia="Times New Roman" w:hAnsi="Times New Roman"/>
          <w:sz w:val="21"/>
          <w:szCs w:val="21"/>
          <w:color w:val="auto"/>
        </w:rPr>
      </w:pPr>
    </w:p>
    <w:p>
      <w:pPr>
        <w:jc w:val="both"/>
        <w:ind w:firstLine="652"/>
        <w:spacing w:after="0" w:line="234" w:lineRule="auto"/>
        <w:tabs>
          <w:tab w:leader="none" w:pos="1284"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Committee</w:t>
      </w:r>
      <w:r>
        <w:rPr>
          <w:rFonts w:ascii="Times New Roman" w:cs="Times New Roman" w:eastAsia="Times New Roman" w:hAnsi="Times New Roman"/>
          <w:sz w:val="21"/>
          <w:szCs w:val="21"/>
          <w:color w:val="auto"/>
        </w:rPr>
        <w:t xml:space="preserve">: The Compensation Committee of the Board (or a subcommittee thereof), or the delegate to which the Board or the Compensation Committee has delegated its authority pursuant to </w:t>
      </w:r>
      <w:r>
        <w:rPr>
          <w:rFonts w:ascii="Times New Roman" w:cs="Times New Roman" w:eastAsia="Times New Roman" w:hAnsi="Times New Roman"/>
          <w:sz w:val="21"/>
          <w:szCs w:val="21"/>
          <w:u w:val="single" w:color="auto"/>
          <w:color w:val="auto"/>
        </w:rPr>
        <w:t>Section 4(a)</w:t>
      </w:r>
      <w:r>
        <w:rPr>
          <w:rFonts w:ascii="Times New Roman" w:cs="Times New Roman" w:eastAsia="Times New Roman" w:hAnsi="Times New Roman"/>
          <w:sz w:val="21"/>
          <w:szCs w:val="21"/>
          <w:color w:val="auto"/>
        </w:rPr>
        <w:t xml:space="preserve"> hereof, or such other committee of the Board to which the Board has delegated power to act under or pursuant to the provisions of the Plan.</w:t>
      </w:r>
    </w:p>
    <w:p>
      <w:pPr>
        <w:spacing w:after="0" w:line="152" w:lineRule="exact"/>
        <w:rPr>
          <w:rFonts w:ascii="Times New Roman" w:cs="Times New Roman" w:eastAsia="Times New Roman" w:hAnsi="Times New Roman"/>
          <w:sz w:val="21"/>
          <w:szCs w:val="21"/>
          <w:color w:val="auto"/>
        </w:rPr>
      </w:pPr>
    </w:p>
    <w:p>
      <w:pPr>
        <w:ind w:left="1300" w:hanging="648"/>
        <w:spacing w:after="0"/>
        <w:tabs>
          <w:tab w:leader="none" w:pos="1300"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Compan</w:t>
      </w:r>
      <w:r>
        <w:rPr>
          <w:rFonts w:ascii="Times New Roman" w:cs="Times New Roman" w:eastAsia="Times New Roman" w:hAnsi="Times New Roman"/>
          <w:sz w:val="21"/>
          <w:szCs w:val="21"/>
          <w:color w:val="auto"/>
        </w:rPr>
        <w:t>y: Weatherford International plc, an Irish public limited company and any successor thereto.</w:t>
      </w:r>
    </w:p>
    <w:p>
      <w:pPr>
        <w:spacing w:after="0" w:line="187" w:lineRule="exact"/>
        <w:rPr>
          <w:rFonts w:ascii="Times New Roman" w:cs="Times New Roman" w:eastAsia="Times New Roman" w:hAnsi="Times New Roman"/>
          <w:sz w:val="21"/>
          <w:szCs w:val="21"/>
          <w:color w:val="auto"/>
        </w:rPr>
      </w:pPr>
    </w:p>
    <w:p>
      <w:pPr>
        <w:ind w:firstLine="652"/>
        <w:spacing w:after="0" w:line="251" w:lineRule="auto"/>
        <w:tabs>
          <w:tab w:leader="none" w:pos="1284"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Company Assets</w:t>
      </w:r>
      <w:r>
        <w:rPr>
          <w:rFonts w:ascii="Times New Roman" w:cs="Times New Roman" w:eastAsia="Times New Roman" w:hAnsi="Times New Roman"/>
          <w:sz w:val="21"/>
          <w:szCs w:val="21"/>
          <w:color w:val="auto"/>
        </w:rPr>
        <w:t>: Means the assets (of any kind) owned by the Company, including without limitation, the securities of the Company's Subsidiaries and any of the assets owned by the Company's Subsidiaries.</w:t>
      </w:r>
    </w:p>
    <w:p>
      <w:pPr>
        <w:spacing w:after="0" w:line="139" w:lineRule="exact"/>
        <w:rPr>
          <w:rFonts w:ascii="Times New Roman" w:cs="Times New Roman" w:eastAsia="Times New Roman" w:hAnsi="Times New Roman"/>
          <w:sz w:val="21"/>
          <w:szCs w:val="21"/>
          <w:color w:val="auto"/>
        </w:rPr>
      </w:pPr>
    </w:p>
    <w:p>
      <w:pPr>
        <w:jc w:val="both"/>
        <w:ind w:firstLine="652"/>
        <w:spacing w:after="0" w:line="221" w:lineRule="auto"/>
        <w:tabs>
          <w:tab w:leader="none" w:pos="1284"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Confidential Information</w:t>
      </w:r>
      <w:r>
        <w:rPr>
          <w:rFonts w:ascii="Times New Roman" w:cs="Times New Roman" w:eastAsia="Times New Roman" w:hAnsi="Times New Roman"/>
          <w:sz w:val="21"/>
          <w:szCs w:val="21"/>
          <w:color w:val="auto"/>
        </w:rPr>
        <w:t>: Means, unless the applicable Award Agreement states otherwise, any data, information or documentation (including such that is received by third parties) that is competitively sensitive or commercially valuable and not generally known to the public, including data, information or documentation related or pertaining to: (1) finance, supply or service; (2) customers, suppliers or consumers, including customer lists, relationships and profiles; (3) marketing or product information, including product planning, marketing strategies, marketing results, marketing forecasts, plans, finance, operations, reports, sales estimates, business plans and internal performance results relating to past, present or future business activities, clients and suppliers; and (4) scientific or technical information, design, process, procedure, formula or improvement, computer software, object code, source code, specifications,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240"/>
          </w:cols>
          <w:pgMar w:left="320" w:top="1440" w:right="339" w:bottom="1440" w:gutter="0" w:footer="0" w:header="0"/>
        </w:sectPr>
      </w:pPr>
    </w:p>
    <w:bookmarkStart w:id="20" w:name="page21"/>
    <w:bookmarkEnd w:id="20"/>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inventions or systems information, whether or not patentable or copyrightable, and that is not otherwise a Trade Secret.</w:t>
      </w:r>
    </w:p>
    <w:p>
      <w:pPr>
        <w:spacing w:after="0" w:line="188" w:lineRule="exact"/>
        <w:rPr>
          <w:sz w:val="20"/>
          <w:szCs w:val="20"/>
          <w:color w:val="auto"/>
        </w:rPr>
      </w:pPr>
    </w:p>
    <w:p>
      <w:pPr>
        <w:jc w:val="both"/>
        <w:ind w:firstLine="652"/>
        <w:spacing w:after="0" w:line="229" w:lineRule="auto"/>
        <w:tabs>
          <w:tab w:leader="none" w:pos="1288"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Consultant:</w:t>
      </w:r>
      <w:r>
        <w:rPr>
          <w:rFonts w:ascii="Times New Roman" w:cs="Times New Roman" w:eastAsia="Times New Roman" w:hAnsi="Times New Roman"/>
          <w:sz w:val="21"/>
          <w:szCs w:val="21"/>
          <w:color w:val="auto"/>
        </w:rPr>
        <w:t xml:space="preserve"> Any consultant or advisor if (1) the consultant or advisor renders bona fide service to the Company or any Affiliate, (2) the services rendered by the consultant or advisor are not in connection with the offer or sale of a securities in a capital-raising transaction and do not directly or indirectly promote or maintain a market for the Company's securities, and (3) the consultant or advisor is a natural person.</w:t>
      </w:r>
    </w:p>
    <w:p>
      <w:pPr>
        <w:spacing w:after="0" w:line="152" w:lineRule="exact"/>
        <w:rPr>
          <w:rFonts w:ascii="Times New Roman" w:cs="Times New Roman" w:eastAsia="Times New Roman" w:hAnsi="Times New Roman"/>
          <w:sz w:val="21"/>
          <w:szCs w:val="21"/>
          <w:color w:val="auto"/>
        </w:rPr>
      </w:pPr>
    </w:p>
    <w:p>
      <w:pPr>
        <w:jc w:val="both"/>
        <w:ind w:firstLine="652"/>
        <w:spacing w:after="0" w:line="251" w:lineRule="auto"/>
        <w:tabs>
          <w:tab w:leader="none" w:pos="1287"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Detrimental Activit</w:t>
      </w:r>
      <w:r>
        <w:rPr>
          <w:rFonts w:ascii="Times New Roman" w:cs="Times New Roman" w:eastAsia="Times New Roman" w:hAnsi="Times New Roman"/>
          <w:sz w:val="21"/>
          <w:szCs w:val="21"/>
          <w:color w:val="auto"/>
        </w:rPr>
        <w:t>y: Means “Detrimental Activity” as defined in the Company's Compensation Clawback Policy or any other clawback, forfeiture or other similar policy adopted by the Board or the Committee and as in effect from time to time.</w:t>
      </w:r>
    </w:p>
    <w:p>
      <w:pPr>
        <w:spacing w:after="0" w:line="139" w:lineRule="exact"/>
        <w:rPr>
          <w:rFonts w:ascii="Times New Roman" w:cs="Times New Roman" w:eastAsia="Times New Roman" w:hAnsi="Times New Roman"/>
          <w:sz w:val="21"/>
          <w:szCs w:val="21"/>
          <w:color w:val="auto"/>
        </w:rPr>
      </w:pPr>
    </w:p>
    <w:p>
      <w:pPr>
        <w:ind w:left="1280" w:hanging="628"/>
        <w:spacing w:after="0"/>
        <w:tabs>
          <w:tab w:leader="none" w:pos="1280"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Director</w:t>
      </w:r>
      <w:r>
        <w:rPr>
          <w:rFonts w:ascii="Times New Roman" w:cs="Times New Roman" w:eastAsia="Times New Roman" w:hAnsi="Times New Roman"/>
          <w:sz w:val="21"/>
          <w:szCs w:val="21"/>
          <w:color w:val="auto"/>
        </w:rPr>
        <w:t>: A member of the Board.</w:t>
      </w:r>
    </w:p>
    <w:p>
      <w:pPr>
        <w:spacing w:after="0" w:line="187" w:lineRule="exact"/>
        <w:rPr>
          <w:rFonts w:ascii="Times New Roman" w:cs="Times New Roman" w:eastAsia="Times New Roman" w:hAnsi="Times New Roman"/>
          <w:sz w:val="21"/>
          <w:szCs w:val="21"/>
          <w:color w:val="auto"/>
        </w:rPr>
      </w:pPr>
    </w:p>
    <w:p>
      <w:pPr>
        <w:jc w:val="both"/>
        <w:ind w:firstLine="652"/>
        <w:spacing w:after="0" w:line="219" w:lineRule="auto"/>
        <w:tabs>
          <w:tab w:leader="none" w:pos="1284"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Disabilit</w:t>
      </w:r>
      <w:r>
        <w:rPr>
          <w:rFonts w:ascii="Times New Roman" w:cs="Times New Roman" w:eastAsia="Times New Roman" w:hAnsi="Times New Roman"/>
          <w:sz w:val="21"/>
          <w:szCs w:val="21"/>
          <w:color w:val="auto"/>
        </w:rPr>
        <w:t>y: Unless otherwise provided in an Award Agreement or determined by the Committee, the Participant would qualify to receive benefit payments under the long-term disability plan or policy, as it may be amended from time to time, of the Company or the Affiliate to which the Participant provides Service, regardless of whether the Participant is covered by such plan or policy, or the plan or policy of the Company, if an Affiliate does not maintain such a plan or policy. A Participant shall not be considered to have incurred a Disability unless he or she furnishes proof of such impairment sufficient to satisfy the Committee in its discretion. Notwithstanding the foregoing, for purposes of ISOs granted under the Plan, “Disability” means that the Participant is disabled within the meaning of Section 22(e)(3) of the Code. Notwithstanding the foregoing, with respect to an Award that is subject to Section 409A where the Award will be paid by reference to the Participant's Disability, solely for purposes of determining the timing of payment, no such event will constitute a Disability for purposes of the Plan or any Award Agreement unless such event also constitutes a “disability” as defined under Section 409A.</w:t>
      </w:r>
    </w:p>
    <w:p>
      <w:pPr>
        <w:spacing w:after="0" w:line="158" w:lineRule="exact"/>
        <w:rPr>
          <w:rFonts w:ascii="Times New Roman" w:cs="Times New Roman" w:eastAsia="Times New Roman" w:hAnsi="Times New Roman"/>
          <w:sz w:val="21"/>
          <w:szCs w:val="21"/>
          <w:color w:val="auto"/>
        </w:rPr>
      </w:pPr>
    </w:p>
    <w:p>
      <w:pPr>
        <w:jc w:val="both"/>
        <w:ind w:firstLine="652"/>
        <w:spacing w:after="0" w:line="226" w:lineRule="auto"/>
        <w:tabs>
          <w:tab w:leader="none" w:pos="1284"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Dividend Equivalent R</w:t>
      </w:r>
      <w:r>
        <w:rPr>
          <w:rFonts w:ascii="Times New Roman" w:cs="Times New Roman" w:eastAsia="Times New Roman" w:hAnsi="Times New Roman"/>
          <w:sz w:val="21"/>
          <w:szCs w:val="21"/>
          <w:color w:val="auto"/>
        </w:rPr>
        <w:t>ig</w:t>
      </w:r>
      <w:r>
        <w:rPr>
          <w:rFonts w:ascii="Times New Roman" w:cs="Times New Roman" w:eastAsia="Times New Roman" w:hAnsi="Times New Roman"/>
          <w:sz w:val="21"/>
          <w:szCs w:val="21"/>
          <w:u w:val="single" w:color="auto"/>
          <w:color w:val="auto"/>
        </w:rPr>
        <w:t>ht</w:t>
      </w:r>
      <w:r>
        <w:rPr>
          <w:rFonts w:ascii="Times New Roman" w:cs="Times New Roman" w:eastAsia="Times New Roman" w:hAnsi="Times New Roman"/>
          <w:sz w:val="21"/>
          <w:szCs w:val="21"/>
          <w:color w:val="auto"/>
        </w:rPr>
        <w:t xml:space="preserve">: A right to receive the equivalent value of dividends paid on the Shares with respect to Shares underlying Restricted Share Units or an Other Share-Based Award that is a Full Value Award prior to vesting of the Award, subject to the additional requirements of </w:t>
      </w:r>
      <w:r>
        <w:rPr>
          <w:rFonts w:ascii="Times New Roman" w:cs="Times New Roman" w:eastAsia="Times New Roman" w:hAnsi="Times New Roman"/>
          <w:sz w:val="21"/>
          <w:szCs w:val="21"/>
          <w:u w:val="single" w:color="auto"/>
          <w:color w:val="auto"/>
        </w:rPr>
        <w:t>Section 10(b)</w:t>
      </w:r>
      <w:r>
        <w:rPr>
          <w:rFonts w:ascii="Times New Roman" w:cs="Times New Roman" w:eastAsia="Times New Roman" w:hAnsi="Times New Roman"/>
          <w:sz w:val="21"/>
          <w:szCs w:val="21"/>
          <w:color w:val="auto"/>
        </w:rPr>
        <w:t xml:space="preserve"> hereof. Such Dividend Equivalent Right shall be converted to cash or additional Shares, or a combination of cash and Shares, by such formula and at such time and subject to such limitations as may be determined by the Committee.</w:t>
      </w:r>
    </w:p>
    <w:p>
      <w:pPr>
        <w:spacing w:after="0" w:line="151" w:lineRule="exact"/>
        <w:rPr>
          <w:rFonts w:ascii="Times New Roman" w:cs="Times New Roman" w:eastAsia="Times New Roman" w:hAnsi="Times New Roman"/>
          <w:sz w:val="21"/>
          <w:szCs w:val="21"/>
          <w:color w:val="auto"/>
        </w:rPr>
      </w:pPr>
    </w:p>
    <w:p>
      <w:pPr>
        <w:jc w:val="both"/>
        <w:ind w:firstLine="652"/>
        <w:spacing w:after="0" w:line="229" w:lineRule="auto"/>
        <w:tabs>
          <w:tab w:leader="none" w:pos="1278"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Employee</w:t>
      </w:r>
      <w:r>
        <w:rPr>
          <w:rFonts w:ascii="Times New Roman" w:cs="Times New Roman" w:eastAsia="Times New Roman" w:hAnsi="Times New Roman"/>
          <w:sz w:val="21"/>
          <w:szCs w:val="21"/>
          <w:color w:val="auto"/>
        </w:rPr>
        <w:t>: A full-time or part-time employee of the Company or any Affiliate, including an officer or Director, who is treated as an employee in the personnel records of the Company or Affiliate for the relevant period. Neither services as a Director nor payment of a director's fee by the Company or an Affiliate shall be sufficient to constitute “employment” by the Company or an Affiliate.</w:t>
      </w:r>
    </w:p>
    <w:p>
      <w:pPr>
        <w:spacing w:after="0" w:line="152" w:lineRule="exact"/>
        <w:rPr>
          <w:rFonts w:ascii="Times New Roman" w:cs="Times New Roman" w:eastAsia="Times New Roman" w:hAnsi="Times New Roman"/>
          <w:sz w:val="21"/>
          <w:szCs w:val="21"/>
          <w:color w:val="auto"/>
        </w:rPr>
      </w:pPr>
    </w:p>
    <w:p>
      <w:pPr>
        <w:ind w:firstLine="652"/>
        <w:spacing w:after="0" w:line="251" w:lineRule="auto"/>
        <w:tabs>
          <w:tab w:leader="none" w:pos="1284"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Entity</w:t>
      </w:r>
      <w:r>
        <w:rPr>
          <w:rFonts w:ascii="Times New Roman" w:cs="Times New Roman" w:eastAsia="Times New Roman" w:hAnsi="Times New Roman"/>
          <w:sz w:val="21"/>
          <w:szCs w:val="21"/>
          <w:color w:val="auto"/>
        </w:rPr>
        <w:t>: Any corporation, partnership, association, joint-stock company, limited liability company, trust, unincorporated organization or other business entity.</w:t>
      </w:r>
    </w:p>
    <w:p>
      <w:pPr>
        <w:spacing w:after="0" w:line="139" w:lineRule="exact"/>
        <w:rPr>
          <w:rFonts w:ascii="Times New Roman" w:cs="Times New Roman" w:eastAsia="Times New Roman" w:hAnsi="Times New Roman"/>
          <w:sz w:val="21"/>
          <w:szCs w:val="21"/>
          <w:color w:val="auto"/>
        </w:rPr>
      </w:pPr>
    </w:p>
    <w:p>
      <w:pPr>
        <w:ind w:firstLine="652"/>
        <w:spacing w:after="0" w:line="251" w:lineRule="auto"/>
        <w:tabs>
          <w:tab w:leader="none" w:pos="1284"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Exchange Act</w:t>
      </w:r>
      <w:r>
        <w:rPr>
          <w:rFonts w:ascii="Times New Roman" w:cs="Times New Roman" w:eastAsia="Times New Roman" w:hAnsi="Times New Roman"/>
          <w:sz w:val="21"/>
          <w:szCs w:val="21"/>
          <w:color w:val="auto"/>
        </w:rPr>
        <w:t>: The U.S. Securities Exchange Act of 1934, as amended, or any successor thereto, and the rules and regulations promulgated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240"/>
          </w:cols>
          <w:pgMar w:left="320" w:top="1440" w:right="339" w:bottom="1440" w:gutter="0" w:footer="0" w:header="0"/>
        </w:sectPr>
      </w:pPr>
    </w:p>
    <w:bookmarkStart w:id="21" w:name="page22"/>
    <w:bookmarkEnd w:id="21"/>
    <w:p>
      <w:pPr>
        <w:spacing w:after="0" w:line="270" w:lineRule="exact"/>
        <w:rPr>
          <w:sz w:val="20"/>
          <w:szCs w:val="20"/>
          <w:color w:val="auto"/>
        </w:rPr>
      </w:pPr>
    </w:p>
    <w:p>
      <w:pPr>
        <w:jc w:val="both"/>
        <w:ind w:firstLine="652"/>
        <w:spacing w:after="0"/>
        <w:tabs>
          <w:tab w:leader="none" w:pos="1285"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Fair Market Value</w:t>
      </w:r>
      <w:r>
        <w:rPr>
          <w:rFonts w:ascii="Times New Roman" w:cs="Times New Roman" w:eastAsia="Times New Roman" w:hAnsi="Times New Roman"/>
          <w:sz w:val="21"/>
          <w:szCs w:val="21"/>
          <w:color w:val="auto"/>
        </w:rPr>
        <w:t>: On a given date, (i) if the Shares are listed on the New York Stock Exchange or another national securities exchange, the closing price of the Shares reported on such national securities exchange, or, if there is no such sale on that date, then on the last preceding date on which such a sale was reported; or (ii) if the Shares are not listed on the New York Stock Exchange or another national securities exchange, but are quoted in the NASDAQ National Market Reporting System or another inter-dealer quotation system, the arithmetic mean of the per Share closing bid price and per Share closing asked price on such date as quoted on such market or system, or, if no sale occurred on such date, then on the immediately preceding date on which sales have been so reported or quoted; or (iii) if clauses (i) and (ii) do not apply, the Fair Market Value shall be the value established by the Committee in good faith under a reasonable methodology and reasonable application, in compliance with Section 409A to the extent such determination is necessary for Awards under the Plan to comply with, or be exempt from, Section 409A.</w:t>
      </w:r>
    </w:p>
    <w:p>
      <w:pPr>
        <w:spacing w:after="0" w:line="189" w:lineRule="exact"/>
        <w:rPr>
          <w:sz w:val="20"/>
          <w:szCs w:val="20"/>
          <w:color w:val="auto"/>
        </w:rPr>
      </w:pPr>
    </w:p>
    <w:p>
      <w:pPr>
        <w:jc w:val="both"/>
        <w:ind w:firstLine="652"/>
        <w:spacing w:after="0" w:line="234" w:lineRule="auto"/>
        <w:tabs>
          <w:tab w:leader="none" w:pos="1286"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Full Value Awards</w:t>
      </w:r>
      <w:r>
        <w:rPr>
          <w:rFonts w:ascii="Times New Roman" w:cs="Times New Roman" w:eastAsia="Times New Roman" w:hAnsi="Times New Roman"/>
          <w:sz w:val="21"/>
          <w:szCs w:val="21"/>
          <w:color w:val="auto"/>
        </w:rPr>
        <w:t>: Any Award other than an (i) Option, (ii) Share Appreciation Right or (iii) other Award for which the Participant pays (or the value or amount payable under the Award is reduced by) an amount equal to or exceeding the Fair Market Value of the Shares, determined as of the date of grant.</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20" w:type="dxa"/>
            <w:vAlign w:val="bottom"/>
          </w:tcPr>
          <w:p>
            <w:pPr>
              <w:spacing w:after="0"/>
              <w:rPr>
                <w:sz w:val="21"/>
                <w:szCs w:val="21"/>
                <w:color w:val="auto"/>
              </w:rPr>
            </w:pPr>
          </w:p>
        </w:tc>
        <w:tc>
          <w:tcPr>
            <w:tcW w:w="1080" w:type="dxa"/>
            <w:vAlign w:val="bottom"/>
          </w:tcPr>
          <w:p>
            <w:pPr>
              <w:jc w:val="center"/>
              <w:ind w:left="33"/>
              <w:spacing w:after="0"/>
              <w:rPr>
                <w:sz w:val="20"/>
                <w:szCs w:val="20"/>
                <w:color w:val="auto"/>
              </w:rPr>
            </w:pPr>
            <w:r>
              <w:rPr>
                <w:rFonts w:ascii="Times New Roman" w:cs="Times New Roman" w:eastAsia="Times New Roman" w:hAnsi="Times New Roman"/>
                <w:sz w:val="21"/>
                <w:szCs w:val="21"/>
                <w:color w:val="auto"/>
              </w:rPr>
              <w:t>(ab)</w:t>
            </w:r>
          </w:p>
        </w:tc>
        <w:tc>
          <w:tcPr>
            <w:tcW w:w="9940" w:type="dxa"/>
            <w:vAlign w:val="bottom"/>
            <w:gridSpan w:val="14"/>
          </w:tcPr>
          <w:p>
            <w:pPr>
              <w:spacing w:after="0"/>
              <w:rPr>
                <w:sz w:val="20"/>
                <w:szCs w:val="20"/>
                <w:color w:val="auto"/>
              </w:rPr>
            </w:pPr>
            <w:r>
              <w:rPr>
                <w:rFonts w:ascii="Times New Roman" w:cs="Times New Roman" w:eastAsia="Times New Roman" w:hAnsi="Times New Roman"/>
                <w:sz w:val="21"/>
                <w:szCs w:val="21"/>
                <w:color w:val="auto"/>
              </w:rPr>
              <w:t>ISO: An Option that is intended to be an incentive stock option granted pursuant to Section 7(e) of the Plan.</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9"/>
        </w:trPr>
        <w:tc>
          <w:tcPr>
            <w:tcW w:w="220" w:type="dxa"/>
            <w:vAlign w:val="bottom"/>
          </w:tcPr>
          <w:p>
            <w:pPr>
              <w:spacing w:after="0"/>
              <w:rPr>
                <w:sz w:val="24"/>
                <w:szCs w:val="24"/>
                <w:color w:val="auto"/>
              </w:rPr>
            </w:pPr>
          </w:p>
        </w:tc>
        <w:tc>
          <w:tcPr>
            <w:tcW w:w="1080" w:type="dxa"/>
            <w:vAlign w:val="bottom"/>
          </w:tcPr>
          <w:p>
            <w:pPr>
              <w:jc w:val="center"/>
              <w:ind w:left="13"/>
              <w:spacing w:after="0"/>
              <w:rPr>
                <w:sz w:val="20"/>
                <w:szCs w:val="20"/>
                <w:color w:val="auto"/>
              </w:rPr>
            </w:pPr>
            <w:r>
              <w:rPr>
                <w:rFonts w:ascii="Times New Roman" w:cs="Times New Roman" w:eastAsia="Times New Roman" w:hAnsi="Times New Roman"/>
                <w:sz w:val="21"/>
                <w:szCs w:val="21"/>
                <w:color w:val="auto"/>
                <w:w w:val="97"/>
              </w:rPr>
              <w:t>(ac)</w:t>
            </w:r>
          </w:p>
        </w:tc>
        <w:tc>
          <w:tcPr>
            <w:tcW w:w="20" w:type="dxa"/>
            <w:vAlign w:val="bottom"/>
          </w:tcPr>
          <w:p>
            <w:pPr>
              <w:spacing w:after="0"/>
              <w:rPr>
                <w:sz w:val="24"/>
                <w:szCs w:val="24"/>
                <w:color w:val="auto"/>
              </w:rPr>
            </w:pPr>
          </w:p>
        </w:tc>
        <w:tc>
          <w:tcPr>
            <w:tcW w:w="9920" w:type="dxa"/>
            <w:vAlign w:val="bottom"/>
            <w:gridSpan w:val="13"/>
          </w:tcPr>
          <w:p>
            <w:pPr>
              <w:spacing w:after="0"/>
              <w:rPr>
                <w:sz w:val="20"/>
                <w:szCs w:val="20"/>
                <w:color w:val="auto"/>
              </w:rPr>
            </w:pPr>
            <w:r>
              <w:rPr>
                <w:rFonts w:ascii="Times New Roman" w:cs="Times New Roman" w:eastAsia="Times New Roman" w:hAnsi="Times New Roman"/>
                <w:sz w:val="21"/>
                <w:szCs w:val="21"/>
                <w:color w:val="auto"/>
              </w:rPr>
              <w:t>Option: An option granted pursuant to Section 7 of the Plan.</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9"/>
        </w:trPr>
        <w:tc>
          <w:tcPr>
            <w:tcW w:w="220" w:type="dxa"/>
            <w:vAlign w:val="bottom"/>
          </w:tcPr>
          <w:p>
            <w:pPr>
              <w:spacing w:after="0"/>
              <w:rPr>
                <w:sz w:val="24"/>
                <w:szCs w:val="24"/>
                <w:color w:val="auto"/>
              </w:rPr>
            </w:pPr>
          </w:p>
        </w:tc>
        <w:tc>
          <w:tcPr>
            <w:tcW w:w="1080" w:type="dxa"/>
            <w:vAlign w:val="bottom"/>
          </w:tcPr>
          <w:p>
            <w:pPr>
              <w:jc w:val="center"/>
              <w:ind w:left="33"/>
              <w:spacing w:after="0"/>
              <w:rPr>
                <w:sz w:val="20"/>
                <w:szCs w:val="20"/>
                <w:color w:val="auto"/>
              </w:rPr>
            </w:pPr>
            <w:r>
              <w:rPr>
                <w:rFonts w:ascii="Times New Roman" w:cs="Times New Roman" w:eastAsia="Times New Roman" w:hAnsi="Times New Roman"/>
                <w:sz w:val="21"/>
                <w:szCs w:val="21"/>
                <w:color w:val="auto"/>
              </w:rPr>
              <w:t>(ad)</w:t>
            </w:r>
          </w:p>
        </w:tc>
        <w:tc>
          <w:tcPr>
            <w:tcW w:w="9940" w:type="dxa"/>
            <w:vAlign w:val="bottom"/>
            <w:gridSpan w:val="14"/>
          </w:tcPr>
          <w:p>
            <w:pPr>
              <w:spacing w:after="0"/>
              <w:rPr>
                <w:sz w:val="20"/>
                <w:szCs w:val="20"/>
                <w:color w:val="auto"/>
              </w:rPr>
            </w:pPr>
            <w:r>
              <w:rPr>
                <w:rFonts w:ascii="Times New Roman" w:cs="Times New Roman" w:eastAsia="Times New Roman" w:hAnsi="Times New Roman"/>
                <w:sz w:val="21"/>
                <w:szCs w:val="21"/>
                <w:color w:val="auto"/>
              </w:rPr>
              <w:t>Option Price: The price at which a Share may be purchased upon the exercise of an Option, as determined pursuant</w:t>
            </w:r>
          </w:p>
        </w:tc>
        <w:tc>
          <w:tcPr>
            <w:tcW w:w="0" w:type="dxa"/>
            <w:vAlign w:val="bottom"/>
          </w:tcPr>
          <w:p>
            <w:pPr>
              <w:spacing w:after="0"/>
              <w:rPr>
                <w:sz w:val="1"/>
                <w:szCs w:val="1"/>
                <w:color w:val="auto"/>
              </w:rPr>
            </w:pPr>
          </w:p>
        </w:tc>
      </w:tr>
      <w:tr>
        <w:trPr>
          <w:trHeight w:val="195"/>
        </w:trPr>
        <w:tc>
          <w:tcPr>
            <w:tcW w:w="1320" w:type="dxa"/>
            <w:vAlign w:val="bottom"/>
            <w:gridSpan w:val="3"/>
          </w:tcPr>
          <w:p>
            <w:pPr>
              <w:spacing w:after="0" w:line="195" w:lineRule="exact"/>
              <w:rPr>
                <w:sz w:val="20"/>
                <w:szCs w:val="20"/>
                <w:color w:val="auto"/>
              </w:rPr>
            </w:pPr>
            <w:r>
              <w:rPr>
                <w:rFonts w:ascii="Times New Roman" w:cs="Times New Roman" w:eastAsia="Times New Roman" w:hAnsi="Times New Roman"/>
                <w:sz w:val="21"/>
                <w:szCs w:val="21"/>
                <w:color w:val="auto"/>
              </w:rPr>
              <w:t>to Section 7(b)</w:t>
            </w:r>
          </w:p>
        </w:tc>
        <w:tc>
          <w:tcPr>
            <w:tcW w:w="1060" w:type="dxa"/>
            <w:vAlign w:val="bottom"/>
            <w:tcBorders>
              <w:top w:val="single" w:sz="8" w:color="auto"/>
            </w:tcBorders>
            <w:gridSpan w:val="4"/>
          </w:tcPr>
          <w:p>
            <w:pPr>
              <w:ind w:left="20"/>
              <w:spacing w:after="0" w:line="195" w:lineRule="exact"/>
              <w:rPr>
                <w:sz w:val="20"/>
                <w:szCs w:val="20"/>
                <w:color w:val="auto"/>
              </w:rPr>
            </w:pPr>
            <w:r>
              <w:rPr>
                <w:rFonts w:ascii="Times New Roman" w:cs="Times New Roman" w:eastAsia="Times New Roman" w:hAnsi="Times New Roman"/>
                <w:sz w:val="21"/>
                <w:szCs w:val="21"/>
                <w:color w:val="auto"/>
              </w:rPr>
              <w:t>of the Plan.</w:t>
            </w:r>
          </w:p>
        </w:tc>
        <w:tc>
          <w:tcPr>
            <w:tcW w:w="1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520" w:type="dxa"/>
            <w:vAlign w:val="bottom"/>
            <w:gridSpan w:val="3"/>
          </w:tcPr>
          <w:p>
            <w:pPr>
              <w:spacing w:after="0"/>
              <w:rPr>
                <w:sz w:val="16"/>
                <w:szCs w:val="16"/>
                <w:color w:val="auto"/>
              </w:rPr>
            </w:pPr>
          </w:p>
        </w:tc>
        <w:tc>
          <w:tcPr>
            <w:tcW w:w="800" w:type="dxa"/>
            <w:vAlign w:val="bottom"/>
          </w:tcPr>
          <w:p>
            <w:pPr>
              <w:spacing w:after="0"/>
              <w:rPr>
                <w:sz w:val="16"/>
                <w:szCs w:val="16"/>
                <w:color w:val="auto"/>
              </w:rPr>
            </w:pPr>
          </w:p>
        </w:tc>
        <w:tc>
          <w:tcPr>
            <w:tcW w:w="428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409"/>
        </w:trPr>
        <w:tc>
          <w:tcPr>
            <w:tcW w:w="220" w:type="dxa"/>
            <w:vAlign w:val="bottom"/>
          </w:tcPr>
          <w:p>
            <w:pPr>
              <w:spacing w:after="0"/>
              <w:rPr>
                <w:sz w:val="24"/>
                <w:szCs w:val="24"/>
                <w:color w:val="auto"/>
              </w:rPr>
            </w:pPr>
          </w:p>
        </w:tc>
        <w:tc>
          <w:tcPr>
            <w:tcW w:w="1080" w:type="dxa"/>
            <w:vAlign w:val="bottom"/>
            <w:tcBorders>
              <w:top w:val="single" w:sz="8" w:color="auto"/>
            </w:tcBorders>
          </w:tcPr>
          <w:p>
            <w:pPr>
              <w:jc w:val="center"/>
              <w:ind w:left="13"/>
              <w:spacing w:after="0"/>
              <w:rPr>
                <w:sz w:val="20"/>
                <w:szCs w:val="20"/>
                <w:color w:val="auto"/>
              </w:rPr>
            </w:pPr>
            <w:r>
              <w:rPr>
                <w:rFonts w:ascii="Times New Roman" w:cs="Times New Roman" w:eastAsia="Times New Roman" w:hAnsi="Times New Roman"/>
                <w:sz w:val="21"/>
                <w:szCs w:val="21"/>
                <w:color w:val="auto"/>
                <w:w w:val="97"/>
              </w:rPr>
              <w:t>(ae)</w:t>
            </w:r>
          </w:p>
        </w:tc>
        <w:tc>
          <w:tcPr>
            <w:tcW w:w="20" w:type="dxa"/>
            <w:vAlign w:val="bottom"/>
          </w:tcPr>
          <w:p>
            <w:pPr>
              <w:spacing w:after="0"/>
              <w:rPr>
                <w:sz w:val="24"/>
                <w:szCs w:val="24"/>
                <w:color w:val="auto"/>
              </w:rPr>
            </w:pPr>
          </w:p>
        </w:tc>
        <w:tc>
          <w:tcPr>
            <w:tcW w:w="9920" w:type="dxa"/>
            <w:vAlign w:val="bottom"/>
            <w:gridSpan w:val="13"/>
          </w:tcPr>
          <w:p>
            <w:pPr>
              <w:spacing w:after="0"/>
              <w:rPr>
                <w:sz w:val="20"/>
                <w:szCs w:val="20"/>
                <w:color w:val="auto"/>
              </w:rPr>
            </w:pPr>
            <w:r>
              <w:rPr>
                <w:rFonts w:ascii="Times New Roman" w:cs="Times New Roman" w:eastAsia="Times New Roman" w:hAnsi="Times New Roman"/>
                <w:sz w:val="21"/>
                <w:szCs w:val="21"/>
                <w:color w:val="auto"/>
              </w:rPr>
              <w:t>Other Share-Based Awards: Awards granted pursuant to Section 9 of the Plan.</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3"/>
            <w:shd w:val="clear" w:color="auto" w:fill="000000"/>
          </w:tcPr>
          <w:p>
            <w:pPr>
              <w:spacing w:after="0" w:line="20" w:lineRule="exact"/>
              <w:rPr>
                <w:sz w:val="1"/>
                <w:szCs w:val="1"/>
                <w:color w:val="auto"/>
              </w:rPr>
            </w:pPr>
          </w:p>
        </w:tc>
        <w:tc>
          <w:tcPr>
            <w:tcW w:w="140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20" w:type="dxa"/>
            <w:vAlign w:val="bottom"/>
            <w:gridSpan w:val="3"/>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9"/>
        </w:trPr>
        <w:tc>
          <w:tcPr>
            <w:tcW w:w="22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8"/>
              </w:rPr>
              <w:t>(af)</w:t>
            </w:r>
          </w:p>
        </w:tc>
        <w:tc>
          <w:tcPr>
            <w:tcW w:w="9940" w:type="dxa"/>
            <w:vAlign w:val="bottom"/>
            <w:gridSpan w:val="14"/>
          </w:tcPr>
          <w:p>
            <w:pPr>
              <w:spacing w:after="0"/>
              <w:rPr>
                <w:sz w:val="20"/>
                <w:szCs w:val="20"/>
                <w:color w:val="auto"/>
              </w:rPr>
            </w:pPr>
            <w:r>
              <w:rPr>
                <w:rFonts w:ascii="Times New Roman" w:cs="Times New Roman" w:eastAsia="Times New Roman" w:hAnsi="Times New Roman"/>
                <w:sz w:val="21"/>
                <w:szCs w:val="21"/>
                <w:color w:val="auto"/>
              </w:rPr>
              <w:t>Participant: An Employee, Consultant, or Director who is selected by the Committee to participate in the Plan and</w:t>
            </w:r>
          </w:p>
        </w:tc>
        <w:tc>
          <w:tcPr>
            <w:tcW w:w="0" w:type="dxa"/>
            <w:vAlign w:val="bottom"/>
          </w:tcPr>
          <w:p>
            <w:pPr>
              <w:spacing w:after="0"/>
              <w:rPr>
                <w:sz w:val="1"/>
                <w:szCs w:val="1"/>
                <w:color w:val="auto"/>
              </w:rPr>
            </w:pPr>
          </w:p>
        </w:tc>
      </w:tr>
      <w:tr>
        <w:trPr>
          <w:trHeight w:val="20"/>
        </w:trPr>
        <w:tc>
          <w:tcPr>
            <w:tcW w:w="1300" w:type="dxa"/>
            <w:vAlign w:val="bottom"/>
            <w:tcBorders>
              <w:right w:val="single" w:sz="8" w:color="auto"/>
            </w:tcBorders>
            <w:gridSpan w:val="2"/>
          </w:tcPr>
          <w:p>
            <w:pPr>
              <w:spacing w:after="0" w:line="20" w:lineRule="exact"/>
              <w:rPr>
                <w:sz w:val="1"/>
                <w:szCs w:val="1"/>
                <w:color w:val="auto"/>
              </w:rPr>
            </w:pPr>
          </w:p>
        </w:tc>
        <w:tc>
          <w:tcPr>
            <w:tcW w:w="920" w:type="dxa"/>
            <w:vAlign w:val="bottom"/>
            <w:gridSpan w:val="4"/>
            <w:shd w:val="clear" w:color="auto" w:fill="000000"/>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760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11240" w:type="dxa"/>
            <w:vAlign w:val="bottom"/>
            <w:gridSpan w:val="16"/>
          </w:tcPr>
          <w:p>
            <w:pPr>
              <w:spacing w:after="0"/>
              <w:rPr>
                <w:sz w:val="20"/>
                <w:szCs w:val="20"/>
                <w:color w:val="auto"/>
              </w:rPr>
            </w:pPr>
            <w:r>
              <w:rPr>
                <w:rFonts w:ascii="Times New Roman" w:cs="Times New Roman" w:eastAsia="Times New Roman" w:hAnsi="Times New Roman"/>
                <w:sz w:val="21"/>
                <w:szCs w:val="21"/>
                <w:color w:val="auto"/>
              </w:rPr>
              <w:t>to whom an Award is granted pursuant to the Plan.</w:t>
            </w:r>
          </w:p>
        </w:tc>
        <w:tc>
          <w:tcPr>
            <w:tcW w:w="0" w:type="dxa"/>
            <w:vAlign w:val="bottom"/>
          </w:tcPr>
          <w:p>
            <w:pPr>
              <w:spacing w:after="0"/>
              <w:rPr>
                <w:sz w:val="1"/>
                <w:szCs w:val="1"/>
                <w:color w:val="auto"/>
              </w:rPr>
            </w:pPr>
          </w:p>
        </w:tc>
      </w:tr>
      <w:tr>
        <w:trPr>
          <w:trHeight w:val="351"/>
        </w:trPr>
        <w:tc>
          <w:tcPr>
            <w:tcW w:w="220" w:type="dxa"/>
            <w:vAlign w:val="bottom"/>
          </w:tcPr>
          <w:p>
            <w:pPr>
              <w:spacing w:after="0"/>
              <w:rPr>
                <w:sz w:val="24"/>
                <w:szCs w:val="24"/>
                <w:color w:val="auto"/>
              </w:rPr>
            </w:pPr>
          </w:p>
        </w:tc>
        <w:tc>
          <w:tcPr>
            <w:tcW w:w="1080" w:type="dxa"/>
            <w:vAlign w:val="bottom"/>
          </w:tcPr>
          <w:p>
            <w:pPr>
              <w:jc w:val="center"/>
              <w:ind w:left="33"/>
              <w:spacing w:after="0"/>
              <w:rPr>
                <w:sz w:val="20"/>
                <w:szCs w:val="20"/>
                <w:color w:val="auto"/>
              </w:rPr>
            </w:pPr>
            <w:r>
              <w:rPr>
                <w:rFonts w:ascii="Times New Roman" w:cs="Times New Roman" w:eastAsia="Times New Roman" w:hAnsi="Times New Roman"/>
                <w:sz w:val="21"/>
                <w:szCs w:val="21"/>
                <w:color w:val="auto"/>
              </w:rPr>
              <w:t>(ag)</w:t>
            </w:r>
          </w:p>
        </w:tc>
        <w:tc>
          <w:tcPr>
            <w:tcW w:w="9940" w:type="dxa"/>
            <w:vAlign w:val="bottom"/>
            <w:gridSpan w:val="14"/>
          </w:tcPr>
          <w:p>
            <w:pPr>
              <w:spacing w:after="0"/>
              <w:rPr>
                <w:sz w:val="20"/>
                <w:szCs w:val="20"/>
                <w:color w:val="auto"/>
              </w:rPr>
            </w:pPr>
            <w:r>
              <w:rPr>
                <w:rFonts w:ascii="Times New Roman" w:cs="Times New Roman" w:eastAsia="Times New Roman" w:hAnsi="Times New Roman"/>
                <w:sz w:val="21"/>
                <w:szCs w:val="21"/>
                <w:color w:val="auto"/>
              </w:rPr>
              <w:t>Performance-Based Award: A Full-Value Award that vests, in whole or in part, based on the attainment of a</w:t>
            </w:r>
          </w:p>
        </w:tc>
        <w:tc>
          <w:tcPr>
            <w:tcW w:w="0" w:type="dxa"/>
            <w:vAlign w:val="bottom"/>
          </w:tcPr>
          <w:p>
            <w:pPr>
              <w:spacing w:after="0"/>
              <w:rPr>
                <w:sz w:val="1"/>
                <w:szCs w:val="1"/>
                <w:color w:val="auto"/>
              </w:rPr>
            </w:pPr>
          </w:p>
        </w:tc>
      </w:tr>
      <w:tr>
        <w:trPr>
          <w:trHeight w:val="20"/>
        </w:trPr>
        <w:tc>
          <w:tcPr>
            <w:tcW w:w="1300" w:type="dxa"/>
            <w:vAlign w:val="bottom"/>
            <w:gridSpan w:val="2"/>
          </w:tcPr>
          <w:p>
            <w:pPr>
              <w:spacing w:after="0" w:line="20" w:lineRule="exact"/>
              <w:rPr>
                <w:sz w:val="1"/>
                <w:szCs w:val="1"/>
                <w:color w:val="auto"/>
              </w:rPr>
            </w:pPr>
          </w:p>
        </w:tc>
        <w:tc>
          <w:tcPr>
            <w:tcW w:w="2340" w:type="dxa"/>
            <w:vAlign w:val="bottom"/>
            <w:gridSpan w:val="7"/>
            <w:shd w:val="clear" w:color="auto" w:fill="000000"/>
          </w:tcPr>
          <w:p>
            <w:pPr>
              <w:spacing w:after="0" w:line="20" w:lineRule="exact"/>
              <w:rPr>
                <w:sz w:val="1"/>
                <w:szCs w:val="1"/>
                <w:color w:val="auto"/>
              </w:rPr>
            </w:pPr>
          </w:p>
        </w:tc>
        <w:tc>
          <w:tcPr>
            <w:tcW w:w="7600" w:type="dxa"/>
            <w:vAlign w:val="bottom"/>
            <w:gridSpan w:val="7"/>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3640" w:type="dxa"/>
            <w:vAlign w:val="bottom"/>
            <w:gridSpan w:val="9"/>
          </w:tcPr>
          <w:p>
            <w:pPr>
              <w:jc w:val="center"/>
              <w:ind w:right="2020"/>
              <w:spacing w:after="0"/>
              <w:rPr>
                <w:sz w:val="20"/>
                <w:szCs w:val="20"/>
                <w:color w:val="auto"/>
              </w:rPr>
            </w:pPr>
            <w:r>
              <w:rPr>
                <w:rFonts w:ascii="Times New Roman" w:cs="Times New Roman" w:eastAsia="Times New Roman" w:hAnsi="Times New Roman"/>
                <w:sz w:val="21"/>
                <w:szCs w:val="21"/>
                <w:color w:val="auto"/>
              </w:rPr>
              <w:t>Performance Goal.</w:t>
            </w:r>
          </w:p>
        </w:tc>
        <w:tc>
          <w:tcPr>
            <w:tcW w:w="7600" w:type="dxa"/>
            <w:vAlign w:val="bottom"/>
            <w:gridSpan w:val="7"/>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361"/>
        </w:trPr>
        <w:tc>
          <w:tcPr>
            <w:tcW w:w="220" w:type="dxa"/>
            <w:vAlign w:val="bottom"/>
          </w:tcPr>
          <w:p>
            <w:pPr>
              <w:spacing w:after="0"/>
              <w:rPr>
                <w:sz w:val="24"/>
                <w:szCs w:val="24"/>
                <w:color w:val="auto"/>
              </w:rPr>
            </w:pPr>
          </w:p>
        </w:tc>
        <w:tc>
          <w:tcPr>
            <w:tcW w:w="1080" w:type="dxa"/>
            <w:vAlign w:val="bottom"/>
          </w:tcPr>
          <w:p>
            <w:pPr>
              <w:jc w:val="center"/>
              <w:ind w:left="33"/>
              <w:spacing w:after="0"/>
              <w:rPr>
                <w:sz w:val="20"/>
                <w:szCs w:val="20"/>
                <w:color w:val="auto"/>
              </w:rPr>
            </w:pPr>
            <w:r>
              <w:rPr>
                <w:rFonts w:ascii="Times New Roman" w:cs="Times New Roman" w:eastAsia="Times New Roman" w:hAnsi="Times New Roman"/>
                <w:sz w:val="21"/>
                <w:szCs w:val="21"/>
                <w:color w:val="auto"/>
              </w:rPr>
              <w:t>(ah)</w:t>
            </w:r>
          </w:p>
        </w:tc>
        <w:tc>
          <w:tcPr>
            <w:tcW w:w="9940" w:type="dxa"/>
            <w:vAlign w:val="bottom"/>
            <w:gridSpan w:val="14"/>
          </w:tcPr>
          <w:p>
            <w:pPr>
              <w:spacing w:after="0"/>
              <w:rPr>
                <w:sz w:val="20"/>
                <w:szCs w:val="20"/>
                <w:color w:val="auto"/>
              </w:rPr>
            </w:pPr>
            <w:r>
              <w:rPr>
                <w:rFonts w:ascii="Times New Roman" w:cs="Times New Roman" w:eastAsia="Times New Roman" w:hAnsi="Times New Roman"/>
                <w:sz w:val="21"/>
                <w:szCs w:val="21"/>
                <w:u w:val="single" w:color="auto"/>
                <w:color w:val="auto"/>
              </w:rPr>
              <w:t>Performance Criteria</w:t>
            </w:r>
            <w:r>
              <w:rPr>
                <w:rFonts w:ascii="Times New Roman" w:cs="Times New Roman" w:eastAsia="Times New Roman" w:hAnsi="Times New Roman"/>
                <w:sz w:val="21"/>
                <w:szCs w:val="21"/>
                <w:color w:val="auto"/>
              </w:rPr>
              <w:t>: The criteria that the Committee selects for purposes of establishing the Performance Goal(s)</w:t>
            </w:r>
          </w:p>
        </w:tc>
        <w:tc>
          <w:tcPr>
            <w:tcW w:w="0" w:type="dxa"/>
            <w:vAlign w:val="bottom"/>
          </w:tcPr>
          <w:p>
            <w:pPr>
              <w:spacing w:after="0"/>
              <w:rPr>
                <w:sz w:val="1"/>
                <w:szCs w:val="1"/>
                <w:color w:val="auto"/>
              </w:rPr>
            </w:pPr>
          </w:p>
        </w:tc>
      </w:tr>
    </w:tbl>
    <w:p>
      <w:pPr>
        <w:jc w:val="both"/>
        <w:spacing w:after="0" w:line="213" w:lineRule="auto"/>
        <w:rPr>
          <w:sz w:val="20"/>
          <w:szCs w:val="20"/>
          <w:color w:val="auto"/>
        </w:rPr>
      </w:pPr>
      <w:r>
        <w:rPr>
          <w:rFonts w:ascii="Times New Roman" w:cs="Times New Roman" w:eastAsia="Times New Roman" w:hAnsi="Times New Roman"/>
          <w:sz w:val="21"/>
          <w:szCs w:val="21"/>
          <w:color w:val="auto"/>
        </w:rPr>
        <w:t>for a Participant during a Performance Period. The Performance Criteria that will be used to establish Performance Goals may include, but is not limited to, one or more of the following: (i) consolidated earnings before or after taxes (including earnings before interest, taxes, depreciation and amortization); (ii) net income; (iii) operating income; (iv) operating income margin; (v) gross margin; (vi) earnings per Share; (vii) book value per Share; (viii) return on shareholders' equity; (ix) expense management;</w:t>
      </w:r>
    </w:p>
    <w:p>
      <w:pPr>
        <w:ind w:left="320" w:hanging="313"/>
        <w:spacing w:after="0" w:line="215" w:lineRule="auto"/>
        <w:tabs>
          <w:tab w:leader="none" w:pos="320"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return on invested capital; (xi) improvements in capital structure; (xii) profitability of an identifiable business unit or product;</w:t>
      </w:r>
    </w:p>
    <w:p>
      <w:pPr>
        <w:ind w:left="520" w:hanging="513"/>
        <w:spacing w:after="0" w:line="213" w:lineRule="auto"/>
        <w:tabs>
          <w:tab w:leader="none" w:pos="520"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maintenance or improvement of profit margins or revenue; (xiv) Share price; (xv) market share; (xvi) revenues or sales;</w:t>
      </w:r>
    </w:p>
    <w:p>
      <w:pPr>
        <w:jc w:val="both"/>
        <w:ind w:firstLine="7"/>
        <w:spacing w:after="0" w:line="226" w:lineRule="auto"/>
        <w:tabs>
          <w:tab w:leader="none" w:pos="587"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costs; (xviii) available cash flow; (xix) working capital; (xx) return on assets; (xxi) total shareholder return, (xxii) productivity ratios, and (xxiii) economic value added. The Performance Criteria may be calculated in accordance with the Applicable Accounting Standards or on an adjusted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1240"/>
          </w:cols>
          <w:pgMar w:left="320" w:top="1440" w:right="339" w:bottom="1440" w:gutter="0" w:footer="0" w:header="0"/>
        </w:sectPr>
      </w:pPr>
    </w:p>
    <w:bookmarkStart w:id="22" w:name="page23"/>
    <w:bookmarkEnd w:id="22"/>
    <w:p>
      <w:pPr>
        <w:spacing w:after="0" w:line="270" w:lineRule="exact"/>
        <w:rPr>
          <w:sz w:val="20"/>
          <w:szCs w:val="20"/>
          <w:color w:val="auto"/>
        </w:rPr>
      </w:pPr>
    </w:p>
    <w:p>
      <w:pPr>
        <w:jc w:val="both"/>
        <w:ind w:firstLine="644"/>
        <w:spacing w:after="0" w:line="218" w:lineRule="auto"/>
        <w:rPr>
          <w:sz w:val="20"/>
          <w:szCs w:val="20"/>
          <w:color w:val="auto"/>
        </w:rPr>
      </w:pPr>
      <w:r>
        <w:rPr>
          <w:rFonts w:ascii="Times New Roman" w:cs="Times New Roman" w:eastAsia="Times New Roman" w:hAnsi="Times New Roman"/>
          <w:sz w:val="21"/>
          <w:szCs w:val="21"/>
          <w:color w:val="auto"/>
        </w:rPr>
        <w:t xml:space="preserve">(ai) </w:t>
      </w:r>
      <w:r>
        <w:rPr>
          <w:rFonts w:ascii="Times New Roman" w:cs="Times New Roman" w:eastAsia="Times New Roman" w:hAnsi="Times New Roman"/>
          <w:sz w:val="21"/>
          <w:szCs w:val="21"/>
          <w:u w:val="single" w:color="auto"/>
          <w:color w:val="auto"/>
        </w:rPr>
        <w:t>Performance Goals</w:t>
      </w:r>
      <w:r>
        <w:rPr>
          <w:rFonts w:ascii="Times New Roman" w:cs="Times New Roman" w:eastAsia="Times New Roman" w:hAnsi="Times New Roman"/>
          <w:sz w:val="21"/>
          <w:szCs w:val="21"/>
          <w:color w:val="auto"/>
        </w:rPr>
        <w:t>: For a Performance Period, the goals established in writing by the Committee for the Performance Period based upon the Performance Criteria. Depending on the Performance Criteria used to establish such Performance Goals, the Performance Goals may be expressed in terms of overall Company performance, the performance of an Affiliate, the performance of a division or a business unit of the Company or an Affiliate, or the performance of an individual or team. The Performance Goal established by the Committee may also be based on a return or rates of return using any of the foregoing Performance Criteria and including a return or rates of return based on revenue, earnings, capital, invested capital, cash, cash flow, assets, net assets, equity or a combination or ratio therefrom. The Performance Goal established by the Committee may also be based on Performance Criteria, which may be used to calculate a ratio or may be used as a cumulative or an absolute measure or as a measure of comparative performance relative to a peer group of companies, an index, budget, prior period, or combination thereof, or other standard selected by the Committee. Unless otherwise stated, such a Performance Goal need not be based upon an increase or positive result under a particular business criterion and could include, for example, maintaining the status quo or limiting economic losses (measured, in each case, by reference to specific business criteria). The Performance Goals may be measured in either absolute or relative terms. The Committee, in its sole discretion, may provide that one or more adjustments shall be made to one or more of the Performance Goals.</w:t>
      </w:r>
    </w:p>
    <w:p>
      <w:pPr>
        <w:spacing w:after="0" w:line="150" w:lineRule="exact"/>
        <w:rPr>
          <w:sz w:val="20"/>
          <w:szCs w:val="20"/>
          <w:color w:val="auto"/>
        </w:rPr>
      </w:pPr>
    </w:p>
    <w:p>
      <w:pPr>
        <w:jc w:val="both"/>
        <w:ind w:firstLine="644"/>
        <w:spacing w:after="0" w:line="234" w:lineRule="auto"/>
        <w:rPr>
          <w:sz w:val="20"/>
          <w:szCs w:val="20"/>
          <w:color w:val="auto"/>
        </w:rPr>
      </w:pPr>
      <w:r>
        <w:rPr>
          <w:rFonts w:ascii="Times New Roman" w:cs="Times New Roman" w:eastAsia="Times New Roman" w:hAnsi="Times New Roman"/>
          <w:sz w:val="21"/>
          <w:szCs w:val="21"/>
          <w:color w:val="auto"/>
        </w:rPr>
        <w:t xml:space="preserve">(aj) </w:t>
      </w:r>
      <w:r>
        <w:rPr>
          <w:rFonts w:ascii="Times New Roman" w:cs="Times New Roman" w:eastAsia="Times New Roman" w:hAnsi="Times New Roman"/>
          <w:sz w:val="21"/>
          <w:szCs w:val="21"/>
          <w:u w:val="single" w:color="auto"/>
          <w:color w:val="auto"/>
        </w:rPr>
        <w:t>Performance Period</w:t>
      </w:r>
      <w:r>
        <w:rPr>
          <w:rFonts w:ascii="Times New Roman" w:cs="Times New Roman" w:eastAsia="Times New Roman" w:hAnsi="Times New Roman"/>
          <w:sz w:val="21"/>
          <w:szCs w:val="21"/>
          <w:color w:val="auto"/>
        </w:rPr>
        <w:t>: One or more periods of time, which may be of varying and overlapping durations, as the Committee may select, over which the attainment of one or more Performance Goals will be measured for the purpose of determining a Participant's right to, and the payment of, a Performance-Based Award.</w:t>
      </w:r>
    </w:p>
    <w:p>
      <w:pPr>
        <w:spacing w:after="0" w:line="153" w:lineRule="exact"/>
        <w:rPr>
          <w:sz w:val="20"/>
          <w:szCs w:val="20"/>
          <w:color w:val="auto"/>
        </w:rPr>
      </w:pPr>
    </w:p>
    <w:p>
      <w:pPr>
        <w:jc w:val="both"/>
        <w:ind w:firstLine="644"/>
        <w:spacing w:after="0" w:line="226" w:lineRule="auto"/>
        <w:rPr>
          <w:sz w:val="20"/>
          <w:szCs w:val="20"/>
          <w:color w:val="auto"/>
        </w:rPr>
      </w:pPr>
      <w:r>
        <w:rPr>
          <w:rFonts w:ascii="Times New Roman" w:cs="Times New Roman" w:eastAsia="Times New Roman" w:hAnsi="Times New Roman"/>
          <w:sz w:val="21"/>
          <w:szCs w:val="21"/>
          <w:color w:val="auto"/>
        </w:rPr>
        <w:t xml:space="preserve">(ak) </w:t>
      </w:r>
      <w:r>
        <w:rPr>
          <w:rFonts w:ascii="Times New Roman" w:cs="Times New Roman" w:eastAsia="Times New Roman" w:hAnsi="Times New Roman"/>
          <w:sz w:val="21"/>
          <w:szCs w:val="21"/>
          <w:u w:val="single" w:color="auto"/>
          <w:color w:val="auto"/>
        </w:rPr>
        <w:t>Person</w:t>
      </w:r>
      <w:r>
        <w:rPr>
          <w:rFonts w:ascii="Times New Roman" w:cs="Times New Roman" w:eastAsia="Times New Roman" w:hAnsi="Times New Roman"/>
          <w:sz w:val="21"/>
          <w:szCs w:val="21"/>
          <w:color w:val="auto"/>
        </w:rPr>
        <w:t>: A “person” as such term is used for purposes of Section 3(a)(9) of the Exchange Act, as modified and used in Sections 13(d) thereof, except that such term shall not include (i) the Company or any of its Affiliates, (ii) a trustee or other fiduciary holding securities under a Benefit Plan, (iii) an underwriter temporarily holding securities pursuant to an offering by the Company of such securities, or (iv) an Entity owned, directly or indirectly, by the shareholders of the Company in the same proportions as their ownership of the Shares of the Company.</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280" w:type="dxa"/>
            <w:vAlign w:val="bottom"/>
          </w:tcPr>
          <w:p>
            <w:pPr>
              <w:ind w:left="660"/>
              <w:spacing w:after="0"/>
              <w:rPr>
                <w:sz w:val="20"/>
                <w:szCs w:val="20"/>
                <w:color w:val="auto"/>
              </w:rPr>
            </w:pPr>
            <w:r>
              <w:rPr>
                <w:rFonts w:ascii="Times New Roman" w:cs="Times New Roman" w:eastAsia="Times New Roman" w:hAnsi="Times New Roman"/>
                <w:sz w:val="21"/>
                <w:szCs w:val="21"/>
                <w:color w:val="auto"/>
              </w:rPr>
              <w:t>(al)</w:t>
            </w:r>
          </w:p>
        </w:tc>
        <w:tc>
          <w:tcPr>
            <w:tcW w:w="9960" w:type="dxa"/>
            <w:vAlign w:val="bottom"/>
            <w:gridSpan w:val="9"/>
          </w:tcPr>
          <w:p>
            <w:pPr>
              <w:spacing w:after="0"/>
              <w:rPr>
                <w:sz w:val="20"/>
                <w:szCs w:val="20"/>
                <w:color w:val="auto"/>
              </w:rPr>
            </w:pPr>
            <w:r>
              <w:rPr>
                <w:rFonts w:ascii="Times New Roman" w:cs="Times New Roman" w:eastAsia="Times New Roman" w:hAnsi="Times New Roman"/>
                <w:sz w:val="21"/>
                <w:szCs w:val="21"/>
                <w:color w:val="auto"/>
              </w:rPr>
              <w:t>Plan: This Weatherford International plc Third Amended and Restated 2019 Equity Incentive Plan, as amended</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1660" w:type="dxa"/>
            <w:vAlign w:val="bottom"/>
            <w:gridSpan w:val="3"/>
          </w:tcPr>
          <w:p>
            <w:pPr>
              <w:spacing w:after="0"/>
              <w:rPr>
                <w:sz w:val="20"/>
                <w:szCs w:val="20"/>
                <w:color w:val="auto"/>
              </w:rPr>
            </w:pPr>
            <w:r>
              <w:rPr>
                <w:rFonts w:ascii="Times New Roman" w:cs="Times New Roman" w:eastAsia="Times New Roman" w:hAnsi="Times New Roman"/>
                <w:sz w:val="21"/>
                <w:szCs w:val="21"/>
                <w:color w:val="auto"/>
              </w:rPr>
              <w:t>from time to time.</w:t>
            </w:r>
          </w:p>
        </w:tc>
        <w:tc>
          <w:tcPr>
            <w:tcW w:w="1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51"/>
        </w:trPr>
        <w:tc>
          <w:tcPr>
            <w:tcW w:w="1280" w:type="dxa"/>
            <w:vAlign w:val="bottom"/>
          </w:tcPr>
          <w:p>
            <w:pPr>
              <w:ind w:left="660"/>
              <w:spacing w:after="0"/>
              <w:rPr>
                <w:sz w:val="20"/>
                <w:szCs w:val="20"/>
                <w:color w:val="auto"/>
              </w:rPr>
            </w:pPr>
            <w:r>
              <w:rPr>
                <w:rFonts w:ascii="Times New Roman" w:cs="Times New Roman" w:eastAsia="Times New Roman" w:hAnsi="Times New Roman"/>
                <w:sz w:val="21"/>
                <w:szCs w:val="21"/>
                <w:color w:val="auto"/>
              </w:rPr>
              <w:t>(am)</w:t>
            </w:r>
          </w:p>
        </w:tc>
        <w:tc>
          <w:tcPr>
            <w:tcW w:w="9960" w:type="dxa"/>
            <w:vAlign w:val="bottom"/>
            <w:gridSpan w:val="9"/>
          </w:tcPr>
          <w:p>
            <w:pPr>
              <w:spacing w:after="0"/>
              <w:rPr>
                <w:sz w:val="20"/>
                <w:szCs w:val="20"/>
                <w:color w:val="auto"/>
              </w:rPr>
            </w:pPr>
            <w:r>
              <w:rPr>
                <w:rFonts w:ascii="Times New Roman" w:cs="Times New Roman" w:eastAsia="Times New Roman" w:hAnsi="Times New Roman"/>
                <w:sz w:val="21"/>
                <w:szCs w:val="21"/>
                <w:color w:val="auto"/>
              </w:rPr>
              <w:t>Restricted Shares: Shares awarded to a Participant pursuant to Section 6 of the Plan that shall be subject to certain</w:t>
            </w:r>
          </w:p>
        </w:tc>
        <w:tc>
          <w:tcPr>
            <w:tcW w:w="0" w:type="dxa"/>
            <w:vAlign w:val="bottom"/>
          </w:tcPr>
          <w:p>
            <w:pPr>
              <w:spacing w:after="0"/>
              <w:rPr>
                <w:sz w:val="1"/>
                <w:szCs w:val="1"/>
                <w:color w:val="auto"/>
              </w:rPr>
            </w:pPr>
          </w:p>
        </w:tc>
      </w:tr>
      <w:tr>
        <w:trPr>
          <w:trHeight w:val="20"/>
        </w:trPr>
        <w:tc>
          <w:tcPr>
            <w:tcW w:w="1280" w:type="dxa"/>
            <w:vAlign w:val="bottom"/>
            <w:vMerge w:val="restart"/>
          </w:tcPr>
          <w:p>
            <w:pPr>
              <w:spacing w:after="0"/>
              <w:rPr>
                <w:sz w:val="20"/>
                <w:szCs w:val="20"/>
                <w:color w:val="auto"/>
              </w:rPr>
            </w:pPr>
            <w:r>
              <w:rPr>
                <w:rFonts w:ascii="Times New Roman" w:cs="Times New Roman" w:eastAsia="Times New Roman" w:hAnsi="Times New Roman"/>
                <w:sz w:val="21"/>
                <w:szCs w:val="21"/>
                <w:color w:val="auto"/>
                <w:w w:val="97"/>
              </w:rPr>
              <w:t>restrictions and</w:t>
            </w:r>
          </w:p>
        </w:tc>
        <w:tc>
          <w:tcPr>
            <w:tcW w:w="20" w:type="dxa"/>
            <w:vAlign w:val="bottom"/>
            <w:shd w:val="clear" w:color="auto" w:fill="000000"/>
          </w:tcPr>
          <w:p>
            <w:pPr>
              <w:spacing w:after="0" w:line="20" w:lineRule="exact"/>
              <w:rPr>
                <w:sz w:val="1"/>
                <w:szCs w:val="1"/>
                <w:color w:val="auto"/>
              </w:rPr>
            </w:pPr>
          </w:p>
        </w:tc>
        <w:tc>
          <w:tcPr>
            <w:tcW w:w="1480" w:type="dxa"/>
            <w:vAlign w:val="bottom"/>
            <w:gridSpan w:val="2"/>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1280" w:type="dxa"/>
            <w:vAlign w:val="bottom"/>
            <w:vMerge w:val="continue"/>
          </w:tcPr>
          <w:p>
            <w:pPr>
              <w:spacing w:after="0"/>
              <w:rPr>
                <w:sz w:val="23"/>
                <w:szCs w:val="23"/>
                <w:color w:val="auto"/>
              </w:rPr>
            </w:pPr>
          </w:p>
        </w:tc>
        <w:tc>
          <w:tcPr>
            <w:tcW w:w="20" w:type="dxa"/>
            <w:vAlign w:val="bottom"/>
          </w:tcPr>
          <w:p>
            <w:pPr>
              <w:spacing w:after="0"/>
              <w:rPr>
                <w:sz w:val="23"/>
                <w:szCs w:val="23"/>
                <w:color w:val="auto"/>
              </w:rPr>
            </w:pPr>
          </w:p>
        </w:tc>
        <w:tc>
          <w:tcPr>
            <w:tcW w:w="9940" w:type="dxa"/>
            <w:vAlign w:val="bottom"/>
            <w:gridSpan w:val="8"/>
          </w:tcPr>
          <w:p>
            <w:pPr>
              <w:ind w:left="80"/>
              <w:spacing w:after="0"/>
              <w:rPr>
                <w:sz w:val="20"/>
                <w:szCs w:val="20"/>
                <w:color w:val="auto"/>
              </w:rPr>
            </w:pPr>
            <w:r>
              <w:rPr>
                <w:rFonts w:ascii="Times New Roman" w:cs="Times New Roman" w:eastAsia="Times New Roman" w:hAnsi="Times New Roman"/>
                <w:sz w:val="21"/>
                <w:szCs w:val="21"/>
                <w:color w:val="auto"/>
              </w:rPr>
              <w:t>may be subject to risk of forfeiture.</w:t>
            </w:r>
          </w:p>
        </w:tc>
        <w:tc>
          <w:tcPr>
            <w:tcW w:w="0" w:type="dxa"/>
            <w:vAlign w:val="bottom"/>
          </w:tcPr>
          <w:p>
            <w:pPr>
              <w:spacing w:after="0"/>
              <w:rPr>
                <w:sz w:val="1"/>
                <w:szCs w:val="1"/>
                <w:color w:val="auto"/>
              </w:rPr>
            </w:pPr>
          </w:p>
        </w:tc>
      </w:tr>
      <w:tr>
        <w:trPr>
          <w:trHeight w:val="351"/>
        </w:trPr>
        <w:tc>
          <w:tcPr>
            <w:tcW w:w="1280" w:type="dxa"/>
            <w:vAlign w:val="bottom"/>
          </w:tcPr>
          <w:p>
            <w:pPr>
              <w:ind w:left="660"/>
              <w:spacing w:after="0"/>
              <w:rPr>
                <w:sz w:val="20"/>
                <w:szCs w:val="20"/>
                <w:color w:val="auto"/>
              </w:rPr>
            </w:pPr>
            <w:r>
              <w:rPr>
                <w:rFonts w:ascii="Times New Roman" w:cs="Times New Roman" w:eastAsia="Times New Roman" w:hAnsi="Times New Roman"/>
                <w:sz w:val="21"/>
                <w:szCs w:val="21"/>
                <w:color w:val="auto"/>
              </w:rPr>
              <w:t>(an)</w:t>
            </w:r>
          </w:p>
        </w:tc>
        <w:tc>
          <w:tcPr>
            <w:tcW w:w="20" w:type="dxa"/>
            <w:vAlign w:val="bottom"/>
          </w:tcPr>
          <w:p>
            <w:pPr>
              <w:spacing w:after="0"/>
              <w:rPr>
                <w:sz w:val="24"/>
                <w:szCs w:val="24"/>
                <w:color w:val="auto"/>
              </w:rPr>
            </w:pPr>
          </w:p>
        </w:tc>
        <w:tc>
          <w:tcPr>
            <w:tcW w:w="9940" w:type="dxa"/>
            <w:vAlign w:val="bottom"/>
            <w:gridSpan w:val="8"/>
          </w:tcPr>
          <w:p>
            <w:pPr>
              <w:spacing w:after="0"/>
              <w:rPr>
                <w:sz w:val="20"/>
                <w:szCs w:val="20"/>
                <w:color w:val="auto"/>
              </w:rPr>
            </w:pPr>
            <w:r>
              <w:rPr>
                <w:rFonts w:ascii="Times New Roman" w:cs="Times New Roman" w:eastAsia="Times New Roman" w:hAnsi="Times New Roman"/>
                <w:sz w:val="21"/>
                <w:szCs w:val="21"/>
                <w:color w:val="auto"/>
              </w:rPr>
              <w:t>Restricted Share Unit: An Award granted pursuant to Section 5 of the Plan that shall be evidenced by a</w:t>
            </w:r>
          </w:p>
        </w:tc>
        <w:tc>
          <w:tcPr>
            <w:tcW w:w="0" w:type="dxa"/>
            <w:vAlign w:val="bottom"/>
          </w:tcPr>
          <w:p>
            <w:pPr>
              <w:spacing w:after="0"/>
              <w:rPr>
                <w:sz w:val="1"/>
                <w:szCs w:val="1"/>
                <w:color w:val="auto"/>
              </w:rPr>
            </w:pPr>
          </w:p>
        </w:tc>
      </w:tr>
      <w:tr>
        <w:trPr>
          <w:trHeight w:val="20"/>
        </w:trPr>
        <w:tc>
          <w:tcPr>
            <w:tcW w:w="1300" w:type="dxa"/>
            <w:vAlign w:val="bottom"/>
            <w:gridSpan w:val="2"/>
          </w:tcPr>
          <w:p>
            <w:pPr>
              <w:spacing w:after="0" w:line="20" w:lineRule="exact"/>
              <w:rPr>
                <w:sz w:val="1"/>
                <w:szCs w:val="1"/>
                <w:color w:val="auto"/>
              </w:rPr>
            </w:pPr>
          </w:p>
        </w:tc>
        <w:tc>
          <w:tcPr>
            <w:tcW w:w="1960" w:type="dxa"/>
            <w:vAlign w:val="bottom"/>
            <w:gridSpan w:val="3"/>
            <w:shd w:val="clear" w:color="auto" w:fill="000000"/>
          </w:tcPr>
          <w:p>
            <w:pPr>
              <w:spacing w:after="0" w:line="20" w:lineRule="exact"/>
              <w:rPr>
                <w:sz w:val="1"/>
                <w:szCs w:val="1"/>
                <w:color w:val="auto"/>
              </w:rPr>
            </w:pPr>
          </w:p>
        </w:tc>
        <w:tc>
          <w:tcPr>
            <w:tcW w:w="3120" w:type="dxa"/>
            <w:vAlign w:val="bottom"/>
            <w:vMerge w:val="restart"/>
          </w:tcPr>
          <w:p>
            <w:pPr>
              <w:spacing w:after="0"/>
              <w:rPr>
                <w:sz w:val="20"/>
                <w:szCs w:val="20"/>
                <w:color w:val="auto"/>
              </w:rPr>
            </w:pPr>
            <w:r>
              <w:rPr>
                <w:rFonts w:ascii="Times New Roman" w:cs="Times New Roman" w:eastAsia="Times New Roman" w:hAnsi="Times New Roman"/>
                <w:sz w:val="21"/>
                <w:szCs w:val="21"/>
                <w:color w:val="auto"/>
              </w:rPr>
              <w:t>equivalent of one Share.</w:t>
            </w:r>
          </w:p>
        </w:tc>
        <w:tc>
          <w:tcPr>
            <w:tcW w:w="860" w:type="dxa"/>
            <w:vAlign w:val="bottom"/>
            <w:gridSpan w:val="2"/>
            <w:shd w:val="clear" w:color="auto" w:fill="000000"/>
          </w:tcPr>
          <w:p>
            <w:pPr>
              <w:spacing w:after="0" w:line="20" w:lineRule="exact"/>
              <w:rPr>
                <w:sz w:val="1"/>
                <w:szCs w:val="1"/>
                <w:color w:val="auto"/>
              </w:rPr>
            </w:pPr>
          </w:p>
        </w:tc>
        <w:tc>
          <w:tcPr>
            <w:tcW w:w="400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3260" w:type="dxa"/>
            <w:vAlign w:val="bottom"/>
            <w:gridSpan w:val="5"/>
          </w:tcPr>
          <w:p>
            <w:pPr>
              <w:spacing w:after="0"/>
              <w:rPr>
                <w:sz w:val="20"/>
                <w:szCs w:val="20"/>
                <w:color w:val="auto"/>
              </w:rPr>
            </w:pPr>
            <w:r>
              <w:rPr>
                <w:rFonts w:ascii="Times New Roman" w:cs="Times New Roman" w:eastAsia="Times New Roman" w:hAnsi="Times New Roman"/>
                <w:sz w:val="21"/>
                <w:szCs w:val="21"/>
                <w:color w:val="auto"/>
              </w:rPr>
              <w:t>bookkeeping entry representing the</w:t>
            </w:r>
          </w:p>
        </w:tc>
        <w:tc>
          <w:tcPr>
            <w:tcW w:w="3120" w:type="dxa"/>
            <w:vAlign w:val="bottom"/>
            <w:vMerge w:val="continue"/>
          </w:tcPr>
          <w:p>
            <w:pPr>
              <w:spacing w:after="0"/>
              <w:rPr>
                <w:sz w:val="23"/>
                <w:szCs w:val="23"/>
                <w:color w:val="auto"/>
              </w:rPr>
            </w:pPr>
          </w:p>
        </w:tc>
        <w:tc>
          <w:tcPr>
            <w:tcW w:w="860" w:type="dxa"/>
            <w:vAlign w:val="bottom"/>
            <w:gridSpan w:val="2"/>
          </w:tcPr>
          <w:p>
            <w:pPr>
              <w:spacing w:after="0"/>
              <w:rPr>
                <w:sz w:val="23"/>
                <w:szCs w:val="23"/>
                <w:color w:val="auto"/>
              </w:rPr>
            </w:pPr>
          </w:p>
        </w:tc>
        <w:tc>
          <w:tcPr>
            <w:tcW w:w="400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361"/>
        </w:trPr>
        <w:tc>
          <w:tcPr>
            <w:tcW w:w="1280" w:type="dxa"/>
            <w:vAlign w:val="bottom"/>
          </w:tcPr>
          <w:p>
            <w:pPr>
              <w:ind w:left="660"/>
              <w:spacing w:after="0"/>
              <w:rPr>
                <w:sz w:val="20"/>
                <w:szCs w:val="20"/>
                <w:color w:val="auto"/>
              </w:rPr>
            </w:pPr>
            <w:r>
              <w:rPr>
                <w:rFonts w:ascii="Times New Roman" w:cs="Times New Roman" w:eastAsia="Times New Roman" w:hAnsi="Times New Roman"/>
                <w:sz w:val="21"/>
                <w:szCs w:val="21"/>
                <w:color w:val="auto"/>
              </w:rPr>
              <w:t>(ao)</w:t>
            </w:r>
          </w:p>
        </w:tc>
        <w:tc>
          <w:tcPr>
            <w:tcW w:w="20" w:type="dxa"/>
            <w:vAlign w:val="bottom"/>
          </w:tcPr>
          <w:p>
            <w:pPr>
              <w:spacing w:after="0"/>
              <w:rPr>
                <w:sz w:val="24"/>
                <w:szCs w:val="24"/>
                <w:color w:val="auto"/>
              </w:rPr>
            </w:pPr>
          </w:p>
        </w:tc>
        <w:tc>
          <w:tcPr>
            <w:tcW w:w="9940" w:type="dxa"/>
            <w:vAlign w:val="bottom"/>
            <w:gridSpan w:val="8"/>
          </w:tcPr>
          <w:p>
            <w:pPr>
              <w:spacing w:after="0"/>
              <w:rPr>
                <w:sz w:val="20"/>
                <w:szCs w:val="20"/>
                <w:color w:val="auto"/>
              </w:rPr>
            </w:pPr>
            <w:r>
              <w:rPr>
                <w:rFonts w:ascii="Times New Roman" w:cs="Times New Roman" w:eastAsia="Times New Roman" w:hAnsi="Times New Roman"/>
                <w:sz w:val="21"/>
                <w:szCs w:val="21"/>
                <w:u w:val="single" w:color="auto"/>
                <w:color w:val="auto"/>
              </w:rPr>
              <w:t>Restructurin</w:t>
            </w:r>
            <w:r>
              <w:rPr>
                <w:rFonts w:ascii="Times New Roman" w:cs="Times New Roman" w:eastAsia="Times New Roman" w:hAnsi="Times New Roman"/>
                <w:sz w:val="21"/>
                <w:szCs w:val="21"/>
                <w:color w:val="auto"/>
              </w:rPr>
              <w:t>g: A restructuring, reorganization (whether or not pursuant to Chapter 11 of the United States</w:t>
            </w:r>
          </w:p>
        </w:tc>
        <w:tc>
          <w:tcPr>
            <w:tcW w:w="0" w:type="dxa"/>
            <w:vAlign w:val="bottom"/>
          </w:tcPr>
          <w:p>
            <w:pPr>
              <w:spacing w:after="0"/>
              <w:rPr>
                <w:sz w:val="1"/>
                <w:szCs w:val="1"/>
                <w:color w:val="auto"/>
              </w:rPr>
            </w:pPr>
          </w:p>
        </w:tc>
      </w:tr>
    </w:tbl>
    <w:p>
      <w:pPr>
        <w:jc w:val="both"/>
        <w:spacing w:after="0"/>
        <w:rPr>
          <w:sz w:val="20"/>
          <w:szCs w:val="20"/>
          <w:color w:val="auto"/>
        </w:rPr>
      </w:pPr>
      <w:r>
        <w:rPr>
          <w:rFonts w:ascii="Times New Roman" w:cs="Times New Roman" w:eastAsia="Times New Roman" w:hAnsi="Times New Roman"/>
          <w:sz w:val="21"/>
          <w:szCs w:val="21"/>
          <w:color w:val="auto"/>
        </w:rPr>
        <w:t>Bankruptcy Code or the insolvency laws of any other jurisdiction) and/or recapitalization of all or a significant portion of the Company's outstanding funded indebtedness (collectively, the “</w:t>
      </w:r>
      <w:r>
        <w:rPr>
          <w:rFonts w:ascii="Times New Roman" w:cs="Times New Roman" w:eastAsia="Times New Roman" w:hAnsi="Times New Roman"/>
          <w:sz w:val="21"/>
          <w:szCs w:val="21"/>
          <w:u w:val="single" w:color="auto"/>
          <w:color w:val="auto"/>
        </w:rPr>
        <w:t>Existing Obligations</w:t>
      </w:r>
      <w:r>
        <w:rPr>
          <w:rFonts w:ascii="Times New Roman" w:cs="Times New Roman" w:eastAsia="Times New Roman" w:hAnsi="Times New Roman"/>
          <w:sz w:val="21"/>
          <w:szCs w:val="21"/>
          <w:color w:val="auto"/>
        </w:rPr>
        <w:t>”) that is achieved, without limitation, through a solicitation of waivers and consents from the holders of Existing Obligations; rescheduling of the maturities or a change in interest rates of Existing Obligations; a repurchase, settlement or forgiveness of Existing Obligations; conversion of Existing Obligations into equity; an exchange offer involving the issuance of new securities in exchange for Existing Obligations; the issuance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w:t>
      </w:r>
    </w:p>
    <w:p>
      <w:pPr>
        <w:sectPr>
          <w:pgSz w:w="11900" w:h="16838" w:orient="portrait"/>
          <w:cols w:equalWidth="0" w:num="1">
            <w:col w:w="11240"/>
          </w:cols>
          <w:pgMar w:left="320" w:top="1440" w:right="339" w:bottom="1440" w:gutter="0" w:footer="0" w:header="0"/>
        </w:sectPr>
      </w:pPr>
    </w:p>
    <w:bookmarkStart w:id="23" w:name="page24"/>
    <w:bookmarkEnd w:id="23"/>
    <w:p>
      <w:pPr>
        <w:spacing w:after="0" w:line="270"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21"/>
          <w:szCs w:val="21"/>
          <w:color w:val="auto"/>
        </w:rPr>
        <w:t>of new securities, sale or disposition of assets, sale of debt or equity securities or other interests; or other similar transaction or series of transactions.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40" w:type="dxa"/>
            <w:vAlign w:val="bottom"/>
          </w:tcPr>
          <w:p>
            <w:pPr>
              <w:ind w:left="660"/>
              <w:spacing w:after="0"/>
              <w:rPr>
                <w:sz w:val="20"/>
                <w:szCs w:val="20"/>
                <w:color w:val="auto"/>
              </w:rPr>
            </w:pPr>
            <w:r>
              <w:rPr>
                <w:rFonts w:ascii="Times New Roman" w:cs="Times New Roman" w:eastAsia="Times New Roman" w:hAnsi="Times New Roman"/>
                <w:sz w:val="21"/>
                <w:szCs w:val="21"/>
                <w:color w:val="auto"/>
              </w:rPr>
              <w:t>(ap)</w:t>
            </w:r>
          </w:p>
        </w:tc>
        <w:tc>
          <w:tcPr>
            <w:tcW w:w="160" w:type="dxa"/>
            <w:vAlign w:val="bottom"/>
          </w:tcPr>
          <w:p>
            <w:pPr>
              <w:spacing w:after="0"/>
              <w:rPr>
                <w:sz w:val="21"/>
                <w:szCs w:val="21"/>
                <w:color w:val="auto"/>
              </w:rPr>
            </w:pPr>
          </w:p>
        </w:tc>
        <w:tc>
          <w:tcPr>
            <w:tcW w:w="9940" w:type="dxa"/>
            <w:vAlign w:val="bottom"/>
            <w:gridSpan w:val="3"/>
          </w:tcPr>
          <w:p>
            <w:pPr>
              <w:spacing w:after="0"/>
              <w:rPr>
                <w:sz w:val="20"/>
                <w:szCs w:val="20"/>
                <w:color w:val="auto"/>
              </w:rPr>
            </w:pPr>
            <w:r>
              <w:rPr>
                <w:rFonts w:ascii="Times New Roman" w:cs="Times New Roman" w:eastAsia="Times New Roman" w:hAnsi="Times New Roman"/>
                <w:sz w:val="21"/>
                <w:szCs w:val="21"/>
                <w:color w:val="auto"/>
              </w:rPr>
              <w:t>Section 409A: Code Section 409A, as amended, or any successor thereto, and the rules and regulations</w:t>
            </w:r>
          </w:p>
        </w:tc>
      </w:tr>
      <w:tr>
        <w:trPr>
          <w:trHeight w:val="273"/>
        </w:trPr>
        <w:tc>
          <w:tcPr>
            <w:tcW w:w="130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promulgated</w:t>
            </w:r>
          </w:p>
        </w:tc>
        <w:tc>
          <w:tcPr>
            <w:tcW w:w="12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21"/>
                <w:szCs w:val="21"/>
                <w:color w:val="auto"/>
              </w:rPr>
              <w:t>thereunder.</w:t>
            </w:r>
          </w:p>
        </w:tc>
        <w:tc>
          <w:tcPr>
            <w:tcW w:w="8700" w:type="dxa"/>
            <w:vAlign w:val="bottom"/>
          </w:tcPr>
          <w:p>
            <w:pPr>
              <w:spacing w:after="0"/>
              <w:rPr>
                <w:sz w:val="23"/>
                <w:szCs w:val="23"/>
                <w:color w:val="auto"/>
              </w:rPr>
            </w:pPr>
          </w:p>
        </w:tc>
      </w:tr>
      <w:tr>
        <w:trPr>
          <w:trHeight w:val="351"/>
        </w:trPr>
        <w:tc>
          <w:tcPr>
            <w:tcW w:w="1140" w:type="dxa"/>
            <w:vAlign w:val="bottom"/>
          </w:tcPr>
          <w:p>
            <w:pPr>
              <w:ind w:left="660"/>
              <w:spacing w:after="0"/>
              <w:rPr>
                <w:sz w:val="20"/>
                <w:szCs w:val="20"/>
                <w:color w:val="auto"/>
              </w:rPr>
            </w:pPr>
            <w:r>
              <w:rPr>
                <w:rFonts w:ascii="Times New Roman" w:cs="Times New Roman" w:eastAsia="Times New Roman" w:hAnsi="Times New Roman"/>
                <w:sz w:val="21"/>
                <w:szCs w:val="21"/>
                <w:color w:val="auto"/>
              </w:rPr>
              <w:t>(aq)</w:t>
            </w:r>
          </w:p>
        </w:tc>
        <w:tc>
          <w:tcPr>
            <w:tcW w:w="160" w:type="dxa"/>
            <w:vAlign w:val="bottom"/>
          </w:tcPr>
          <w:p>
            <w:pPr>
              <w:spacing w:after="0"/>
              <w:rPr>
                <w:sz w:val="24"/>
                <w:szCs w:val="24"/>
                <w:color w:val="auto"/>
              </w:rPr>
            </w:pPr>
          </w:p>
        </w:tc>
        <w:tc>
          <w:tcPr>
            <w:tcW w:w="9940" w:type="dxa"/>
            <w:vAlign w:val="bottom"/>
            <w:gridSpan w:val="3"/>
          </w:tcPr>
          <w:p>
            <w:pPr>
              <w:spacing w:after="0"/>
              <w:rPr>
                <w:sz w:val="20"/>
                <w:szCs w:val="20"/>
                <w:color w:val="auto"/>
              </w:rPr>
            </w:pPr>
            <w:r>
              <w:rPr>
                <w:rFonts w:ascii="Times New Roman" w:cs="Times New Roman" w:eastAsia="Times New Roman" w:hAnsi="Times New Roman"/>
                <w:sz w:val="21"/>
                <w:szCs w:val="21"/>
                <w:color w:val="auto"/>
              </w:rPr>
              <w:t>Securities Act: The U.S. Securities Act of 1933, as amended, or any successor thereto, and the rules and regulations</w:t>
            </w:r>
          </w:p>
        </w:tc>
      </w:tr>
      <w:tr>
        <w:trPr>
          <w:trHeight w:val="273"/>
        </w:trPr>
        <w:tc>
          <w:tcPr>
            <w:tcW w:w="130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promulgated</w:t>
            </w:r>
          </w:p>
        </w:tc>
        <w:tc>
          <w:tcPr>
            <w:tcW w:w="1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1"/>
                <w:szCs w:val="21"/>
                <w:color w:val="auto"/>
              </w:rPr>
              <w:t>thereunder.</w:t>
            </w:r>
          </w:p>
        </w:tc>
        <w:tc>
          <w:tcPr>
            <w:tcW w:w="8740" w:type="dxa"/>
            <w:vAlign w:val="bottom"/>
            <w:gridSpan w:val="2"/>
          </w:tcPr>
          <w:p>
            <w:pPr>
              <w:spacing w:after="0"/>
              <w:rPr>
                <w:sz w:val="23"/>
                <w:szCs w:val="23"/>
                <w:color w:val="auto"/>
              </w:rPr>
            </w:pPr>
          </w:p>
        </w:tc>
      </w:tr>
      <w:tr>
        <w:trPr>
          <w:trHeight w:val="361"/>
        </w:trPr>
        <w:tc>
          <w:tcPr>
            <w:tcW w:w="1140" w:type="dxa"/>
            <w:vAlign w:val="bottom"/>
          </w:tcPr>
          <w:p>
            <w:pPr>
              <w:ind w:left="660"/>
              <w:spacing w:after="0"/>
              <w:rPr>
                <w:sz w:val="20"/>
                <w:szCs w:val="20"/>
                <w:color w:val="auto"/>
              </w:rPr>
            </w:pPr>
            <w:r>
              <w:rPr>
                <w:rFonts w:ascii="Times New Roman" w:cs="Times New Roman" w:eastAsia="Times New Roman" w:hAnsi="Times New Roman"/>
                <w:sz w:val="21"/>
                <w:szCs w:val="21"/>
                <w:color w:val="auto"/>
              </w:rPr>
              <w:t>(ar)</w:t>
            </w:r>
          </w:p>
        </w:tc>
        <w:tc>
          <w:tcPr>
            <w:tcW w:w="10100" w:type="dxa"/>
            <w:vAlign w:val="bottom"/>
            <w:gridSpan w:val="4"/>
          </w:tcPr>
          <w:p>
            <w:pPr>
              <w:ind w:left="140"/>
              <w:spacing w:after="0"/>
              <w:rPr>
                <w:sz w:val="20"/>
                <w:szCs w:val="20"/>
                <w:color w:val="auto"/>
              </w:rPr>
            </w:pPr>
            <w:r>
              <w:rPr>
                <w:rFonts w:ascii="Times New Roman" w:cs="Times New Roman" w:eastAsia="Times New Roman" w:hAnsi="Times New Roman"/>
                <w:sz w:val="21"/>
                <w:szCs w:val="21"/>
                <w:u w:val="single" w:color="auto"/>
                <w:color w:val="auto"/>
              </w:rPr>
              <w:t>Service</w:t>
            </w:r>
            <w:r>
              <w:rPr>
                <w:rFonts w:ascii="Times New Roman" w:cs="Times New Roman" w:eastAsia="Times New Roman" w:hAnsi="Times New Roman"/>
                <w:sz w:val="21"/>
                <w:szCs w:val="21"/>
                <w:color w:val="auto"/>
              </w:rPr>
              <w:t>: Except as otherwise determined by the Committee in its sole discretion, a Participant's Service terminates</w:t>
            </w:r>
          </w:p>
        </w:tc>
      </w:tr>
    </w:tbl>
    <w:p>
      <w:pPr>
        <w:jc w:val="both"/>
        <w:spacing w:after="0"/>
        <w:rPr>
          <w:sz w:val="20"/>
          <w:szCs w:val="20"/>
          <w:color w:val="auto"/>
        </w:rPr>
      </w:pPr>
      <w:r>
        <w:rPr>
          <w:rFonts w:ascii="Times New Roman" w:cs="Times New Roman" w:eastAsia="Times New Roman" w:hAnsi="Times New Roman"/>
          <w:sz w:val="21"/>
          <w:szCs w:val="21"/>
          <w:color w:val="auto"/>
        </w:rPr>
        <w:t>when the Participant ceases to actively provide services to the Company or an Affiliate. The Committee shall determine which leaves shall count toward Service and when Service terminates for all purposes under the Plan. Further, unless otherwise determined by the Committee, a Participant's Service shall not be deemed to have terminated merely because of a change in the capacity in which the Participant provides Service to the Company or an Affiliate, or a transfer between entities (i.e., the Company or any Affiliates), provided that there is no interruption or other termination of Service in connection with the Participant's change in capacity or transfer between entities (except as may be required to effect the change in capacity or transfer between entities). For purposes of determining whether an Option is entitled to ISO status, an Employee's Service shall be treated as terminated 90 days after such Employee goes on leave, unless such Employee's right to return to active work is guaranteed by law or by a contract.</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40" w:type="dxa"/>
            <w:vAlign w:val="bottom"/>
          </w:tcPr>
          <w:p>
            <w:pPr>
              <w:ind w:left="660"/>
              <w:spacing w:after="0"/>
              <w:rPr>
                <w:sz w:val="20"/>
                <w:szCs w:val="20"/>
                <w:color w:val="auto"/>
              </w:rPr>
            </w:pPr>
            <w:r>
              <w:rPr>
                <w:rFonts w:ascii="Times New Roman" w:cs="Times New Roman" w:eastAsia="Times New Roman" w:hAnsi="Times New Roman"/>
                <w:sz w:val="21"/>
                <w:szCs w:val="21"/>
                <w:color w:val="auto"/>
              </w:rPr>
              <w:t>(as)</w:t>
            </w:r>
          </w:p>
        </w:tc>
        <w:tc>
          <w:tcPr>
            <w:tcW w:w="160" w:type="dxa"/>
            <w:vAlign w:val="bottom"/>
          </w:tcPr>
          <w:p>
            <w:pPr>
              <w:spacing w:after="0"/>
              <w:rPr>
                <w:sz w:val="21"/>
                <w:szCs w:val="21"/>
                <w:color w:val="auto"/>
              </w:rPr>
            </w:pPr>
          </w:p>
        </w:tc>
        <w:tc>
          <w:tcPr>
            <w:tcW w:w="9940" w:type="dxa"/>
            <w:vAlign w:val="bottom"/>
            <w:gridSpan w:val="10"/>
          </w:tcPr>
          <w:p>
            <w:pPr>
              <w:spacing w:after="0"/>
              <w:rPr>
                <w:sz w:val="20"/>
                <w:szCs w:val="20"/>
                <w:color w:val="auto"/>
              </w:rPr>
            </w:pPr>
            <w:r>
              <w:rPr>
                <w:rFonts w:ascii="Times New Roman" w:cs="Times New Roman" w:eastAsia="Times New Roman" w:hAnsi="Times New Roman"/>
                <w:sz w:val="21"/>
                <w:szCs w:val="21"/>
                <w:color w:val="auto"/>
              </w:rPr>
              <w:t>Shares: Ordinary shares in the capital of the Company, nominal value $0.001 per ordinary share, and such other</w:t>
            </w:r>
          </w:p>
        </w:tc>
      </w:tr>
      <w:tr>
        <w:trPr>
          <w:trHeight w:val="20"/>
        </w:trPr>
        <w:tc>
          <w:tcPr>
            <w:tcW w:w="1300" w:type="dxa"/>
            <w:vAlign w:val="bottom"/>
            <w:gridSpan w:val="2"/>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r>
      <w:tr>
        <w:trPr>
          <w:trHeight w:val="195"/>
        </w:trPr>
        <w:tc>
          <w:tcPr>
            <w:tcW w:w="11240" w:type="dxa"/>
            <w:vAlign w:val="bottom"/>
            <w:gridSpan w:val="12"/>
          </w:tcPr>
          <w:p>
            <w:pPr>
              <w:spacing w:after="0" w:line="195" w:lineRule="exact"/>
              <w:rPr>
                <w:sz w:val="20"/>
                <w:szCs w:val="20"/>
                <w:color w:val="auto"/>
              </w:rPr>
            </w:pPr>
            <w:r>
              <w:rPr>
                <w:rFonts w:ascii="Times New Roman" w:cs="Times New Roman" w:eastAsia="Times New Roman" w:hAnsi="Times New Roman"/>
                <w:sz w:val="21"/>
                <w:szCs w:val="21"/>
                <w:color w:val="auto"/>
              </w:rPr>
              <w:t>securities of the Company that may be substituted for the Shares pursuant to Section 11 of the Plan.</w:t>
            </w:r>
          </w:p>
        </w:tc>
      </w:tr>
      <w:tr>
        <w:trPr>
          <w:trHeight w:val="20"/>
        </w:trPr>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r>
      <w:tr>
        <w:trPr>
          <w:trHeight w:val="409"/>
        </w:trPr>
        <w:tc>
          <w:tcPr>
            <w:tcW w:w="1140" w:type="dxa"/>
            <w:vAlign w:val="bottom"/>
          </w:tcPr>
          <w:p>
            <w:pPr>
              <w:ind w:left="660"/>
              <w:spacing w:after="0"/>
              <w:rPr>
                <w:sz w:val="20"/>
                <w:szCs w:val="20"/>
                <w:color w:val="auto"/>
              </w:rPr>
            </w:pPr>
            <w:r>
              <w:rPr>
                <w:rFonts w:ascii="Times New Roman" w:cs="Times New Roman" w:eastAsia="Times New Roman" w:hAnsi="Times New Roman"/>
                <w:sz w:val="21"/>
                <w:szCs w:val="21"/>
                <w:color w:val="auto"/>
              </w:rPr>
              <w:t>(at)</w:t>
            </w:r>
          </w:p>
        </w:tc>
        <w:tc>
          <w:tcPr>
            <w:tcW w:w="160" w:type="dxa"/>
            <w:vAlign w:val="bottom"/>
          </w:tcPr>
          <w:p>
            <w:pPr>
              <w:spacing w:after="0"/>
              <w:rPr>
                <w:sz w:val="24"/>
                <w:szCs w:val="24"/>
                <w:color w:val="auto"/>
              </w:rPr>
            </w:pPr>
          </w:p>
        </w:tc>
        <w:tc>
          <w:tcPr>
            <w:tcW w:w="9940" w:type="dxa"/>
            <w:vAlign w:val="bottom"/>
            <w:gridSpan w:val="10"/>
          </w:tcPr>
          <w:p>
            <w:pPr>
              <w:spacing w:after="0"/>
              <w:rPr>
                <w:sz w:val="20"/>
                <w:szCs w:val="20"/>
                <w:color w:val="auto"/>
              </w:rPr>
            </w:pPr>
            <w:r>
              <w:rPr>
                <w:rFonts w:ascii="Times New Roman" w:cs="Times New Roman" w:eastAsia="Times New Roman" w:hAnsi="Times New Roman"/>
                <w:sz w:val="21"/>
                <w:szCs w:val="21"/>
                <w:color w:val="auto"/>
              </w:rPr>
              <w:t>Share Appreciation Right: A share appreciation right granted pursuant to Section 8 of the Plan.</w:t>
            </w:r>
          </w:p>
        </w:tc>
      </w:tr>
      <w:tr>
        <w:trPr>
          <w:trHeight w:val="20"/>
        </w:trPr>
        <w:tc>
          <w:tcPr>
            <w:tcW w:w="114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500" w:type="dxa"/>
            <w:vAlign w:val="bottom"/>
            <w:gridSpan w:val="2"/>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120" w:type="dxa"/>
            <w:vAlign w:val="bottom"/>
            <w:gridSpan w:val="3"/>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r>
      <w:tr>
        <w:trPr>
          <w:trHeight w:val="409"/>
        </w:trPr>
        <w:tc>
          <w:tcPr>
            <w:tcW w:w="1140" w:type="dxa"/>
            <w:vAlign w:val="bottom"/>
          </w:tcPr>
          <w:p>
            <w:pPr>
              <w:ind w:left="660"/>
              <w:spacing w:after="0"/>
              <w:rPr>
                <w:sz w:val="20"/>
                <w:szCs w:val="20"/>
                <w:color w:val="auto"/>
              </w:rPr>
            </w:pPr>
            <w:r>
              <w:rPr>
                <w:rFonts w:ascii="Times New Roman" w:cs="Times New Roman" w:eastAsia="Times New Roman" w:hAnsi="Times New Roman"/>
                <w:sz w:val="21"/>
                <w:szCs w:val="21"/>
                <w:color w:val="auto"/>
              </w:rPr>
              <w:t>(au)</w:t>
            </w:r>
          </w:p>
        </w:tc>
        <w:tc>
          <w:tcPr>
            <w:tcW w:w="160" w:type="dxa"/>
            <w:vAlign w:val="bottom"/>
          </w:tcPr>
          <w:p>
            <w:pPr>
              <w:spacing w:after="0"/>
              <w:rPr>
                <w:sz w:val="24"/>
                <w:szCs w:val="24"/>
                <w:color w:val="auto"/>
              </w:rPr>
            </w:pPr>
          </w:p>
        </w:tc>
        <w:tc>
          <w:tcPr>
            <w:tcW w:w="9940" w:type="dxa"/>
            <w:vAlign w:val="bottom"/>
            <w:gridSpan w:val="10"/>
          </w:tcPr>
          <w:p>
            <w:pPr>
              <w:spacing w:after="0"/>
              <w:rPr>
                <w:sz w:val="20"/>
                <w:szCs w:val="20"/>
                <w:color w:val="auto"/>
              </w:rPr>
            </w:pPr>
            <w:r>
              <w:rPr>
                <w:rFonts w:ascii="Times New Roman" w:cs="Times New Roman" w:eastAsia="Times New Roman" w:hAnsi="Times New Roman"/>
                <w:sz w:val="21"/>
                <w:szCs w:val="21"/>
                <w:color w:val="auto"/>
              </w:rPr>
              <w:t>Specified Holder: Any Person who is the Beneficial Owner, directly or indirectly, of 10% or more of the</w:t>
            </w:r>
          </w:p>
        </w:tc>
      </w:tr>
      <w:tr>
        <w:trPr>
          <w:trHeight w:val="273"/>
        </w:trPr>
        <w:tc>
          <w:tcPr>
            <w:tcW w:w="130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Outstanding</w:t>
            </w:r>
          </w:p>
        </w:tc>
        <w:tc>
          <w:tcPr>
            <w:tcW w:w="15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21"/>
                <w:szCs w:val="21"/>
                <w:color w:val="auto"/>
                <w:w w:val="92"/>
              </w:rPr>
              <w:t>Ordinary Shares of</w:t>
            </w:r>
          </w:p>
        </w:tc>
        <w:tc>
          <w:tcPr>
            <w:tcW w:w="8440" w:type="dxa"/>
            <w:vAlign w:val="bottom"/>
            <w:gridSpan w:val="8"/>
          </w:tcPr>
          <w:p>
            <w:pPr>
              <w:spacing w:after="0"/>
              <w:rPr>
                <w:sz w:val="20"/>
                <w:szCs w:val="20"/>
                <w:color w:val="auto"/>
              </w:rPr>
            </w:pPr>
            <w:r>
              <w:rPr>
                <w:rFonts w:ascii="Times New Roman" w:cs="Times New Roman" w:eastAsia="Times New Roman" w:hAnsi="Times New Roman"/>
                <w:sz w:val="21"/>
                <w:szCs w:val="21"/>
                <w:color w:val="auto"/>
              </w:rPr>
              <w:t>the Company as of the Effective Date.</w:t>
            </w:r>
          </w:p>
        </w:tc>
      </w:tr>
      <w:tr>
        <w:trPr>
          <w:trHeight w:val="361"/>
        </w:trPr>
        <w:tc>
          <w:tcPr>
            <w:tcW w:w="1140" w:type="dxa"/>
            <w:vAlign w:val="bottom"/>
          </w:tcPr>
          <w:p>
            <w:pPr>
              <w:ind w:left="660"/>
              <w:spacing w:after="0"/>
              <w:rPr>
                <w:sz w:val="20"/>
                <w:szCs w:val="20"/>
                <w:color w:val="auto"/>
              </w:rPr>
            </w:pPr>
            <w:r>
              <w:rPr>
                <w:rFonts w:ascii="Times New Roman" w:cs="Times New Roman" w:eastAsia="Times New Roman" w:hAnsi="Times New Roman"/>
                <w:sz w:val="21"/>
                <w:szCs w:val="21"/>
                <w:color w:val="auto"/>
              </w:rPr>
              <w:t>(av)</w:t>
            </w:r>
          </w:p>
        </w:tc>
        <w:tc>
          <w:tcPr>
            <w:tcW w:w="160" w:type="dxa"/>
            <w:vAlign w:val="bottom"/>
          </w:tcPr>
          <w:p>
            <w:pPr>
              <w:spacing w:after="0"/>
              <w:rPr>
                <w:sz w:val="24"/>
                <w:szCs w:val="24"/>
                <w:color w:val="auto"/>
              </w:rPr>
            </w:pPr>
          </w:p>
        </w:tc>
        <w:tc>
          <w:tcPr>
            <w:tcW w:w="9940" w:type="dxa"/>
            <w:vAlign w:val="bottom"/>
            <w:gridSpan w:val="10"/>
          </w:tcPr>
          <w:p>
            <w:pPr>
              <w:spacing w:after="0"/>
              <w:rPr>
                <w:sz w:val="20"/>
                <w:szCs w:val="20"/>
                <w:color w:val="auto"/>
              </w:rPr>
            </w:pPr>
            <w:r>
              <w:rPr>
                <w:rFonts w:ascii="Times New Roman" w:cs="Times New Roman" w:eastAsia="Times New Roman" w:hAnsi="Times New Roman"/>
                <w:sz w:val="21"/>
                <w:szCs w:val="21"/>
                <w:u w:val="single" w:color="auto"/>
                <w:color w:val="auto"/>
              </w:rPr>
              <w:t>Strike Price</w:t>
            </w:r>
            <w:r>
              <w:rPr>
                <w:rFonts w:ascii="Times New Roman" w:cs="Times New Roman" w:eastAsia="Times New Roman" w:hAnsi="Times New Roman"/>
                <w:sz w:val="21"/>
                <w:szCs w:val="21"/>
                <w:color w:val="auto"/>
              </w:rPr>
              <w:t>: Except as otherwise determined by the Committee in the case of Substitute Awards, (i) in the case of a</w:t>
            </w:r>
          </w:p>
        </w:tc>
      </w:tr>
    </w:tbl>
    <w:p>
      <w:pPr>
        <w:jc w:val="both"/>
        <w:ind w:right="20"/>
        <w:spacing w:after="0" w:line="233" w:lineRule="auto"/>
        <w:rPr>
          <w:sz w:val="20"/>
          <w:szCs w:val="20"/>
          <w:color w:val="auto"/>
        </w:rPr>
      </w:pPr>
      <w:r>
        <w:rPr>
          <w:rFonts w:ascii="Times New Roman" w:cs="Times New Roman" w:eastAsia="Times New Roman" w:hAnsi="Times New Roman"/>
          <w:sz w:val="21"/>
          <w:szCs w:val="21"/>
          <w:color w:val="auto"/>
        </w:rPr>
        <w:t>Stock Appreciation Right granted in tandem with an Option, the Option Price of the related Option, or (ii) in the case of a Stock Appreciation Right granted independent of an Option, the Fair Market Value on the date of grant.</w:t>
      </w:r>
    </w:p>
    <w:p>
      <w:pPr>
        <w:spacing w:after="0" w:line="151" w:lineRule="exact"/>
        <w:rPr>
          <w:sz w:val="20"/>
          <w:szCs w:val="20"/>
          <w:color w:val="auto"/>
        </w:rPr>
      </w:pPr>
    </w:p>
    <w:p>
      <w:pPr>
        <w:jc w:val="both"/>
        <w:ind w:firstLine="644"/>
        <w:spacing w:after="0" w:line="226" w:lineRule="auto"/>
        <w:rPr>
          <w:sz w:val="20"/>
          <w:szCs w:val="20"/>
          <w:color w:val="auto"/>
        </w:rPr>
      </w:pPr>
      <w:r>
        <w:rPr>
          <w:rFonts w:ascii="Times New Roman" w:cs="Times New Roman" w:eastAsia="Times New Roman" w:hAnsi="Times New Roman"/>
          <w:sz w:val="21"/>
          <w:szCs w:val="21"/>
          <w:color w:val="auto"/>
        </w:rPr>
        <w:t xml:space="preserve">(aw) </w:t>
      </w:r>
      <w:r>
        <w:rPr>
          <w:rFonts w:ascii="Times New Roman" w:cs="Times New Roman" w:eastAsia="Times New Roman" w:hAnsi="Times New Roman"/>
          <w:sz w:val="21"/>
          <w:szCs w:val="21"/>
          <w:u w:val="single" w:color="auto"/>
          <w:color w:val="auto"/>
        </w:rPr>
        <w:t>Subsidiar</w:t>
      </w:r>
      <w:r>
        <w:rPr>
          <w:rFonts w:ascii="Times New Roman" w:cs="Times New Roman" w:eastAsia="Times New Roman" w:hAnsi="Times New Roman"/>
          <w:sz w:val="21"/>
          <w:szCs w:val="21"/>
          <w:color w:val="auto"/>
        </w:rPr>
        <w:t xml:space="preserve">y: Any Affiliate which is a subsidiary of the Company within the meaning of </w:t>
      </w:r>
      <w:r>
        <w:rPr>
          <w:rFonts w:ascii="Times New Roman" w:cs="Times New Roman" w:eastAsia="Times New Roman" w:hAnsi="Times New Roman"/>
          <w:sz w:val="21"/>
          <w:szCs w:val="21"/>
          <w:u w:val="single" w:color="auto"/>
          <w:color w:val="auto"/>
        </w:rPr>
        <w:t>Section 7</w:t>
      </w:r>
      <w:r>
        <w:rPr>
          <w:rFonts w:ascii="Times New Roman" w:cs="Times New Roman" w:eastAsia="Times New Roman" w:hAnsi="Times New Roman"/>
          <w:sz w:val="21"/>
          <w:szCs w:val="21"/>
          <w:color w:val="auto"/>
        </w:rPr>
        <w:t xml:space="preserve"> of the Act. For purposes of granting an ISO, Subsidiary means any “subsidiary corporation” of the Company as defined in Section 424(f) of the Code. For purposes of granting non-qualified Options, Stock Appreciation Rights or other “stock rights,” within the meaning of Section 409A, to a Participant that is a U.S. taxpayer, an entity may not be considered a Subsidiary if the Shares will not be treated as “service recipient stock” of such entity under Section 409A.</w:t>
      </w:r>
    </w:p>
    <w:p>
      <w:pPr>
        <w:spacing w:after="0" w:line="151" w:lineRule="exact"/>
        <w:rPr>
          <w:sz w:val="20"/>
          <w:szCs w:val="20"/>
          <w:color w:val="auto"/>
        </w:rPr>
      </w:pPr>
    </w:p>
    <w:p>
      <w:pPr>
        <w:jc w:val="both"/>
        <w:ind w:firstLine="644"/>
        <w:spacing w:after="0" w:line="234" w:lineRule="auto"/>
        <w:rPr>
          <w:sz w:val="20"/>
          <w:szCs w:val="20"/>
          <w:color w:val="auto"/>
        </w:rPr>
      </w:pPr>
      <w:r>
        <w:rPr>
          <w:rFonts w:ascii="Times New Roman" w:cs="Times New Roman" w:eastAsia="Times New Roman" w:hAnsi="Times New Roman"/>
          <w:sz w:val="21"/>
          <w:szCs w:val="21"/>
          <w:color w:val="auto"/>
        </w:rPr>
        <w:t xml:space="preserve">(ax) </w:t>
      </w:r>
      <w:r>
        <w:rPr>
          <w:rFonts w:ascii="Times New Roman" w:cs="Times New Roman" w:eastAsia="Times New Roman" w:hAnsi="Times New Roman"/>
          <w:sz w:val="21"/>
          <w:szCs w:val="21"/>
          <w:u w:val="single" w:color="auto"/>
          <w:color w:val="auto"/>
        </w:rPr>
        <w:t>Substitute Award</w:t>
      </w:r>
      <w:r>
        <w:rPr>
          <w:rFonts w:ascii="Times New Roman" w:cs="Times New Roman" w:eastAsia="Times New Roman" w:hAnsi="Times New Roman"/>
          <w:sz w:val="21"/>
          <w:szCs w:val="21"/>
          <w:color w:val="auto"/>
        </w:rPr>
        <w:t>: An Award granted under the Plan in assumption of, or in substitution or exchange for, an outstanding award previously granted by an entity directly or indirectly acquired by the Company or any Subsidiary or with which the Company or any Subsidiary combines.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w:t>
      </w:r>
    </w:p>
    <w:p>
      <w:pPr>
        <w:sectPr>
          <w:pgSz w:w="11900" w:h="16838" w:orient="portrait"/>
          <w:cols w:equalWidth="0" w:num="1">
            <w:col w:w="11240"/>
          </w:cols>
          <w:pgMar w:left="320" w:top="1440" w:right="339" w:bottom="1440" w:gutter="0" w:footer="0" w:header="0"/>
        </w:sectPr>
      </w:pPr>
    </w:p>
    <w:bookmarkStart w:id="24" w:name="page25"/>
    <w:bookmarkEnd w:id="24"/>
    <w:p>
      <w:pPr>
        <w:spacing w:after="0" w:line="270" w:lineRule="exact"/>
        <w:rPr>
          <w:sz w:val="20"/>
          <w:szCs w:val="20"/>
          <w:color w:val="auto"/>
        </w:rPr>
      </w:pPr>
    </w:p>
    <w:p>
      <w:pPr>
        <w:jc w:val="both"/>
        <w:ind w:firstLine="644"/>
        <w:spacing w:after="0" w:line="229" w:lineRule="auto"/>
        <w:rPr>
          <w:sz w:val="20"/>
          <w:szCs w:val="20"/>
          <w:color w:val="auto"/>
        </w:rPr>
      </w:pPr>
      <w:r>
        <w:rPr>
          <w:rFonts w:ascii="Times New Roman" w:cs="Times New Roman" w:eastAsia="Times New Roman" w:hAnsi="Times New Roman"/>
          <w:sz w:val="21"/>
          <w:szCs w:val="21"/>
          <w:color w:val="auto"/>
        </w:rPr>
        <w:t xml:space="preserve">(ay) </w:t>
      </w:r>
      <w:r>
        <w:rPr>
          <w:rFonts w:ascii="Times New Roman" w:cs="Times New Roman" w:eastAsia="Times New Roman" w:hAnsi="Times New Roman"/>
          <w:sz w:val="21"/>
          <w:szCs w:val="21"/>
          <w:u w:val="single" w:color="auto"/>
          <w:color w:val="auto"/>
        </w:rPr>
        <w:t>Tax-Related Items</w:t>
      </w:r>
      <w:r>
        <w:rPr>
          <w:rFonts w:ascii="Times New Roman" w:cs="Times New Roman" w:eastAsia="Times New Roman" w:hAnsi="Times New Roman"/>
          <w:sz w:val="21"/>
          <w:szCs w:val="21"/>
          <w:color w:val="auto"/>
        </w:rPr>
        <w:t>: Any U.S. federal, state, and/or local taxes and any taxes imposed by a jurisdiction outside of the United States (including, without limitation, income tax, social insurance contributions, payment on account, employment tax obligations, stamp taxes and any other taxes required by law to be withheld and any employer tax liability for which the Participant is liable).</w:t>
      </w:r>
    </w:p>
    <w:p>
      <w:pPr>
        <w:spacing w:after="0" w:line="152" w:lineRule="exact"/>
        <w:rPr>
          <w:sz w:val="20"/>
          <w:szCs w:val="20"/>
          <w:color w:val="auto"/>
        </w:rPr>
      </w:pPr>
    </w:p>
    <w:p>
      <w:pPr>
        <w:jc w:val="both"/>
        <w:ind w:firstLine="644"/>
        <w:spacing w:after="0" w:line="226" w:lineRule="auto"/>
        <w:rPr>
          <w:sz w:val="20"/>
          <w:szCs w:val="20"/>
          <w:color w:val="auto"/>
        </w:rPr>
      </w:pPr>
      <w:r>
        <w:rPr>
          <w:rFonts w:ascii="Times New Roman" w:cs="Times New Roman" w:eastAsia="Times New Roman" w:hAnsi="Times New Roman"/>
          <w:sz w:val="21"/>
          <w:szCs w:val="21"/>
          <w:color w:val="auto"/>
        </w:rPr>
        <w:t xml:space="preserve">(az) </w:t>
      </w:r>
      <w:r>
        <w:rPr>
          <w:rFonts w:ascii="Times New Roman" w:cs="Times New Roman" w:eastAsia="Times New Roman" w:hAnsi="Times New Roman"/>
          <w:sz w:val="21"/>
          <w:szCs w:val="21"/>
          <w:u w:val="single" w:color="auto"/>
          <w:color w:val="auto"/>
        </w:rPr>
        <w:t>Trade Secrets</w:t>
      </w:r>
      <w:r>
        <w:rPr>
          <w:rFonts w:ascii="Times New Roman" w:cs="Times New Roman" w:eastAsia="Times New Roman" w:hAnsi="Times New Roman"/>
          <w:sz w:val="21"/>
          <w:szCs w:val="21"/>
          <w:color w:val="auto"/>
        </w:rPr>
        <w:t>: Means without limitation, (I) any data or information that is competitively sensitive or commercially valuable and not generally known to the public and (2) any scientific or technical information, design, process, procedure, formula or improvement, computer software, object code, source code, specification, invention or systems information, whether or not patentable or copyrightable, provided that this definition of Trade Secrets shall have the broadest meaning as permitted by law and shall extend beyond the definition of “trade secrets” as set forth in the Texas Uniform Trade Secrets Act, where applicable.</w:t>
      </w:r>
    </w:p>
    <w:p>
      <w:pPr>
        <w:spacing w:after="0" w:line="15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1"/>
          <w:szCs w:val="21"/>
          <w:color w:val="auto"/>
        </w:rPr>
        <w:t>(ba)</w:t>
      </w:r>
      <w:r>
        <w:rPr>
          <w:sz w:val="20"/>
          <w:szCs w:val="20"/>
          <w:color w:val="auto"/>
        </w:rPr>
        <w:tab/>
      </w:r>
      <w:r>
        <w:rPr>
          <w:rFonts w:ascii="Times New Roman" w:cs="Times New Roman" w:eastAsia="Times New Roman" w:hAnsi="Times New Roman"/>
          <w:sz w:val="21"/>
          <w:szCs w:val="21"/>
          <w:u w:val="single" w:color="auto"/>
          <w:color w:val="auto"/>
        </w:rPr>
        <w:t>Weatherford Group</w:t>
      </w:r>
      <w:r>
        <w:rPr>
          <w:rFonts w:ascii="Times New Roman" w:cs="Times New Roman" w:eastAsia="Times New Roman" w:hAnsi="Times New Roman"/>
          <w:sz w:val="21"/>
          <w:szCs w:val="21"/>
          <w:color w:val="auto"/>
        </w:rPr>
        <w:t>: The Company and its Subsidiaries.</w:t>
      </w:r>
    </w:p>
    <w:p>
      <w:pPr>
        <w:spacing w:after="0" w:line="184" w:lineRule="exact"/>
        <w:rPr>
          <w:sz w:val="20"/>
          <w:szCs w:val="20"/>
          <w:color w:val="auto"/>
        </w:rPr>
      </w:pPr>
    </w:p>
    <w:p>
      <w:pPr>
        <w:ind w:left="660" w:hanging="653"/>
        <w:spacing w:after="0"/>
        <w:tabs>
          <w:tab w:leader="none" w:pos="660"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Shares Subject to the Plan and Limitation on Issuable Shares</w:t>
      </w:r>
    </w:p>
    <w:p>
      <w:pPr>
        <w:spacing w:after="0" w:line="191" w:lineRule="exact"/>
        <w:rPr>
          <w:rFonts w:ascii="Times New Roman" w:cs="Times New Roman" w:eastAsia="Times New Roman" w:hAnsi="Times New Roman"/>
          <w:sz w:val="21"/>
          <w:szCs w:val="21"/>
          <w:color w:val="auto"/>
        </w:rPr>
      </w:pPr>
    </w:p>
    <w:p>
      <w:pPr>
        <w:ind w:left="1300" w:hanging="648"/>
        <w:spacing w:after="0"/>
        <w:tabs>
          <w:tab w:leader="none" w:pos="1300" w:val="left"/>
        </w:tabs>
        <w:numPr>
          <w:ilvl w:val="1"/>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Number of Shares</w:t>
      </w:r>
    </w:p>
    <w:p>
      <w:pPr>
        <w:spacing w:after="0" w:line="188" w:lineRule="exact"/>
        <w:rPr>
          <w:sz w:val="20"/>
          <w:szCs w:val="20"/>
          <w:color w:val="auto"/>
        </w:rPr>
      </w:pPr>
    </w:p>
    <w:p>
      <w:pPr>
        <w:jc w:val="both"/>
        <w:ind w:firstLine="644"/>
        <w:spacing w:after="0" w:line="226" w:lineRule="auto"/>
        <w:rPr>
          <w:sz w:val="20"/>
          <w:szCs w:val="20"/>
          <w:color w:val="auto"/>
        </w:rPr>
      </w:pPr>
      <w:r>
        <w:rPr>
          <w:rFonts w:ascii="Times New Roman" w:cs="Times New Roman" w:eastAsia="Times New Roman" w:hAnsi="Times New Roman"/>
          <w:sz w:val="21"/>
          <w:szCs w:val="21"/>
          <w:color w:val="auto"/>
        </w:rPr>
        <w:t xml:space="preserve">Subject to </w:t>
      </w:r>
      <w:r>
        <w:rPr>
          <w:rFonts w:ascii="Times New Roman" w:cs="Times New Roman" w:eastAsia="Times New Roman" w:hAnsi="Times New Roman"/>
          <w:sz w:val="21"/>
          <w:szCs w:val="21"/>
          <w:u w:val="single" w:color="auto"/>
          <w:color w:val="auto"/>
        </w:rPr>
        <w:t>Section 11</w:t>
      </w:r>
      <w:r>
        <w:rPr>
          <w:rFonts w:ascii="Times New Roman" w:cs="Times New Roman" w:eastAsia="Times New Roman" w:hAnsi="Times New Roman"/>
          <w:sz w:val="21"/>
          <w:szCs w:val="21"/>
          <w:color w:val="auto"/>
        </w:rPr>
        <w:t xml:space="preserve">, and as of the Effective Date, the total number of Shares which may be issued under the Plan is 8,600,000, and the maximum number of Shares for which ISOs may be granted is 400,000. Except as provided below in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3(b)</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3(c)</w:t>
      </w:r>
      <w:r>
        <w:rPr>
          <w:rFonts w:ascii="Times New Roman" w:cs="Times New Roman" w:eastAsia="Times New Roman" w:hAnsi="Times New Roman"/>
          <w:sz w:val="21"/>
          <w:szCs w:val="21"/>
          <w:color w:val="auto"/>
        </w:rPr>
        <w:t>, the number of Shares remaining available for issuance shall be reduced by the relevant number of Shares for each Award (including Full Value Awards) granted under the Plan. The Shares may consist, in whole or in part, of authorized and unissued Shares or treasury Shares or a combination thereof.</w:t>
      </w:r>
    </w:p>
    <w:p>
      <w:pPr>
        <w:spacing w:after="0" w:line="151" w:lineRule="exact"/>
        <w:rPr>
          <w:sz w:val="20"/>
          <w:szCs w:val="20"/>
          <w:color w:val="auto"/>
        </w:rPr>
      </w:pPr>
    </w:p>
    <w:p>
      <w:pPr>
        <w:ind w:left="1300" w:hanging="648"/>
        <w:spacing w:after="0"/>
        <w:tabs>
          <w:tab w:leader="none" w:pos="1300"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Shares Reissuable Under Plan</w:t>
      </w:r>
    </w:p>
    <w:p>
      <w:pPr>
        <w:spacing w:after="0" w:line="188" w:lineRule="exact"/>
        <w:rPr>
          <w:sz w:val="20"/>
          <w:szCs w:val="20"/>
          <w:color w:val="auto"/>
        </w:rPr>
      </w:pPr>
    </w:p>
    <w:p>
      <w:pPr>
        <w:jc w:val="both"/>
        <w:ind w:firstLine="644"/>
        <w:spacing w:after="0" w:line="234" w:lineRule="auto"/>
        <w:rPr>
          <w:sz w:val="20"/>
          <w:szCs w:val="20"/>
          <w:color w:val="auto"/>
        </w:rPr>
      </w:pPr>
      <w:r>
        <w:rPr>
          <w:rFonts w:ascii="Times New Roman" w:cs="Times New Roman" w:eastAsia="Times New Roman" w:hAnsi="Times New Roman"/>
          <w:sz w:val="21"/>
          <w:szCs w:val="21"/>
          <w:color w:val="auto"/>
        </w:rPr>
        <w:t>The following Shares shall again be available for the grant of an Award pursuant to the Plan: (i) Shares that are not issued as a result of the termination, cancellation, forfeiture, expiration or lapsing of any Award for any reason; or (ii) Shares subject to a Full Value Award that are not issued because the Award is settled in cash.</w:t>
      </w:r>
    </w:p>
    <w:p>
      <w:pPr>
        <w:spacing w:after="0" w:line="153" w:lineRule="exact"/>
        <w:rPr>
          <w:sz w:val="20"/>
          <w:szCs w:val="20"/>
          <w:color w:val="auto"/>
        </w:rPr>
      </w:pPr>
    </w:p>
    <w:p>
      <w:pPr>
        <w:ind w:left="1300" w:hanging="648"/>
        <w:spacing w:after="0"/>
        <w:tabs>
          <w:tab w:leader="none" w:pos="1300"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Shares Not Reissuable Under Plan</w:t>
      </w:r>
    </w:p>
    <w:p>
      <w:pPr>
        <w:spacing w:after="0" w:line="188" w:lineRule="exact"/>
        <w:rPr>
          <w:sz w:val="20"/>
          <w:szCs w:val="20"/>
          <w:color w:val="auto"/>
        </w:rPr>
      </w:pPr>
    </w:p>
    <w:p>
      <w:pPr>
        <w:jc w:val="both"/>
        <w:ind w:firstLine="644"/>
        <w:spacing w:after="0" w:line="219" w:lineRule="auto"/>
        <w:rPr>
          <w:sz w:val="20"/>
          <w:szCs w:val="20"/>
          <w:color w:val="auto"/>
        </w:rPr>
      </w:pPr>
      <w:r>
        <w:rPr>
          <w:rFonts w:ascii="Times New Roman" w:cs="Times New Roman" w:eastAsia="Times New Roman" w:hAnsi="Times New Roman"/>
          <w:sz w:val="21"/>
          <w:szCs w:val="21"/>
          <w:color w:val="auto"/>
        </w:rPr>
        <w:t xml:space="preserve">Notwithstanding the foregoing, the following Shares shall be counted against the maximum number of Shares available for issuance pursuant to </w:t>
      </w:r>
      <w:r>
        <w:rPr>
          <w:rFonts w:ascii="Times New Roman" w:cs="Times New Roman" w:eastAsia="Times New Roman" w:hAnsi="Times New Roman"/>
          <w:sz w:val="21"/>
          <w:szCs w:val="21"/>
          <w:u w:val="single" w:color="auto"/>
          <w:color w:val="auto"/>
        </w:rPr>
        <w:t>Section 3(a)</w:t>
      </w:r>
      <w:r>
        <w:rPr>
          <w:rFonts w:ascii="Times New Roman" w:cs="Times New Roman" w:eastAsia="Times New Roman" w:hAnsi="Times New Roman"/>
          <w:sz w:val="21"/>
          <w:szCs w:val="21"/>
          <w:color w:val="auto"/>
        </w:rPr>
        <w:t xml:space="preserve"> and shall not be returned to the Plan: (i) Shares that are retained or otherwise not issued by the Company in order to satisfy tax withholding obligations or in payment of the Option Price or purchase price of Options; (ii) Shares that are not issued or delivered as a result of the net-settlement of an outstanding Option or Share Appreciation Right; or</w:t>
      </w:r>
    </w:p>
    <w:p>
      <w:pPr>
        <w:spacing w:after="0" w:line="2" w:lineRule="exact"/>
        <w:rPr>
          <w:sz w:val="20"/>
          <w:szCs w:val="20"/>
          <w:color w:val="auto"/>
        </w:rPr>
      </w:pPr>
    </w:p>
    <w:p>
      <w:pPr>
        <w:ind w:left="380" w:hanging="373"/>
        <w:spacing w:after="0"/>
        <w:tabs>
          <w:tab w:leader="none" w:pos="380"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Shares that are repurchased or redeemed on the open market with the proceeds of the exercise of an Option.</w:t>
      </w:r>
    </w:p>
    <w:p>
      <w:pPr>
        <w:spacing w:after="0" w:line="163" w:lineRule="exact"/>
        <w:rPr>
          <w:rFonts w:ascii="Times New Roman" w:cs="Times New Roman" w:eastAsia="Times New Roman" w:hAnsi="Times New Roman"/>
          <w:sz w:val="21"/>
          <w:szCs w:val="21"/>
          <w:color w:val="auto"/>
        </w:rPr>
      </w:pPr>
    </w:p>
    <w:p>
      <w:pPr>
        <w:ind w:left="1300" w:hanging="648"/>
        <w:spacing w:after="0"/>
        <w:tabs>
          <w:tab w:leader="none" w:pos="1300" w:val="left"/>
        </w:tabs>
        <w:numPr>
          <w:ilvl w:val="1"/>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Shares Not Counted Against Share Pool Reserve</w:t>
      </w:r>
    </w:p>
    <w:p>
      <w:pPr>
        <w:spacing w:after="0" w:line="188" w:lineRule="exact"/>
        <w:rPr>
          <w:sz w:val="20"/>
          <w:szCs w:val="20"/>
          <w:color w:val="auto"/>
        </w:rPr>
      </w:pPr>
    </w:p>
    <w:p>
      <w:pPr>
        <w:jc w:val="both"/>
        <w:ind w:firstLine="644"/>
        <w:spacing w:after="0" w:line="234" w:lineRule="auto"/>
        <w:rPr>
          <w:sz w:val="20"/>
          <w:szCs w:val="20"/>
          <w:color w:val="auto"/>
        </w:rPr>
      </w:pPr>
      <w:r>
        <w:rPr>
          <w:rFonts w:ascii="Times New Roman" w:cs="Times New Roman" w:eastAsia="Times New Roman" w:hAnsi="Times New Roman"/>
          <w:sz w:val="21"/>
          <w:szCs w:val="21"/>
          <w:color w:val="auto"/>
        </w:rPr>
        <w:t xml:space="preserve">Notwithstanding anything contained in </w:t>
      </w:r>
      <w:r>
        <w:rPr>
          <w:rFonts w:ascii="Times New Roman" w:cs="Times New Roman" w:eastAsia="Times New Roman" w:hAnsi="Times New Roman"/>
          <w:sz w:val="21"/>
          <w:szCs w:val="21"/>
          <w:u w:val="single" w:color="auto"/>
          <w:color w:val="auto"/>
        </w:rPr>
        <w:t>Section 3</w:t>
      </w:r>
      <w:r>
        <w:rPr>
          <w:rFonts w:ascii="Times New Roman" w:cs="Times New Roman" w:eastAsia="Times New Roman" w:hAnsi="Times New Roman"/>
          <w:sz w:val="21"/>
          <w:szCs w:val="21"/>
          <w:color w:val="auto"/>
        </w:rPr>
        <w:t xml:space="preserve"> to the contrary, (i) Substitute Awards shall not reduce the overall limit on Shares available for grant under the Plan; provided that Substitute Awards issued in connection with the assumption of, or in substitution for, outstanding Options intended to qualify as ISOs shall reduce the aggregate number of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w:t>
      </w:r>
    </w:p>
    <w:p>
      <w:pPr>
        <w:sectPr>
          <w:pgSz w:w="11900" w:h="16838" w:orient="portrait"/>
          <w:cols w:equalWidth="0" w:num="1">
            <w:col w:w="11240"/>
          </w:cols>
          <w:pgMar w:left="320" w:top="1440" w:right="339" w:bottom="1440" w:gutter="0" w:footer="0" w:header="0"/>
        </w:sectPr>
      </w:pPr>
    </w:p>
    <w:bookmarkStart w:id="25" w:name="page26"/>
    <w:bookmarkEnd w:id="25"/>
    <w:p>
      <w:pPr>
        <w:spacing w:after="0" w:line="270"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21"/>
          <w:szCs w:val="21"/>
          <w:color w:val="auto"/>
        </w:rPr>
        <w:t>available for Awards of ISOs under the Plan; and (ii) subject to any stock exchange requirements then applicable to the Company, available shares under a shareholder approved plan of an entity directly or indirectly acquired by the Company or Subsidiary or with which the Company or Subsidiary combines (as appropriately adjusted to reflect the acquisition or combination transaction) may be used for Awards under the Plan and shall not reduce the number of Shares available for delivery under the Plan.</w:t>
      </w:r>
    </w:p>
    <w:p>
      <w:pPr>
        <w:spacing w:after="0" w:line="152" w:lineRule="exact"/>
        <w:rPr>
          <w:sz w:val="20"/>
          <w:szCs w:val="20"/>
          <w:color w:val="auto"/>
        </w:rPr>
      </w:pPr>
    </w:p>
    <w:p>
      <w:pPr>
        <w:ind w:left="1300" w:hanging="648"/>
        <w:spacing w:after="0"/>
        <w:tabs>
          <w:tab w:leader="none" w:pos="1300"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Non-Employee Director Award Limit</w:t>
      </w:r>
    </w:p>
    <w:p>
      <w:pPr>
        <w:spacing w:after="0" w:line="188" w:lineRule="exact"/>
        <w:rPr>
          <w:sz w:val="20"/>
          <w:szCs w:val="20"/>
          <w:color w:val="auto"/>
        </w:rPr>
      </w:pPr>
    </w:p>
    <w:p>
      <w:pPr>
        <w:jc w:val="both"/>
        <w:ind w:firstLine="644"/>
        <w:spacing w:after="0" w:line="224" w:lineRule="auto"/>
        <w:rPr>
          <w:sz w:val="20"/>
          <w:szCs w:val="20"/>
          <w:color w:val="auto"/>
        </w:rPr>
      </w:pPr>
      <w:r>
        <w:rPr>
          <w:rFonts w:ascii="Times New Roman" w:cs="Times New Roman" w:eastAsia="Times New Roman" w:hAnsi="Times New Roman"/>
          <w:sz w:val="21"/>
          <w:szCs w:val="21"/>
          <w:color w:val="auto"/>
        </w:rPr>
        <w:t>Notwithstanding any provision to the contrary in the Plan or in any policy of the Company regarding compensation payable to a non-Employee Director, the sum of the grant date fair value (determined as of the grant date in accordance with Financial Accounting Standards Board Accounting Standards Codification Topic 718, or any successor thereto) of all Awards payable in Shares and the maximum amount that may become payable pursuant to all cash-based Awards that may be granted under the Plan to an individual as compensation for services as a non-Employee Director, together with cash compensation paid to the non-Employee Director, shall not exceed $900,000 in any calendar year.</w:t>
      </w:r>
    </w:p>
    <w:p>
      <w:pPr>
        <w:spacing w:after="0" w:line="147" w:lineRule="exact"/>
        <w:rPr>
          <w:sz w:val="20"/>
          <w:szCs w:val="20"/>
          <w:color w:val="auto"/>
        </w:rPr>
      </w:pPr>
    </w:p>
    <w:p>
      <w:pPr>
        <w:ind w:left="660" w:hanging="653"/>
        <w:spacing w:after="0"/>
        <w:tabs>
          <w:tab w:leader="none" w:pos="660"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Administration</w:t>
      </w:r>
    </w:p>
    <w:p>
      <w:pPr>
        <w:spacing w:after="0" w:line="191" w:lineRule="exact"/>
        <w:rPr>
          <w:rFonts w:ascii="Times New Roman" w:cs="Times New Roman" w:eastAsia="Times New Roman" w:hAnsi="Times New Roman"/>
          <w:sz w:val="21"/>
          <w:szCs w:val="21"/>
          <w:color w:val="auto"/>
        </w:rPr>
      </w:pPr>
    </w:p>
    <w:p>
      <w:pPr>
        <w:ind w:left="1300" w:hanging="648"/>
        <w:spacing w:after="0"/>
        <w:tabs>
          <w:tab w:leader="none" w:pos="1300" w:val="left"/>
        </w:tabs>
        <w:numPr>
          <w:ilvl w:val="1"/>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Committee</w:t>
      </w:r>
    </w:p>
    <w:p>
      <w:pPr>
        <w:spacing w:after="0" w:line="188" w:lineRule="exact"/>
        <w:rPr>
          <w:sz w:val="20"/>
          <w:szCs w:val="20"/>
          <w:color w:val="auto"/>
        </w:rPr>
      </w:pPr>
    </w:p>
    <w:p>
      <w:pPr>
        <w:jc w:val="both"/>
        <w:ind w:firstLine="644"/>
        <w:spacing w:after="0" w:line="217" w:lineRule="auto"/>
        <w:rPr>
          <w:sz w:val="20"/>
          <w:szCs w:val="20"/>
          <w:color w:val="auto"/>
        </w:rPr>
      </w:pPr>
      <w:r>
        <w:rPr>
          <w:rFonts w:ascii="Times New Roman" w:cs="Times New Roman" w:eastAsia="Times New Roman" w:hAnsi="Times New Roman"/>
          <w:sz w:val="21"/>
          <w:szCs w:val="21"/>
          <w:color w:val="auto"/>
        </w:rPr>
        <w:t>The Plan shall be administered by the Committee, which may delegate its duties and powers in whole or in part to any subcommittee thereof consisting solely of at least two individuals who are intended to qualify as “Non-Employee Directors” within the meaning of Rule l6b-3 under the Exchange Act and “independent directors” within the meaning of The New York Stock Exchange's listed company rules if such stock exchange rules are applicable to the Company at that time (or similar rules otherwise applicable to the Company, if listed on a different stock exchange). Additionally, the Committee may delegate to one or more officers of the Company the authority to act on behalf of the Committee with respect to administrative matters and such other matters as the Committee may determine from time to time; provided that such delegation is consistent with Applicable Laws and guidelines established by the Committee from time to time. Any such delegation may be revoked by the Committee at any time. Notwithstanding the foregoing, the full Board, acting by a majority of its members in office, shall conduct the general administration of the Plan (including the grant of Awards) with respect to all Awards granted to Non-Employee Directors and for purposes of such Awards, the term “Committee” as used in this Plan shall be deemed to refer to the Board. In its sole discretion, the Board may at any time and from time to time exercise any and all rights and duties of the Committee under the Plan, except with respect to matters which under Rule 16b-3 under the Exchange Act or The New York Stock Exchange's listed company rules, if such stock exchange rules are applicable to the Company at that time (or similar rules otherwise applicable to the Company, if listed on a different stock exchange), are required to be determined in the sole discretion of the Committee. The Committee may appoint such agents as it deems necessary or advisable for the proper administration of the Plan; provided, that such appointment is consistent with Applicable Laws and any guidelines established by the Committee from time to time.</w:t>
      </w:r>
    </w:p>
    <w:p>
      <w:pPr>
        <w:spacing w:after="0" w:line="153" w:lineRule="exact"/>
        <w:rPr>
          <w:sz w:val="20"/>
          <w:szCs w:val="20"/>
          <w:color w:val="auto"/>
        </w:rPr>
      </w:pPr>
    </w:p>
    <w:p>
      <w:pPr>
        <w:ind w:left="1300" w:hanging="648"/>
        <w:spacing w:after="0"/>
        <w:tabs>
          <w:tab w:leader="none" w:pos="1300"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Authority of Committee</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The Committee has the exclusive power, authority and discretion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w:t>
      </w:r>
    </w:p>
    <w:p>
      <w:pPr>
        <w:sectPr>
          <w:pgSz w:w="11900" w:h="16838" w:orient="portrait"/>
          <w:cols w:equalWidth="0" w:num="1">
            <w:col w:w="11240"/>
          </w:cols>
          <w:pgMar w:left="320" w:top="1440" w:right="339" w:bottom="1440" w:gutter="0" w:footer="0" w:header="0"/>
        </w:sectPr>
      </w:pPr>
    </w:p>
    <w:bookmarkStart w:id="26" w:name="page27"/>
    <w:bookmarkEnd w:id="26"/>
    <w:p>
      <w:pPr>
        <w:spacing w:after="0" w:line="270" w:lineRule="exact"/>
        <w:rPr>
          <w:sz w:val="20"/>
          <w:szCs w:val="20"/>
          <w:color w:val="auto"/>
        </w:rPr>
      </w:pPr>
    </w:p>
    <w:p>
      <w:pPr>
        <w:ind w:left="1268" w:hanging="624"/>
        <w:spacing w:after="0"/>
        <w:tabs>
          <w:tab w:leader="none" w:pos="1268" w:val="left"/>
        </w:tabs>
        <w:numPr>
          <w:ilvl w:val="1"/>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Designate Participants to receive Awards;</w:t>
      </w:r>
    </w:p>
    <w:p>
      <w:pPr>
        <w:spacing w:after="0" w:line="187" w:lineRule="exact"/>
        <w:rPr>
          <w:rFonts w:ascii="Times New Roman" w:cs="Times New Roman" w:eastAsia="Times New Roman" w:hAnsi="Times New Roman"/>
          <w:sz w:val="21"/>
          <w:szCs w:val="21"/>
          <w:color w:val="auto"/>
        </w:rPr>
      </w:pPr>
    </w:p>
    <w:p>
      <w:pPr>
        <w:ind w:left="1288" w:hanging="644"/>
        <w:spacing w:after="0"/>
        <w:tabs>
          <w:tab w:leader="none" w:pos="1288" w:val="left"/>
        </w:tabs>
        <w:numPr>
          <w:ilvl w:val="1"/>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Determine the type or types of Awards to be granted to each Participant;</w:t>
      </w:r>
    </w:p>
    <w:p>
      <w:pPr>
        <w:spacing w:after="0" w:line="187" w:lineRule="exact"/>
        <w:rPr>
          <w:rFonts w:ascii="Times New Roman" w:cs="Times New Roman" w:eastAsia="Times New Roman" w:hAnsi="Times New Roman"/>
          <w:sz w:val="21"/>
          <w:szCs w:val="21"/>
          <w:color w:val="auto"/>
        </w:rPr>
      </w:pPr>
    </w:p>
    <w:p>
      <w:pPr>
        <w:ind w:left="1288" w:hanging="644"/>
        <w:spacing w:after="0"/>
        <w:tabs>
          <w:tab w:leader="none" w:pos="1288" w:val="left"/>
        </w:tabs>
        <w:numPr>
          <w:ilvl w:val="1"/>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Determine the number of Awards to be granted and the number of Shares to which an Award will relate;</w:t>
      </w:r>
    </w:p>
    <w:p>
      <w:pPr>
        <w:spacing w:after="0" w:line="187" w:lineRule="exact"/>
        <w:rPr>
          <w:rFonts w:ascii="Times New Roman" w:cs="Times New Roman" w:eastAsia="Times New Roman" w:hAnsi="Times New Roman"/>
          <w:sz w:val="21"/>
          <w:szCs w:val="21"/>
          <w:color w:val="auto"/>
        </w:rPr>
      </w:pPr>
    </w:p>
    <w:p>
      <w:pPr>
        <w:jc w:val="both"/>
        <w:ind w:left="8" w:firstLine="636"/>
        <w:spacing w:after="0" w:line="224" w:lineRule="auto"/>
        <w:tabs>
          <w:tab w:leader="none" w:pos="1285" w:val="left"/>
        </w:tabs>
        <w:numPr>
          <w:ilvl w:val="1"/>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Determine the terms and conditions of any Award granted pursuant to the Plan, including, without limitation, the Option Price, Strike Price, or purchase price, Performance Criteria (or other objective/subjective goals (if any)), Performance Goals, any restrictions or limitations on the Award, any schedule for lapse of forfeiture restrictions or restrictions on the exercisability of an Award, vesting requirements, and accelerations or waivers thereof, any forfeiture conditions and any provisions related to non-competition and recapture of gain on an Award, based in each case on such considerations as the Committee in its sole discretion determines;</w:t>
      </w:r>
    </w:p>
    <w:p>
      <w:pPr>
        <w:spacing w:after="0" w:line="150" w:lineRule="exact"/>
        <w:rPr>
          <w:rFonts w:ascii="Times New Roman" w:cs="Times New Roman" w:eastAsia="Times New Roman" w:hAnsi="Times New Roman"/>
          <w:sz w:val="21"/>
          <w:szCs w:val="21"/>
          <w:color w:val="auto"/>
        </w:rPr>
      </w:pPr>
    </w:p>
    <w:p>
      <w:pPr>
        <w:jc w:val="both"/>
        <w:ind w:left="8" w:firstLine="636"/>
        <w:spacing w:after="0" w:line="226" w:lineRule="auto"/>
        <w:tabs>
          <w:tab w:leader="none" w:pos="1292" w:val="left"/>
        </w:tabs>
        <w:numPr>
          <w:ilvl w:val="1"/>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Determine whether, to what extent, and pursuant to what circumstances (A) an Award may be settled in, or the Option Price or Strike Price of an Award may be paid in, cash, Shares, other Awards, or other property, (B) the vesting, exercisability or forfeiture restrictions applicable to an Award may be accelerated, modified or waived, including, without limitation, in connection with the Participant's retirement or other termination or other event, or (C) an Award may be cancelled, forfeited, or surrendered;</w:t>
      </w:r>
    </w:p>
    <w:p>
      <w:pPr>
        <w:spacing w:after="0" w:line="151" w:lineRule="exact"/>
        <w:rPr>
          <w:rFonts w:ascii="Times New Roman" w:cs="Times New Roman" w:eastAsia="Times New Roman" w:hAnsi="Times New Roman"/>
          <w:sz w:val="21"/>
          <w:szCs w:val="21"/>
          <w:color w:val="auto"/>
        </w:rPr>
      </w:pPr>
    </w:p>
    <w:p>
      <w:pPr>
        <w:ind w:left="8" w:firstLine="636"/>
        <w:spacing w:after="0" w:line="251" w:lineRule="auto"/>
        <w:tabs>
          <w:tab w:leader="none" w:pos="1285" w:val="left"/>
        </w:tabs>
        <w:numPr>
          <w:ilvl w:val="1"/>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Prescribe the form of each Award Agreement, which need not be identical for each Participant and may vary for Participants within and outside of the United States;</w:t>
      </w:r>
    </w:p>
    <w:p>
      <w:pPr>
        <w:spacing w:after="0" w:line="139" w:lineRule="exact"/>
        <w:rPr>
          <w:rFonts w:ascii="Times New Roman" w:cs="Times New Roman" w:eastAsia="Times New Roman" w:hAnsi="Times New Roman"/>
          <w:sz w:val="21"/>
          <w:szCs w:val="21"/>
          <w:color w:val="auto"/>
        </w:rPr>
      </w:pPr>
    </w:p>
    <w:p>
      <w:pPr>
        <w:ind w:left="1288" w:hanging="644"/>
        <w:spacing w:after="0"/>
        <w:tabs>
          <w:tab w:leader="none" w:pos="1288" w:val="left"/>
        </w:tabs>
        <w:numPr>
          <w:ilvl w:val="1"/>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Allot and issue any Shares which are to be allotted and issued upon the vesting or exercise of any Award;</w:t>
      </w:r>
    </w:p>
    <w:p>
      <w:pPr>
        <w:spacing w:after="0" w:line="187" w:lineRule="exact"/>
        <w:rPr>
          <w:rFonts w:ascii="Times New Roman" w:cs="Times New Roman" w:eastAsia="Times New Roman" w:hAnsi="Times New Roman"/>
          <w:sz w:val="21"/>
          <w:szCs w:val="21"/>
          <w:color w:val="auto"/>
        </w:rPr>
      </w:pPr>
    </w:p>
    <w:p>
      <w:pPr>
        <w:ind w:left="1288" w:hanging="644"/>
        <w:spacing w:after="0"/>
        <w:tabs>
          <w:tab w:leader="none" w:pos="1288" w:val="left"/>
        </w:tabs>
        <w:numPr>
          <w:ilvl w:val="1"/>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Decide all other matters that must be determined in connection with an Award;</w:t>
      </w:r>
    </w:p>
    <w:p>
      <w:pPr>
        <w:spacing w:after="0" w:line="187" w:lineRule="exact"/>
        <w:rPr>
          <w:rFonts w:ascii="Times New Roman" w:cs="Times New Roman" w:eastAsia="Times New Roman" w:hAnsi="Times New Roman"/>
          <w:sz w:val="21"/>
          <w:szCs w:val="21"/>
          <w:color w:val="auto"/>
        </w:rPr>
      </w:pPr>
    </w:p>
    <w:p>
      <w:pPr>
        <w:jc w:val="both"/>
        <w:ind w:left="8" w:firstLine="636"/>
        <w:spacing w:after="0" w:line="234" w:lineRule="auto"/>
        <w:tabs>
          <w:tab w:leader="none" w:pos="1285" w:val="left"/>
        </w:tabs>
        <w:numPr>
          <w:ilvl w:val="1"/>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Establish, adopt, or revise any rules and regulations including adopting sub-plans to the Plan for the purposes of complying with foreign laws and/or taking advantage of tax-favorable treatment for Awards granted to Participants outside the United States, as it may deem necessary or advisable to administer the Plan;</w:t>
      </w:r>
    </w:p>
    <w:p>
      <w:pPr>
        <w:spacing w:after="0" w:line="152" w:lineRule="exact"/>
        <w:rPr>
          <w:rFonts w:ascii="Times New Roman" w:cs="Times New Roman" w:eastAsia="Times New Roman" w:hAnsi="Times New Roman"/>
          <w:sz w:val="21"/>
          <w:szCs w:val="21"/>
          <w:color w:val="auto"/>
        </w:rPr>
      </w:pPr>
    </w:p>
    <w:p>
      <w:pPr>
        <w:ind w:left="1288" w:hanging="644"/>
        <w:spacing w:after="0"/>
        <w:tabs>
          <w:tab w:leader="none" w:pos="1288" w:val="left"/>
        </w:tabs>
        <w:numPr>
          <w:ilvl w:val="1"/>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Construe and interpret the terms of, and any matter arising pursuant to, the Plan, or any Award Agreement;</w:t>
      </w:r>
    </w:p>
    <w:p>
      <w:pPr>
        <w:spacing w:after="0" w:line="187" w:lineRule="exact"/>
        <w:rPr>
          <w:rFonts w:ascii="Times New Roman" w:cs="Times New Roman" w:eastAsia="Times New Roman" w:hAnsi="Times New Roman"/>
          <w:sz w:val="21"/>
          <w:szCs w:val="21"/>
          <w:color w:val="auto"/>
        </w:rPr>
      </w:pPr>
    </w:p>
    <w:p>
      <w:pPr>
        <w:ind w:left="8" w:firstLine="636"/>
        <w:spacing w:after="0" w:line="251" w:lineRule="auto"/>
        <w:tabs>
          <w:tab w:leader="none" w:pos="1285" w:val="left"/>
        </w:tabs>
        <w:numPr>
          <w:ilvl w:val="1"/>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Correct any defect or supply any omission or reconcile any inconsistency in the Plan in the manner and to the extent the Committee deems necessary or desirable; and</w:t>
      </w:r>
    </w:p>
    <w:p>
      <w:pPr>
        <w:spacing w:after="0" w:line="139" w:lineRule="exact"/>
        <w:rPr>
          <w:rFonts w:ascii="Times New Roman" w:cs="Times New Roman" w:eastAsia="Times New Roman" w:hAnsi="Times New Roman"/>
          <w:sz w:val="21"/>
          <w:szCs w:val="21"/>
          <w:color w:val="auto"/>
        </w:rPr>
      </w:pPr>
    </w:p>
    <w:p>
      <w:pPr>
        <w:ind w:left="8" w:firstLine="636"/>
        <w:spacing w:after="0" w:line="251" w:lineRule="auto"/>
        <w:tabs>
          <w:tab w:leader="none" w:pos="1291" w:val="left"/>
        </w:tabs>
        <w:numPr>
          <w:ilvl w:val="1"/>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Make all other decisions and determinations that may be required pursuant to the Plan or as the Committee deems necessary or advisable to administer the Plan.</w:t>
      </w:r>
    </w:p>
    <w:p>
      <w:pPr>
        <w:spacing w:after="0" w:line="139" w:lineRule="exact"/>
        <w:rPr>
          <w:rFonts w:ascii="Times New Roman" w:cs="Times New Roman" w:eastAsia="Times New Roman" w:hAnsi="Times New Roman"/>
          <w:sz w:val="21"/>
          <w:szCs w:val="21"/>
          <w:color w:val="auto"/>
        </w:rPr>
      </w:pPr>
    </w:p>
    <w:p>
      <w:pPr>
        <w:ind w:left="648" w:hanging="648"/>
        <w:spacing w:after="0"/>
        <w:tabs>
          <w:tab w:leader="none" w:pos="648"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Decisions Binding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868"/>
        <w:spacing w:after="0"/>
        <w:rPr>
          <w:sz w:val="20"/>
          <w:szCs w:val="20"/>
          <w:color w:val="auto"/>
        </w:rPr>
      </w:pPr>
      <w:r>
        <w:rPr>
          <w:rFonts w:ascii="Times New Roman" w:cs="Times New Roman" w:eastAsia="Times New Roman" w:hAnsi="Times New Roman"/>
          <w:sz w:val="21"/>
          <w:szCs w:val="21"/>
          <w:color w:val="auto"/>
        </w:rPr>
        <w:t>11</w:t>
      </w:r>
    </w:p>
    <w:p>
      <w:pPr>
        <w:sectPr>
          <w:pgSz w:w="11900" w:h="16838" w:orient="portrait"/>
          <w:cols w:equalWidth="0" w:num="1">
            <w:col w:w="10588"/>
          </w:cols>
          <w:pgMar w:left="972" w:top="1440" w:right="339" w:bottom="1440" w:gutter="0" w:footer="0" w:header="0"/>
        </w:sectPr>
      </w:pPr>
    </w:p>
    <w:bookmarkStart w:id="27" w:name="page28"/>
    <w:bookmarkEnd w:id="27"/>
    <w:p>
      <w:pPr>
        <w:spacing w:after="0" w:line="270" w:lineRule="exact"/>
        <w:rPr>
          <w:sz w:val="20"/>
          <w:szCs w:val="20"/>
          <w:color w:val="auto"/>
        </w:rPr>
      </w:pPr>
    </w:p>
    <w:p>
      <w:pPr>
        <w:jc w:val="both"/>
        <w:ind w:right="20" w:firstLine="644"/>
        <w:spacing w:after="0" w:line="234" w:lineRule="auto"/>
        <w:rPr>
          <w:sz w:val="20"/>
          <w:szCs w:val="20"/>
          <w:color w:val="auto"/>
        </w:rPr>
      </w:pPr>
      <w:r>
        <w:rPr>
          <w:rFonts w:ascii="Times New Roman" w:cs="Times New Roman" w:eastAsia="Times New Roman" w:hAnsi="Times New Roman"/>
          <w:sz w:val="21"/>
          <w:szCs w:val="21"/>
          <w:color w:val="auto"/>
        </w:rPr>
        <w:t xml:space="preserve">Any decision of the Committee or its delegate pursuant to </w:t>
      </w:r>
      <w:r>
        <w:rPr>
          <w:rFonts w:ascii="Times New Roman" w:cs="Times New Roman" w:eastAsia="Times New Roman" w:hAnsi="Times New Roman"/>
          <w:sz w:val="21"/>
          <w:szCs w:val="21"/>
          <w:u w:val="single" w:color="auto"/>
          <w:color w:val="auto"/>
        </w:rPr>
        <w:t>Section 4(a)</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1"/>
          <w:szCs w:val="21"/>
          <w:color w:val="auto"/>
        </w:rPr>
        <w:t xml:space="preserve"> hereof shall lie within its sole and absolute discretion and shall be final, conclusive and binding on all parties concerned (including, but not limited to, Participants and their beneficiaries or successors).</w:t>
      </w:r>
    </w:p>
    <w:p>
      <w:pPr>
        <w:spacing w:after="0" w:line="153" w:lineRule="exact"/>
        <w:rPr>
          <w:sz w:val="20"/>
          <w:szCs w:val="20"/>
          <w:color w:val="auto"/>
        </w:rPr>
      </w:pPr>
    </w:p>
    <w:p>
      <w:pPr>
        <w:ind w:left="1300" w:hanging="648"/>
        <w:spacing w:after="0"/>
        <w:tabs>
          <w:tab w:leader="none" w:pos="1300"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Reliance on Reports</w:t>
      </w:r>
      <w:r>
        <w:rPr>
          <w:rFonts w:ascii="Times New Roman" w:cs="Times New Roman" w:eastAsia="Times New Roman" w:hAnsi="Times New Roman"/>
          <w:sz w:val="21"/>
          <w:szCs w:val="21"/>
          <w:color w:val="auto"/>
        </w:rPr>
        <w:t>.</w:t>
      </w:r>
    </w:p>
    <w:p>
      <w:pPr>
        <w:spacing w:after="0" w:line="188" w:lineRule="exact"/>
        <w:rPr>
          <w:sz w:val="20"/>
          <w:szCs w:val="20"/>
          <w:color w:val="auto"/>
        </w:rPr>
      </w:pPr>
    </w:p>
    <w:p>
      <w:pPr>
        <w:jc w:val="both"/>
        <w:ind w:firstLine="644"/>
        <w:spacing w:after="0" w:line="229" w:lineRule="auto"/>
        <w:rPr>
          <w:sz w:val="20"/>
          <w:szCs w:val="20"/>
          <w:color w:val="auto"/>
        </w:rPr>
      </w:pPr>
      <w:r>
        <w:rPr>
          <w:rFonts w:ascii="Times New Roman" w:cs="Times New Roman" w:eastAsia="Times New Roman" w:hAnsi="Times New Roman"/>
          <w:sz w:val="21"/>
          <w:szCs w:val="21"/>
          <w:color w:val="auto"/>
        </w:rPr>
        <w:t>Each member of the Committee and each member of the Board shall be fully justified in acting or failing to act, as the case may be, and shall not be liable for having so acted or failed to act in good faith, in reliance upon any report made or advice provided by the independent public accountant or other advisors of the Weatherford Group and/or any other information furnished in connection with the Plan by any agent of the Company or the Committee or the Board, other than himself or herself.</w:t>
      </w:r>
    </w:p>
    <w:p>
      <w:pPr>
        <w:spacing w:after="0" w:line="152" w:lineRule="exact"/>
        <w:rPr>
          <w:sz w:val="20"/>
          <w:szCs w:val="20"/>
          <w:color w:val="auto"/>
        </w:rPr>
      </w:pPr>
    </w:p>
    <w:p>
      <w:pPr>
        <w:ind w:left="1300" w:hanging="648"/>
        <w:spacing w:after="0"/>
        <w:tabs>
          <w:tab w:leader="none" w:pos="1300"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Award Limits for Employees and Consultants</w:t>
      </w:r>
      <w:r>
        <w:rPr>
          <w:rFonts w:ascii="Times New Roman" w:cs="Times New Roman" w:eastAsia="Times New Roman" w:hAnsi="Times New Roman"/>
          <w:sz w:val="21"/>
          <w:szCs w:val="21"/>
          <w:color w:val="auto"/>
        </w:rPr>
        <w:t>.</w:t>
      </w:r>
    </w:p>
    <w:p>
      <w:pPr>
        <w:spacing w:after="0" w:line="188" w:lineRule="exact"/>
        <w:rPr>
          <w:sz w:val="20"/>
          <w:szCs w:val="20"/>
          <w:color w:val="auto"/>
        </w:rPr>
      </w:pPr>
    </w:p>
    <w:p>
      <w:pPr>
        <w:jc w:val="both"/>
        <w:ind w:firstLine="644"/>
        <w:spacing w:after="0" w:line="226" w:lineRule="auto"/>
        <w:rPr>
          <w:sz w:val="20"/>
          <w:szCs w:val="20"/>
          <w:color w:val="auto"/>
        </w:rPr>
      </w:pPr>
      <w:r>
        <w:rPr>
          <w:rFonts w:ascii="Times New Roman" w:cs="Times New Roman" w:eastAsia="Times New Roman" w:hAnsi="Times New Roman"/>
          <w:sz w:val="21"/>
          <w:szCs w:val="21"/>
          <w:color w:val="auto"/>
        </w:rPr>
        <w:t xml:space="preserve">The maximum number of Shares that may be subject to Options or Share Appreciation Awards that are granted to any Employee or any Consultant during any calendar year shall not exceed 800,000 Shares, subject to adjustment as provided in </w:t>
      </w:r>
      <w:r>
        <w:rPr>
          <w:rFonts w:ascii="Times New Roman" w:cs="Times New Roman" w:eastAsia="Times New Roman" w:hAnsi="Times New Roman"/>
          <w:sz w:val="21"/>
          <w:szCs w:val="21"/>
          <w:u w:val="single" w:color="auto"/>
          <w:color w:val="auto"/>
        </w:rPr>
        <w:t>Section 11</w:t>
      </w:r>
      <w:r>
        <w:rPr>
          <w:rFonts w:ascii="Times New Roman" w:cs="Times New Roman" w:eastAsia="Times New Roman" w:hAnsi="Times New Roman"/>
          <w:sz w:val="21"/>
          <w:szCs w:val="21"/>
          <w:color w:val="auto"/>
        </w:rPr>
        <w:t xml:space="preserve"> hereof. The maximum amount with respect to one or more Performance Based Awards that may be granted to any Employee or any Consultant during any calendar year shall not exceed $25,000,000 calculated based on the Fair Market Value of the number of Shares subject to the Performance Based Award on the date of grant.</w:t>
      </w:r>
    </w:p>
    <w:p>
      <w:pPr>
        <w:spacing w:after="0" w:line="147" w:lineRule="exact"/>
        <w:rPr>
          <w:sz w:val="20"/>
          <w:szCs w:val="20"/>
          <w:color w:val="auto"/>
        </w:rPr>
      </w:pPr>
    </w:p>
    <w:p>
      <w:pPr>
        <w:ind w:left="660" w:hanging="653"/>
        <w:spacing w:after="0"/>
        <w:tabs>
          <w:tab w:leader="none" w:pos="660"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Terms and Conditions of Restricted Share Units</w:t>
      </w:r>
    </w:p>
    <w:p>
      <w:pPr>
        <w:spacing w:after="0" w:line="191" w:lineRule="exact"/>
        <w:rPr>
          <w:rFonts w:ascii="Times New Roman" w:cs="Times New Roman" w:eastAsia="Times New Roman" w:hAnsi="Times New Roman"/>
          <w:sz w:val="21"/>
          <w:szCs w:val="21"/>
          <w:color w:val="auto"/>
        </w:rPr>
      </w:pPr>
    </w:p>
    <w:p>
      <w:pPr>
        <w:ind w:left="1300" w:hanging="648"/>
        <w:spacing w:after="0"/>
        <w:tabs>
          <w:tab w:leader="none" w:pos="1300" w:val="left"/>
        </w:tabs>
        <w:numPr>
          <w:ilvl w:val="1"/>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Restricted Share Units</w:t>
      </w:r>
    </w:p>
    <w:p>
      <w:pPr>
        <w:spacing w:after="0" w:line="188" w:lineRule="exact"/>
        <w:rPr>
          <w:sz w:val="20"/>
          <w:szCs w:val="20"/>
          <w:color w:val="auto"/>
        </w:rPr>
      </w:pPr>
    </w:p>
    <w:p>
      <w:pPr>
        <w:ind w:firstLine="644"/>
        <w:spacing w:after="0" w:line="251" w:lineRule="auto"/>
        <w:rPr>
          <w:sz w:val="20"/>
          <w:szCs w:val="20"/>
          <w:color w:val="auto"/>
        </w:rPr>
      </w:pPr>
      <w:r>
        <w:rPr>
          <w:rFonts w:ascii="Times New Roman" w:cs="Times New Roman" w:eastAsia="Times New Roman" w:hAnsi="Times New Roman"/>
          <w:sz w:val="21"/>
          <w:szCs w:val="21"/>
          <w:color w:val="auto"/>
        </w:rPr>
        <w:t>The Committee is authorized to grant Restricted Share Units to Participants in such amounts and subject to such terms and conditions not inconsistent with the Plan, as the Committee shall determine.</w:t>
      </w:r>
    </w:p>
    <w:p>
      <w:pPr>
        <w:spacing w:after="0" w:line="139" w:lineRule="exact"/>
        <w:rPr>
          <w:sz w:val="20"/>
          <w:szCs w:val="20"/>
          <w:color w:val="auto"/>
        </w:rPr>
      </w:pPr>
    </w:p>
    <w:p>
      <w:pPr>
        <w:ind w:left="1300" w:hanging="648"/>
        <w:spacing w:after="0"/>
        <w:tabs>
          <w:tab w:leader="none" w:pos="1300"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Vesting Restrictions</w:t>
      </w:r>
    </w:p>
    <w:p>
      <w:pPr>
        <w:spacing w:after="0" w:line="188" w:lineRule="exact"/>
        <w:rPr>
          <w:sz w:val="20"/>
          <w:szCs w:val="20"/>
          <w:color w:val="auto"/>
        </w:rPr>
      </w:pPr>
    </w:p>
    <w:p>
      <w:pPr>
        <w:jc w:val="both"/>
        <w:ind w:firstLine="644"/>
        <w:spacing w:after="0" w:line="234" w:lineRule="auto"/>
        <w:rPr>
          <w:sz w:val="20"/>
          <w:szCs w:val="20"/>
          <w:color w:val="auto"/>
        </w:rPr>
      </w:pPr>
      <w:r>
        <w:rPr>
          <w:rFonts w:ascii="Times New Roman" w:cs="Times New Roman" w:eastAsia="Times New Roman" w:hAnsi="Times New Roman"/>
          <w:sz w:val="21"/>
          <w:szCs w:val="21"/>
          <w:color w:val="auto"/>
        </w:rPr>
        <w:t>The Committee shall specify the date or dates on which the Restricted Share Units shall become fully vested and nonforfeitable, and may specify such conditions to vesting, if any, as it deems appropriate. The vesting conditions, if any, may be based on, among other conditions, a Participant's continued Service or the attainment of Performance Goals.</w:t>
      </w:r>
    </w:p>
    <w:p>
      <w:pPr>
        <w:spacing w:after="0" w:line="153" w:lineRule="exact"/>
        <w:rPr>
          <w:sz w:val="20"/>
          <w:szCs w:val="20"/>
          <w:color w:val="auto"/>
        </w:rPr>
      </w:pPr>
    </w:p>
    <w:p>
      <w:pPr>
        <w:ind w:left="1300" w:hanging="648"/>
        <w:spacing w:after="0"/>
        <w:tabs>
          <w:tab w:leader="none" w:pos="1300"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Form and Timing of Payment</w:t>
      </w:r>
    </w:p>
    <w:p>
      <w:pPr>
        <w:spacing w:after="0" w:line="188" w:lineRule="exact"/>
        <w:rPr>
          <w:sz w:val="20"/>
          <w:szCs w:val="20"/>
          <w:color w:val="auto"/>
        </w:rPr>
      </w:pPr>
    </w:p>
    <w:p>
      <w:pPr>
        <w:jc w:val="both"/>
        <w:ind w:firstLine="644"/>
        <w:spacing w:after="0" w:line="221" w:lineRule="auto"/>
        <w:rPr>
          <w:sz w:val="20"/>
          <w:szCs w:val="20"/>
          <w:color w:val="auto"/>
        </w:rPr>
      </w:pPr>
      <w:r>
        <w:rPr>
          <w:rFonts w:ascii="Times New Roman" w:cs="Times New Roman" w:eastAsia="Times New Roman" w:hAnsi="Times New Roman"/>
          <w:sz w:val="21"/>
          <w:szCs w:val="21"/>
          <w:color w:val="auto"/>
        </w:rPr>
        <w:t xml:space="preserve">The Committee shall specify the settlement date applicable to each grant of Restricted Share Units, which date shall not be earlier than the date or dates on which the Restricted Share Units shall become fully vested and nonforfeitable, or such settlement date may be deferred to any later date, subject to compliance with Section 409A, as applicable. On the settlement date, the Company shall, subject to satisfaction of applicable Tax-Related Items (as further set forth in </w:t>
      </w:r>
      <w:r>
        <w:rPr>
          <w:rFonts w:ascii="Times New Roman" w:cs="Times New Roman" w:eastAsia="Times New Roman" w:hAnsi="Times New Roman"/>
          <w:sz w:val="21"/>
          <w:szCs w:val="21"/>
          <w:u w:val="single" w:color="auto"/>
          <w:color w:val="auto"/>
        </w:rPr>
        <w:t>Section 20</w:t>
      </w:r>
      <w:r>
        <w:rPr>
          <w:rFonts w:ascii="Times New Roman" w:cs="Times New Roman" w:eastAsia="Times New Roman" w:hAnsi="Times New Roman"/>
          <w:sz w:val="21"/>
          <w:szCs w:val="21"/>
          <w:color w:val="auto"/>
        </w:rPr>
        <w:t xml:space="preserve"> hereof), deliver to the Participant one Share for each Restricted Share Unit scheduled to be paid out on such date and not previously forfeited. Alternatively, settlement of a Restricted Share Unit may be made in cash (in an amount reflecting the Fair Market Value of the Shares that otherwise would have been issued) or any combination of cash and Shares, as determined by the Committee, in its sole discretion, in either case, less applicable Tax-Related Items (as further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12</w:t>
      </w:r>
    </w:p>
    <w:p>
      <w:pPr>
        <w:sectPr>
          <w:pgSz w:w="11900" w:h="16838" w:orient="portrait"/>
          <w:cols w:equalWidth="0" w:num="1">
            <w:col w:w="11240"/>
          </w:cols>
          <w:pgMar w:left="320" w:top="1440" w:right="339" w:bottom="1440" w:gutter="0" w:footer="0" w:header="0"/>
        </w:sectPr>
      </w:pPr>
    </w:p>
    <w:bookmarkStart w:id="28" w:name="page29"/>
    <w:bookmarkEnd w:id="28"/>
    <w:p>
      <w:pPr>
        <w:spacing w:after="0" w:line="270"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21"/>
          <w:szCs w:val="21"/>
          <w:color w:val="auto"/>
        </w:rPr>
        <w:t xml:space="preserve">set forth in </w:t>
      </w:r>
      <w:r>
        <w:rPr>
          <w:rFonts w:ascii="Times New Roman" w:cs="Times New Roman" w:eastAsia="Times New Roman" w:hAnsi="Times New Roman"/>
          <w:sz w:val="21"/>
          <w:szCs w:val="21"/>
          <w:u w:val="single" w:color="auto"/>
          <w:color w:val="auto"/>
        </w:rPr>
        <w:t>Section 20</w:t>
      </w:r>
      <w:r>
        <w:rPr>
          <w:rFonts w:ascii="Times New Roman" w:cs="Times New Roman" w:eastAsia="Times New Roman" w:hAnsi="Times New Roman"/>
          <w:sz w:val="21"/>
          <w:szCs w:val="21"/>
          <w:color w:val="auto"/>
        </w:rPr>
        <w:t xml:space="preserve"> hereof). Until a Restricted Share Unit is settled, the number of Restricted Share Units shall be subject to adjustment pursuant to </w:t>
      </w:r>
      <w:r>
        <w:rPr>
          <w:rFonts w:ascii="Times New Roman" w:cs="Times New Roman" w:eastAsia="Times New Roman" w:hAnsi="Times New Roman"/>
          <w:sz w:val="21"/>
          <w:szCs w:val="21"/>
          <w:u w:val="single" w:color="auto"/>
          <w:color w:val="auto"/>
        </w:rPr>
        <w:t>Section 11</w:t>
      </w:r>
      <w:r>
        <w:rPr>
          <w:rFonts w:ascii="Times New Roman" w:cs="Times New Roman" w:eastAsia="Times New Roman" w:hAnsi="Times New Roman"/>
          <w:sz w:val="21"/>
          <w:szCs w:val="21"/>
          <w:color w:val="auto"/>
        </w:rPr>
        <w:t xml:space="preserve"> hereof.</w:t>
      </w:r>
    </w:p>
    <w:p>
      <w:pPr>
        <w:spacing w:after="0" w:line="139" w:lineRule="exact"/>
        <w:rPr>
          <w:sz w:val="20"/>
          <w:szCs w:val="20"/>
          <w:color w:val="auto"/>
        </w:rPr>
      </w:pPr>
    </w:p>
    <w:p>
      <w:pPr>
        <w:ind w:left="1300" w:hanging="648"/>
        <w:spacing w:after="0"/>
        <w:tabs>
          <w:tab w:leader="none" w:pos="1300"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Forfeiture</w:t>
      </w:r>
    </w:p>
    <w:p>
      <w:pPr>
        <w:spacing w:after="0" w:line="188" w:lineRule="exact"/>
        <w:rPr>
          <w:sz w:val="20"/>
          <w:szCs w:val="20"/>
          <w:color w:val="auto"/>
        </w:rPr>
      </w:pPr>
    </w:p>
    <w:p>
      <w:pPr>
        <w:ind w:right="20" w:firstLine="644"/>
        <w:spacing w:after="0" w:line="251" w:lineRule="auto"/>
        <w:rPr>
          <w:sz w:val="20"/>
          <w:szCs w:val="20"/>
          <w:color w:val="auto"/>
        </w:rPr>
      </w:pPr>
      <w:r>
        <w:rPr>
          <w:rFonts w:ascii="Times New Roman" w:cs="Times New Roman" w:eastAsia="Times New Roman" w:hAnsi="Times New Roman"/>
          <w:sz w:val="21"/>
          <w:szCs w:val="21"/>
          <w:color w:val="auto"/>
        </w:rPr>
        <w:t>Except as otherwise determined by the Committee at the time of the grant of the Award or thereafter, any Restricted Share Units that are not vested as of the date of the Participant's termination of Service shall be forfeited.</w:t>
      </w:r>
    </w:p>
    <w:p>
      <w:pPr>
        <w:spacing w:after="0" w:line="139" w:lineRule="exact"/>
        <w:rPr>
          <w:sz w:val="20"/>
          <w:szCs w:val="20"/>
          <w:color w:val="auto"/>
        </w:rPr>
      </w:pPr>
    </w:p>
    <w:p>
      <w:pPr>
        <w:ind w:left="1300" w:hanging="648"/>
        <w:spacing w:after="0"/>
        <w:tabs>
          <w:tab w:leader="none" w:pos="1300"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General Creditors</w:t>
      </w:r>
    </w:p>
    <w:p>
      <w:pPr>
        <w:spacing w:after="0" w:line="188" w:lineRule="exact"/>
        <w:rPr>
          <w:sz w:val="20"/>
          <w:szCs w:val="20"/>
          <w:color w:val="auto"/>
        </w:rPr>
      </w:pPr>
    </w:p>
    <w:p>
      <w:pPr>
        <w:jc w:val="both"/>
        <w:ind w:right="20" w:firstLine="644"/>
        <w:spacing w:after="0" w:line="234" w:lineRule="auto"/>
        <w:rPr>
          <w:sz w:val="20"/>
          <w:szCs w:val="20"/>
          <w:color w:val="auto"/>
        </w:rPr>
      </w:pPr>
      <w:r>
        <w:rPr>
          <w:rFonts w:ascii="Times New Roman" w:cs="Times New Roman" w:eastAsia="Times New Roman" w:hAnsi="Times New Roman"/>
          <w:sz w:val="21"/>
          <w:szCs w:val="21"/>
          <w:color w:val="auto"/>
        </w:rPr>
        <w:t>A Participant who has been granted Restricted Share Units shall have no rights other than those of a general creditor of the Company. Restricted Share Units represent an unfunded and unsecured obligation of the Company, subject to the terms and conditions of the applicable Award Agreement evidencing the grant of the Restricted Share Units.</w:t>
      </w:r>
    </w:p>
    <w:p>
      <w:pPr>
        <w:spacing w:after="0" w:line="149" w:lineRule="exact"/>
        <w:rPr>
          <w:sz w:val="20"/>
          <w:szCs w:val="20"/>
          <w:color w:val="auto"/>
        </w:rPr>
      </w:pPr>
    </w:p>
    <w:p>
      <w:pPr>
        <w:ind w:left="660" w:hanging="653"/>
        <w:spacing w:after="0"/>
        <w:tabs>
          <w:tab w:leader="none" w:pos="660"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Terms and Conditions of Restricted Share Awards</w:t>
      </w:r>
    </w:p>
    <w:p>
      <w:pPr>
        <w:spacing w:after="0" w:line="191" w:lineRule="exact"/>
        <w:rPr>
          <w:rFonts w:ascii="Times New Roman" w:cs="Times New Roman" w:eastAsia="Times New Roman" w:hAnsi="Times New Roman"/>
          <w:sz w:val="21"/>
          <w:szCs w:val="21"/>
          <w:color w:val="auto"/>
        </w:rPr>
      </w:pPr>
    </w:p>
    <w:p>
      <w:pPr>
        <w:ind w:left="1300" w:hanging="648"/>
        <w:spacing w:after="0"/>
        <w:tabs>
          <w:tab w:leader="none" w:pos="1300" w:val="left"/>
        </w:tabs>
        <w:numPr>
          <w:ilvl w:val="1"/>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Grant of Restricted Shares</w:t>
      </w:r>
    </w:p>
    <w:p>
      <w:pPr>
        <w:spacing w:after="0" w:line="188" w:lineRule="exact"/>
        <w:rPr>
          <w:sz w:val="20"/>
          <w:szCs w:val="20"/>
          <w:color w:val="auto"/>
        </w:rPr>
      </w:pPr>
    </w:p>
    <w:p>
      <w:pPr>
        <w:ind w:firstLine="644"/>
        <w:spacing w:after="0" w:line="251" w:lineRule="auto"/>
        <w:rPr>
          <w:sz w:val="20"/>
          <w:szCs w:val="20"/>
          <w:color w:val="auto"/>
        </w:rPr>
      </w:pPr>
      <w:r>
        <w:rPr>
          <w:rFonts w:ascii="Times New Roman" w:cs="Times New Roman" w:eastAsia="Times New Roman" w:hAnsi="Times New Roman"/>
          <w:sz w:val="21"/>
          <w:szCs w:val="21"/>
          <w:color w:val="auto"/>
        </w:rPr>
        <w:t>The Committee is authorized to grant Restricted Shares to Participants selected by the Committee in such amounts and subject to such terms and conditions not inconsistent with the Plan, as the Committee shall determine.</w:t>
      </w:r>
    </w:p>
    <w:p>
      <w:pPr>
        <w:spacing w:after="0" w:line="139" w:lineRule="exact"/>
        <w:rPr>
          <w:sz w:val="20"/>
          <w:szCs w:val="20"/>
          <w:color w:val="auto"/>
        </w:rPr>
      </w:pPr>
    </w:p>
    <w:p>
      <w:pPr>
        <w:ind w:left="1300" w:hanging="648"/>
        <w:spacing w:after="0"/>
        <w:tabs>
          <w:tab w:leader="none" w:pos="1300"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Purchase Price</w:t>
      </w:r>
    </w:p>
    <w:p>
      <w:pPr>
        <w:spacing w:after="0" w:line="188" w:lineRule="exact"/>
        <w:rPr>
          <w:sz w:val="20"/>
          <w:szCs w:val="20"/>
          <w:color w:val="auto"/>
        </w:rPr>
      </w:pPr>
    </w:p>
    <w:p>
      <w:pPr>
        <w:jc w:val="both"/>
        <w:ind w:firstLine="644"/>
        <w:spacing w:after="0" w:line="229" w:lineRule="auto"/>
        <w:rPr>
          <w:sz w:val="20"/>
          <w:szCs w:val="20"/>
          <w:color w:val="auto"/>
        </w:rPr>
      </w:pPr>
      <w:r>
        <w:rPr>
          <w:rFonts w:ascii="Times New Roman" w:cs="Times New Roman" w:eastAsia="Times New Roman" w:hAnsi="Times New Roman"/>
          <w:sz w:val="21"/>
          <w:szCs w:val="21"/>
          <w:color w:val="auto"/>
        </w:rPr>
        <w:t>At the time of the grant of Restricted Shares, the Committee shall determine the price, if any, to be paid by the Participant for each Share subject to the Award. The purchase price of Shares acquired pursuant to the Award shall be paid: (i) in cash at the time of purchase; or (ii) in any other form of legal consideration that may be acceptable to the Committee in its sole discretion and in compliance with Applicable Laws.</w:t>
      </w:r>
    </w:p>
    <w:p>
      <w:pPr>
        <w:spacing w:after="0" w:line="152" w:lineRule="exact"/>
        <w:rPr>
          <w:sz w:val="20"/>
          <w:szCs w:val="20"/>
          <w:color w:val="auto"/>
        </w:rPr>
      </w:pPr>
    </w:p>
    <w:p>
      <w:pPr>
        <w:ind w:left="1300" w:hanging="648"/>
        <w:spacing w:after="0"/>
        <w:tabs>
          <w:tab w:leader="none" w:pos="1300"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Issuance and Restrictions</w:t>
      </w:r>
    </w:p>
    <w:p>
      <w:pPr>
        <w:spacing w:after="0" w:line="188" w:lineRule="exact"/>
        <w:rPr>
          <w:sz w:val="20"/>
          <w:szCs w:val="20"/>
          <w:color w:val="auto"/>
        </w:rPr>
      </w:pPr>
    </w:p>
    <w:p>
      <w:pPr>
        <w:jc w:val="both"/>
        <w:ind w:firstLine="644"/>
        <w:spacing w:after="0" w:line="224" w:lineRule="auto"/>
        <w:rPr>
          <w:sz w:val="20"/>
          <w:szCs w:val="20"/>
          <w:color w:val="auto"/>
        </w:rPr>
      </w:pPr>
      <w:r>
        <w:rPr>
          <w:rFonts w:ascii="Times New Roman" w:cs="Times New Roman" w:eastAsia="Times New Roman" w:hAnsi="Times New Roman"/>
          <w:sz w:val="21"/>
          <w:szCs w:val="21"/>
          <w:color w:val="auto"/>
        </w:rPr>
        <w:t>Restricted Shares shall be subject to such restrictions, if any, on transferability and other restrictions as the Committee may impose (including, without limitation, limitations on the right to vote Restricted Shares or the right to receive dividends or repayment of capital on the Restricted Shares). The restrictions, if any, may be based on, among other conditions, a Participant's continued Service or the attainment of Performance Goals. These restrictions, if any, may lapse separately or in combination at such times, pursuant to such circumstances, in such installments, or otherwise, as the Committee determines at the time of the grant of the Award or thereafter.</w:t>
      </w:r>
    </w:p>
    <w:p>
      <w:pPr>
        <w:spacing w:after="0" w:line="151" w:lineRule="exact"/>
        <w:rPr>
          <w:sz w:val="20"/>
          <w:szCs w:val="20"/>
          <w:color w:val="auto"/>
        </w:rPr>
      </w:pPr>
    </w:p>
    <w:p>
      <w:pPr>
        <w:ind w:left="1300" w:hanging="648"/>
        <w:spacing w:after="0"/>
        <w:tabs>
          <w:tab w:leader="none" w:pos="1300"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Dividends</w:t>
      </w:r>
    </w:p>
    <w:p>
      <w:pPr>
        <w:spacing w:after="0" w:line="188" w:lineRule="exact"/>
        <w:rPr>
          <w:sz w:val="20"/>
          <w:szCs w:val="20"/>
          <w:color w:val="auto"/>
        </w:rPr>
      </w:pPr>
    </w:p>
    <w:p>
      <w:pPr>
        <w:ind w:firstLine="644"/>
        <w:spacing w:after="0" w:line="251" w:lineRule="auto"/>
        <w:rPr>
          <w:sz w:val="20"/>
          <w:szCs w:val="20"/>
          <w:color w:val="auto"/>
        </w:rPr>
      </w:pPr>
      <w:r>
        <w:rPr>
          <w:rFonts w:ascii="Times New Roman" w:cs="Times New Roman" w:eastAsia="Times New Roman" w:hAnsi="Times New Roman"/>
          <w:sz w:val="21"/>
          <w:szCs w:val="21"/>
          <w:color w:val="auto"/>
        </w:rPr>
        <w:t xml:space="preserve">Any dividends that are distributed with respect to Restricted Shares shall be paid in accordance with the applicable Award Agreement, subject to the provisions of </w:t>
      </w:r>
      <w:r>
        <w:rPr>
          <w:rFonts w:ascii="Times New Roman" w:cs="Times New Roman" w:eastAsia="Times New Roman" w:hAnsi="Times New Roman"/>
          <w:sz w:val="21"/>
          <w:szCs w:val="21"/>
          <w:u w:val="single" w:color="auto"/>
          <w:color w:val="auto"/>
        </w:rPr>
        <w:t>Section 10(b)(ii)</w:t>
      </w:r>
      <w:r>
        <w:rPr>
          <w:rFonts w:ascii="Times New Roman" w:cs="Times New Roman" w:eastAsia="Times New Roman" w:hAnsi="Times New Roman"/>
          <w:sz w:val="21"/>
          <w:szCs w:val="21"/>
          <w:color w:val="auto"/>
        </w:rPr>
        <w:t xml:space="preserve"> hereof.</w:t>
      </w:r>
    </w:p>
    <w:p>
      <w:pPr>
        <w:spacing w:after="0" w:line="139" w:lineRule="exact"/>
        <w:rPr>
          <w:sz w:val="20"/>
          <w:szCs w:val="20"/>
          <w:color w:val="auto"/>
        </w:rPr>
      </w:pPr>
    </w:p>
    <w:p>
      <w:pPr>
        <w:ind w:left="1300" w:hanging="648"/>
        <w:spacing w:after="0"/>
        <w:tabs>
          <w:tab w:leader="none" w:pos="1300"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Forfeiture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13</w:t>
      </w:r>
    </w:p>
    <w:p>
      <w:pPr>
        <w:sectPr>
          <w:pgSz w:w="11900" w:h="16838" w:orient="portrait"/>
          <w:cols w:equalWidth="0" w:num="1">
            <w:col w:w="11240"/>
          </w:cols>
          <w:pgMar w:left="320" w:top="1440" w:right="339" w:bottom="1440" w:gutter="0" w:footer="0" w:header="0"/>
        </w:sectPr>
      </w:pPr>
    </w:p>
    <w:bookmarkStart w:id="29" w:name="page30"/>
    <w:bookmarkEnd w:id="29"/>
    <w:p>
      <w:pPr>
        <w:spacing w:after="0" w:line="270" w:lineRule="exact"/>
        <w:rPr>
          <w:sz w:val="20"/>
          <w:szCs w:val="20"/>
          <w:color w:val="auto"/>
        </w:rPr>
      </w:pPr>
    </w:p>
    <w:p>
      <w:pPr>
        <w:ind w:firstLine="644"/>
        <w:spacing w:after="0" w:line="251" w:lineRule="auto"/>
        <w:rPr>
          <w:sz w:val="20"/>
          <w:szCs w:val="20"/>
          <w:color w:val="auto"/>
        </w:rPr>
      </w:pPr>
      <w:r>
        <w:rPr>
          <w:rFonts w:ascii="Times New Roman" w:cs="Times New Roman" w:eastAsia="Times New Roman" w:hAnsi="Times New Roman"/>
          <w:sz w:val="21"/>
          <w:szCs w:val="21"/>
          <w:color w:val="auto"/>
        </w:rPr>
        <w:t>Except as otherwise determined by the Committee at the time of the grant of the Award or thereafter, upon termination of Service during the applicable restriction period, Restricted Shares that are at that time subject to restrictions shall be forfeited.</w:t>
      </w:r>
    </w:p>
    <w:p>
      <w:pPr>
        <w:spacing w:after="0" w:line="139" w:lineRule="exact"/>
        <w:rPr>
          <w:sz w:val="20"/>
          <w:szCs w:val="20"/>
          <w:color w:val="auto"/>
        </w:rPr>
      </w:pPr>
    </w:p>
    <w:p>
      <w:pPr>
        <w:ind w:left="1300" w:hanging="648"/>
        <w:spacing w:after="0"/>
        <w:tabs>
          <w:tab w:leader="none" w:pos="1300"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Certificates for Restricted Shares</w:t>
      </w:r>
    </w:p>
    <w:p>
      <w:pPr>
        <w:spacing w:after="0" w:line="188" w:lineRule="exact"/>
        <w:rPr>
          <w:sz w:val="20"/>
          <w:szCs w:val="20"/>
          <w:color w:val="auto"/>
        </w:rPr>
      </w:pPr>
    </w:p>
    <w:p>
      <w:pPr>
        <w:jc w:val="both"/>
        <w:ind w:firstLine="644"/>
        <w:spacing w:after="0"/>
        <w:rPr>
          <w:sz w:val="20"/>
          <w:szCs w:val="20"/>
          <w:color w:val="auto"/>
        </w:rPr>
      </w:pPr>
      <w:r>
        <w:rPr>
          <w:rFonts w:ascii="Times New Roman" w:cs="Times New Roman" w:eastAsia="Times New Roman" w:hAnsi="Times New Roman"/>
          <w:sz w:val="21"/>
          <w:szCs w:val="21"/>
          <w:color w:val="auto"/>
        </w:rPr>
        <w:t>Restricted Shares granted pursuant to the Plan may be evidenced in such manner as the Committee shall determine. If certificates representing Restricted Shares are registered in the name of the Participant, certificates shall bear a legend in such form as the Company deems appropriate, referring to the terms, conditions, and restrictions applicable to such Restricted Shares, and the Company may, at its discretion, retain physical possession of the certificate until such time as all applicable restrictions lapse.</w:t>
      </w:r>
    </w:p>
    <w:p>
      <w:pPr>
        <w:spacing w:after="0" w:line="318" w:lineRule="exact"/>
        <w:rPr>
          <w:sz w:val="20"/>
          <w:szCs w:val="20"/>
          <w:color w:val="auto"/>
        </w:rPr>
      </w:pPr>
    </w:p>
    <w:p>
      <w:pPr>
        <w:ind w:left="660" w:hanging="653"/>
        <w:spacing w:after="0"/>
        <w:tabs>
          <w:tab w:leader="none" w:pos="660"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Terms and Conditions of Options</w:t>
      </w:r>
    </w:p>
    <w:p>
      <w:pPr>
        <w:spacing w:after="0" w:line="191" w:lineRule="exact"/>
        <w:rPr>
          <w:rFonts w:ascii="Times New Roman" w:cs="Times New Roman" w:eastAsia="Times New Roman" w:hAnsi="Times New Roman"/>
          <w:sz w:val="21"/>
          <w:szCs w:val="21"/>
          <w:color w:val="auto"/>
        </w:rPr>
      </w:pPr>
    </w:p>
    <w:p>
      <w:pPr>
        <w:ind w:left="1300" w:hanging="648"/>
        <w:spacing w:after="0"/>
        <w:tabs>
          <w:tab w:leader="none" w:pos="1300" w:val="left"/>
        </w:tabs>
        <w:numPr>
          <w:ilvl w:val="1"/>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Option Type</w:t>
      </w:r>
    </w:p>
    <w:p>
      <w:pPr>
        <w:spacing w:after="0" w:line="188" w:lineRule="exact"/>
        <w:rPr>
          <w:sz w:val="20"/>
          <w:szCs w:val="20"/>
          <w:color w:val="auto"/>
        </w:rPr>
      </w:pPr>
    </w:p>
    <w:p>
      <w:pPr>
        <w:jc w:val="both"/>
        <w:ind w:firstLine="644"/>
        <w:spacing w:after="0" w:line="234" w:lineRule="auto"/>
        <w:rPr>
          <w:sz w:val="20"/>
          <w:szCs w:val="20"/>
          <w:color w:val="auto"/>
        </w:rPr>
      </w:pPr>
      <w:r>
        <w:rPr>
          <w:rFonts w:ascii="Times New Roman" w:cs="Times New Roman" w:eastAsia="Times New Roman" w:hAnsi="Times New Roman"/>
          <w:sz w:val="21"/>
          <w:szCs w:val="21"/>
          <w:color w:val="auto"/>
        </w:rPr>
        <w:t>Options granted under the Plan shall be, as determined by the Committee, non-qualified or ISOs, as evidenced by the related Award Agreements, and shall be subject to the foregoing and the following terms and conditions and to such other terms and conditions, not inconsistent therewith, as the Committee shall determine:</w:t>
      </w:r>
    </w:p>
    <w:p>
      <w:pPr>
        <w:spacing w:after="0" w:line="153" w:lineRule="exact"/>
        <w:rPr>
          <w:sz w:val="20"/>
          <w:szCs w:val="20"/>
          <w:color w:val="auto"/>
        </w:rPr>
      </w:pPr>
    </w:p>
    <w:p>
      <w:pPr>
        <w:ind w:left="1300" w:hanging="648"/>
        <w:spacing w:after="0"/>
        <w:tabs>
          <w:tab w:leader="none" w:pos="1300"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Option Price</w:t>
      </w:r>
    </w:p>
    <w:p>
      <w:pPr>
        <w:spacing w:after="0" w:line="18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1"/>
          <w:szCs w:val="21"/>
          <w:color w:val="auto"/>
        </w:rPr>
        <w:t>The Option Price per Share shall be determined by the Committee, but shall not be less than the higher of (i) 100% of the Fair Market Value of a Share on the date an Option is granted (other than in the case of Substitute Awards) and (ii) the nominal value of a Share.</w:t>
      </w:r>
    </w:p>
    <w:p>
      <w:pPr>
        <w:spacing w:after="0" w:line="376" w:lineRule="exact"/>
        <w:rPr>
          <w:sz w:val="20"/>
          <w:szCs w:val="20"/>
          <w:color w:val="auto"/>
        </w:rPr>
      </w:pPr>
    </w:p>
    <w:p>
      <w:pPr>
        <w:ind w:left="1300" w:hanging="648"/>
        <w:spacing w:after="0"/>
        <w:tabs>
          <w:tab w:leader="none" w:pos="1300"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Exercisability</w:t>
      </w:r>
    </w:p>
    <w:p>
      <w:pPr>
        <w:spacing w:after="0" w:line="188" w:lineRule="exact"/>
        <w:rPr>
          <w:sz w:val="20"/>
          <w:szCs w:val="20"/>
          <w:color w:val="auto"/>
        </w:rPr>
      </w:pPr>
    </w:p>
    <w:p>
      <w:pPr>
        <w:jc w:val="both"/>
        <w:ind w:firstLine="644"/>
        <w:spacing w:after="0" w:line="226" w:lineRule="auto"/>
        <w:rPr>
          <w:sz w:val="20"/>
          <w:szCs w:val="20"/>
          <w:color w:val="auto"/>
        </w:rPr>
      </w:pPr>
      <w:r>
        <w:rPr>
          <w:rFonts w:ascii="Times New Roman" w:cs="Times New Roman" w:eastAsia="Times New Roman" w:hAnsi="Times New Roman"/>
          <w:sz w:val="21"/>
          <w:szCs w:val="21"/>
          <w:color w:val="auto"/>
        </w:rPr>
        <w:t>Options granted under the Plan shall be exercisable at such time and upon such terms and conditions as may be determined by the Committee, but in no event shall an Option be exercisable more than ten years after the date it is granted. The Committee shall specify the date or dates on which the Options shall become fully vested, and may specify such conditions to vesting, if any, as it deems appropriate. The vesting conditions, if any, may be based on, among other conditions, a Participant's continued Service or the attainment of Performance Goals.</w:t>
      </w:r>
    </w:p>
    <w:p>
      <w:pPr>
        <w:spacing w:after="0" w:line="151" w:lineRule="exact"/>
        <w:rPr>
          <w:sz w:val="20"/>
          <w:szCs w:val="20"/>
          <w:color w:val="auto"/>
        </w:rPr>
      </w:pPr>
    </w:p>
    <w:p>
      <w:pPr>
        <w:ind w:left="1300" w:hanging="648"/>
        <w:spacing w:after="0"/>
        <w:tabs>
          <w:tab w:leader="none" w:pos="1300"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Exercise of Options</w:t>
      </w:r>
    </w:p>
    <w:p>
      <w:pPr>
        <w:spacing w:after="0" w:line="188" w:lineRule="exact"/>
        <w:rPr>
          <w:sz w:val="20"/>
          <w:szCs w:val="20"/>
          <w:color w:val="auto"/>
        </w:rPr>
      </w:pPr>
    </w:p>
    <w:p>
      <w:pPr>
        <w:jc w:val="both"/>
        <w:ind w:firstLine="644"/>
        <w:spacing w:after="0"/>
        <w:rPr>
          <w:sz w:val="20"/>
          <w:szCs w:val="20"/>
          <w:color w:val="auto"/>
        </w:rPr>
      </w:pPr>
      <w:r>
        <w:rPr>
          <w:rFonts w:ascii="Times New Roman" w:cs="Times New Roman" w:eastAsia="Times New Roman" w:hAnsi="Times New Roman"/>
          <w:sz w:val="21"/>
          <w:szCs w:val="21"/>
          <w:color w:val="auto"/>
        </w:rPr>
        <w:t xml:space="preserve">Except as otherwise provided in the Plan or in an Award Agreement, an Option may be exercised for all, or from time to time any part, of the Shares for which it is then exercisable. For purposes of </w:t>
      </w:r>
      <w:r>
        <w:rPr>
          <w:rFonts w:ascii="Times New Roman" w:cs="Times New Roman" w:eastAsia="Times New Roman" w:hAnsi="Times New Roman"/>
          <w:sz w:val="21"/>
          <w:szCs w:val="21"/>
          <w:u w:val="single" w:color="auto"/>
          <w:color w:val="auto"/>
        </w:rPr>
        <w:t>Section 7</w:t>
      </w:r>
      <w:r>
        <w:rPr>
          <w:rFonts w:ascii="Times New Roman" w:cs="Times New Roman" w:eastAsia="Times New Roman" w:hAnsi="Times New Roman"/>
          <w:sz w:val="21"/>
          <w:szCs w:val="21"/>
          <w:color w:val="auto"/>
        </w:rPr>
        <w:t xml:space="preserve"> of the Plan, the exercise date of an Option shall be the later of the date a notice of exercise is received by the Company or its designee or administrative agent in the form and manner satisfactory to the Company and, if applicable, the date payment is received by the Company or its designee or administrative agent in accordance with the following sentence. The Option Price shall be payable: (i) in cash or its equivalent (e.g., by personal check), or (ii) by such other method as the Committee may permit in its sole discretion, including, without limitation, (A) if there is a public market for the Shares underlying the Options at such time, through the delivery of irrevocable instructions to a broker to sell Shares obtained upon the exercise of the Option and to deliver promptly to the Company an amount out of the proceeds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14</w:t>
      </w:r>
    </w:p>
    <w:p>
      <w:pPr>
        <w:sectPr>
          <w:pgSz w:w="11900" w:h="16838" w:orient="portrait"/>
          <w:cols w:equalWidth="0" w:num="1">
            <w:col w:w="11240"/>
          </w:cols>
          <w:pgMar w:left="320" w:top="1440" w:right="339" w:bottom="1440" w:gutter="0" w:footer="0" w:header="0"/>
        </w:sectPr>
      </w:pPr>
    </w:p>
    <w:bookmarkStart w:id="30" w:name="page31"/>
    <w:bookmarkEnd w:id="30"/>
    <w:p>
      <w:pPr>
        <w:spacing w:after="0" w:line="270"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21"/>
          <w:szCs w:val="21"/>
          <w:color w:val="auto"/>
        </w:rPr>
        <w:t>such sale equal to the aggregate Option Price for the Shares being purchased, or (B) by a “net exercise” method whereby the Company withholds from the delivery of the Shares for which the Option was exercised that number of Shares having a Fair Market Value equal to the aggregate Option Price for the Shares for which the Option was exercised. No fractional Shares will be issued upon exercise of an Option, but instead the number of Shares will be rounded downward to the next whole Share.</w:t>
      </w:r>
    </w:p>
    <w:p>
      <w:pPr>
        <w:spacing w:after="0" w:line="152" w:lineRule="exact"/>
        <w:rPr>
          <w:sz w:val="20"/>
          <w:szCs w:val="20"/>
          <w:color w:val="auto"/>
        </w:rPr>
      </w:pPr>
    </w:p>
    <w:p>
      <w:pPr>
        <w:ind w:left="1300" w:hanging="648"/>
        <w:spacing w:after="0"/>
        <w:tabs>
          <w:tab w:leader="none" w:pos="1300"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ISOs</w:t>
      </w:r>
    </w:p>
    <w:p>
      <w:pPr>
        <w:spacing w:after="0" w:line="188" w:lineRule="exact"/>
        <w:rPr>
          <w:sz w:val="20"/>
          <w:szCs w:val="20"/>
          <w:color w:val="auto"/>
        </w:rPr>
      </w:pPr>
    </w:p>
    <w:p>
      <w:pPr>
        <w:jc w:val="both"/>
        <w:ind w:firstLine="644"/>
        <w:spacing w:after="0" w:line="217" w:lineRule="auto"/>
        <w:rPr>
          <w:sz w:val="20"/>
          <w:szCs w:val="20"/>
          <w:color w:val="auto"/>
        </w:rPr>
      </w:pPr>
      <w:r>
        <w:rPr>
          <w:rFonts w:ascii="Times New Roman" w:cs="Times New Roman" w:eastAsia="Times New Roman" w:hAnsi="Times New Roman"/>
          <w:sz w:val="21"/>
          <w:szCs w:val="21"/>
          <w:color w:val="auto"/>
        </w:rPr>
        <w:t>The Committee may grant Options under the Plan that are intended to be ISOs. Such ISOs shall comply with the requirements of Section 422 of the Code. ISOs shall be granted only to Participants who are employees of the Company and its Subsidiaries. No ISO may be granted to any Participant who at the time of such grant, owns more than ten percent of the total combined voting power of all classes of stock of the Company or of any Subsidiary, unless (i) the Option Price for such ISO is at least 110% of the Fair Market Value of a Share on the date the ISO is granted and (ii) the date on which such ISO terminates is a date not later than the day preceding the fifth anniversary of the date on which the ISO is granted. Any Participant who disposes of Shares acquired upon the exercise of an ISO either (A) within two years after the date of grant of such ISO or (B) within one year after the transfer of such Shares to the Participant, shall notify the Company of such disposition and of the amount realized upon such disposition. All Options granted under the Plan are intended to be nonqualified options, unless the applicable Award Agreement expressly states that the Option is intended to be an ISO. If an Option is intended to be an ISO, and if for any reason such Option (or portion thereof) shall not qualify as an ISO, then, to the extent of such nonqualification, such Option (or portion thereof) shall be regarded as a nonqualified option granted under the Plan; provided, that such Option (or portion thereof) otherwise complies with the Plan's requirements relating to nonqualified options. In no event shall any member of the Committee, the Company or any of its Affiliates (or their respective employees, officers or directors) have any liability to any Participant (or any other Person) due to the failure of an Option to qualify for any reason as an ISO.</w:t>
      </w:r>
    </w:p>
    <w:p>
      <w:pPr>
        <w:spacing w:after="0" w:line="161" w:lineRule="exact"/>
        <w:rPr>
          <w:sz w:val="20"/>
          <w:szCs w:val="20"/>
          <w:color w:val="auto"/>
        </w:rPr>
      </w:pPr>
    </w:p>
    <w:p>
      <w:pPr>
        <w:ind w:left="1300" w:hanging="648"/>
        <w:spacing w:after="0"/>
        <w:tabs>
          <w:tab w:leader="none" w:pos="1300"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Rights with Respect to Shares</w:t>
      </w:r>
    </w:p>
    <w:p>
      <w:pPr>
        <w:spacing w:after="0" w:line="188" w:lineRule="exact"/>
        <w:rPr>
          <w:sz w:val="20"/>
          <w:szCs w:val="20"/>
          <w:color w:val="auto"/>
        </w:rPr>
      </w:pPr>
    </w:p>
    <w:p>
      <w:pPr>
        <w:jc w:val="both"/>
        <w:ind w:firstLine="644"/>
        <w:spacing w:after="0" w:line="229" w:lineRule="auto"/>
        <w:rPr>
          <w:sz w:val="20"/>
          <w:szCs w:val="20"/>
          <w:color w:val="auto"/>
        </w:rPr>
      </w:pPr>
      <w:r>
        <w:rPr>
          <w:rFonts w:ascii="Times New Roman" w:cs="Times New Roman" w:eastAsia="Times New Roman" w:hAnsi="Times New Roman"/>
          <w:sz w:val="21"/>
          <w:szCs w:val="21"/>
          <w:color w:val="auto"/>
        </w:rPr>
        <w:t>No Participant shall have any rights to dividends or other rights of a shareholder with respect to Shares subject to an Option until the Participant has given written notice of exercise of the Option, paid in full (including, but not limited to, the Option Price and Tax-Related Items) for such Shares and, if applicable, has satisfied any other conditions imposed by the Committee pursuant to the Plan and applicable Award Agreement.</w:t>
      </w:r>
    </w:p>
    <w:p>
      <w:pPr>
        <w:spacing w:after="0" w:line="148" w:lineRule="exact"/>
        <w:rPr>
          <w:sz w:val="20"/>
          <w:szCs w:val="20"/>
          <w:color w:val="auto"/>
        </w:rPr>
      </w:pPr>
    </w:p>
    <w:p>
      <w:pPr>
        <w:ind w:left="660" w:hanging="653"/>
        <w:spacing w:after="0"/>
        <w:tabs>
          <w:tab w:leader="none" w:pos="660"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Terms and Conditions of Share Appreciation Rights</w:t>
      </w:r>
    </w:p>
    <w:p>
      <w:pPr>
        <w:spacing w:after="0" w:line="191" w:lineRule="exact"/>
        <w:rPr>
          <w:rFonts w:ascii="Times New Roman" w:cs="Times New Roman" w:eastAsia="Times New Roman" w:hAnsi="Times New Roman"/>
          <w:sz w:val="21"/>
          <w:szCs w:val="21"/>
          <w:color w:val="auto"/>
        </w:rPr>
      </w:pPr>
    </w:p>
    <w:p>
      <w:pPr>
        <w:ind w:left="1300" w:hanging="648"/>
        <w:spacing w:after="0"/>
        <w:tabs>
          <w:tab w:leader="none" w:pos="1300" w:val="left"/>
        </w:tabs>
        <w:numPr>
          <w:ilvl w:val="1"/>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Grants</w:t>
      </w:r>
    </w:p>
    <w:p>
      <w:pPr>
        <w:spacing w:after="0" w:line="188" w:lineRule="exact"/>
        <w:rPr>
          <w:sz w:val="20"/>
          <w:szCs w:val="20"/>
          <w:color w:val="auto"/>
        </w:rPr>
      </w:pPr>
    </w:p>
    <w:p>
      <w:pPr>
        <w:jc w:val="both"/>
        <w:ind w:firstLine="644"/>
        <w:spacing w:after="0" w:line="224" w:lineRule="auto"/>
        <w:rPr>
          <w:sz w:val="20"/>
          <w:szCs w:val="20"/>
          <w:color w:val="auto"/>
        </w:rPr>
      </w:pPr>
      <w:r>
        <w:rPr>
          <w:rFonts w:ascii="Times New Roman" w:cs="Times New Roman" w:eastAsia="Times New Roman" w:hAnsi="Times New Roman"/>
          <w:sz w:val="21"/>
          <w:szCs w:val="21"/>
          <w:color w:val="auto"/>
        </w:rPr>
        <w:t xml:space="preserve">The Committee may grant (i) a Share Appreciation Right independent of an Option or (ii) a Share Appreciation Right in connection with an Option, or a portion thereof. A Share Appreciation Right granted pursuant to clause (ii) of the preceding sentence (A) may only be granted at the time the related Option is granted, (B) shall cover the same number of Shares covered by an Option (or such lesser number of Shares as the Committee may determine) and (C) shall be subject to the same terms and conditions as such Option except for such additional limitations as are contemplated by this </w:t>
      </w:r>
      <w:r>
        <w:rPr>
          <w:rFonts w:ascii="Times New Roman" w:cs="Times New Roman" w:eastAsia="Times New Roman" w:hAnsi="Times New Roman"/>
          <w:sz w:val="21"/>
          <w:szCs w:val="21"/>
          <w:u w:val="single" w:color="auto"/>
          <w:color w:val="auto"/>
        </w:rPr>
        <w:t>Section 8</w:t>
      </w:r>
      <w:r>
        <w:rPr>
          <w:rFonts w:ascii="Times New Roman" w:cs="Times New Roman" w:eastAsia="Times New Roman" w:hAnsi="Times New Roman"/>
          <w:sz w:val="21"/>
          <w:szCs w:val="21"/>
          <w:color w:val="auto"/>
        </w:rPr>
        <w:t xml:space="preserve"> (or such additional limitations as may be included in an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15</w:t>
      </w:r>
    </w:p>
    <w:p>
      <w:pPr>
        <w:sectPr>
          <w:pgSz w:w="11900" w:h="16838" w:orient="portrait"/>
          <w:cols w:equalWidth="0" w:num="1">
            <w:col w:w="11240"/>
          </w:cols>
          <w:pgMar w:left="320" w:top="1440" w:right="339" w:bottom="1440" w:gutter="0" w:footer="0" w:header="0"/>
        </w:sectPr>
      </w:pPr>
    </w:p>
    <w:bookmarkStart w:id="31" w:name="page32"/>
    <w:bookmarkEnd w:id="31"/>
    <w:p>
      <w:pPr>
        <w:spacing w:after="0" w:line="270" w:lineRule="exact"/>
        <w:rPr>
          <w:sz w:val="20"/>
          <w:szCs w:val="20"/>
          <w:color w:val="auto"/>
        </w:rPr>
      </w:pPr>
    </w:p>
    <w:p>
      <w:pPr>
        <w:ind w:left="1300" w:hanging="648"/>
        <w:spacing w:after="0"/>
        <w:tabs>
          <w:tab w:leader="none" w:pos="1300"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Terms</w:t>
      </w:r>
    </w:p>
    <w:p>
      <w:pPr>
        <w:spacing w:after="0" w:line="188" w:lineRule="exact"/>
        <w:rPr>
          <w:sz w:val="20"/>
          <w:szCs w:val="20"/>
          <w:color w:val="auto"/>
        </w:rPr>
      </w:pPr>
    </w:p>
    <w:p>
      <w:pPr>
        <w:jc w:val="both"/>
        <w:ind w:firstLine="644"/>
        <w:spacing w:after="0" w:line="231" w:lineRule="auto"/>
        <w:rPr>
          <w:sz w:val="20"/>
          <w:szCs w:val="20"/>
          <w:color w:val="auto"/>
        </w:rPr>
      </w:pPr>
      <w:r>
        <w:rPr>
          <w:rFonts w:ascii="Times New Roman" w:cs="Times New Roman" w:eastAsia="Times New Roman" w:hAnsi="Times New Roman"/>
          <w:sz w:val="21"/>
          <w:szCs w:val="21"/>
          <w:color w:val="auto"/>
        </w:rPr>
        <w:t>Each Share Appreciation Right granted independent of an Option shall entitle a Participant, upon exercise, to a number of Shares equal to an amount that is (i) the excess of (A) the Fair Market Value of a Share on the exercise date over (B) the Strike Price, multiplied by (ii) the number of Shares with respect to which the Share Appreciation Right is being exercised, less any Tax-Related Items. Each Share Appreciation Right granted in conjunction with an Option, or a portion thereof, shall entitle a Participant to surrender to the Company the unexercised Option, or any portion thereof, and to receive from the Company in exchange therefore a number of Shares equal to an amount that is (i) the excess of (A) the Fair Market Value of a Share on the date of such surrender over (B) the Strike Price, multiplied by (ii) the number of Shares covered by the portion of the Option that is surrendered, less any Tax-Related Items. Payment shall be made in cash, in Shares valued at Fair Market Value, or any combination thereof, at the discretion of the Committee. Share Appreciation Rights may be exercised from time to time upon actual receipt by the Company or its designee or administrative agent of written notice of exercise in the form and manner satisfactory to the Company stating the number of Shares with respect to which the Share Appreciation Right is being exercised. The date a notice of exercise is received by the Company shall be the exercise date. No fractional Shares will be issued in payment for Share Appreciation Rights, but instead the number of Shares will be rounded downward to the next whole Share. The Committee shall specify the date or dates on which the Share Appreciation Rights shall become fully vested, and may specify such conditions to vesting, if any, as it deems appropriate. The vesting conditions, if any, may be based on, among other conditions, a Participant's continued Service or the attainment of Performance Goals.</w:t>
      </w:r>
    </w:p>
    <w:p>
      <w:pPr>
        <w:spacing w:after="0" w:line="164" w:lineRule="exact"/>
        <w:rPr>
          <w:sz w:val="20"/>
          <w:szCs w:val="20"/>
          <w:color w:val="auto"/>
        </w:rPr>
      </w:pPr>
    </w:p>
    <w:p>
      <w:pPr>
        <w:ind w:left="1300" w:hanging="648"/>
        <w:spacing w:after="0"/>
        <w:tabs>
          <w:tab w:leader="none" w:pos="1300"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Limitations</w:t>
      </w:r>
    </w:p>
    <w:p>
      <w:pPr>
        <w:spacing w:after="0" w:line="188" w:lineRule="exact"/>
        <w:rPr>
          <w:sz w:val="20"/>
          <w:szCs w:val="20"/>
          <w:color w:val="auto"/>
        </w:rPr>
      </w:pPr>
    </w:p>
    <w:p>
      <w:pPr>
        <w:ind w:firstLine="644"/>
        <w:spacing w:after="0" w:line="251" w:lineRule="auto"/>
        <w:rPr>
          <w:sz w:val="20"/>
          <w:szCs w:val="20"/>
          <w:color w:val="auto"/>
        </w:rPr>
      </w:pPr>
      <w:r>
        <w:rPr>
          <w:rFonts w:ascii="Times New Roman" w:cs="Times New Roman" w:eastAsia="Times New Roman" w:hAnsi="Times New Roman"/>
          <w:sz w:val="21"/>
          <w:szCs w:val="21"/>
          <w:color w:val="auto"/>
        </w:rPr>
        <w:t>The Committee may impose, in its discretion, such conditions regarding the exercisability of Share Appreciation Rights as it may deem fit, but in no event shall a Share Appreciation Right be exercisable more than ten years after the date it is granted.</w:t>
      </w:r>
    </w:p>
    <w:p>
      <w:pPr>
        <w:spacing w:after="0" w:line="135" w:lineRule="exact"/>
        <w:rPr>
          <w:sz w:val="20"/>
          <w:szCs w:val="20"/>
          <w:color w:val="auto"/>
        </w:rPr>
      </w:pPr>
    </w:p>
    <w:p>
      <w:pPr>
        <w:ind w:left="660" w:hanging="653"/>
        <w:spacing w:after="0"/>
        <w:tabs>
          <w:tab w:leader="none" w:pos="660"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Other Share-Based Awards</w:t>
      </w:r>
    </w:p>
    <w:p>
      <w:pPr>
        <w:spacing w:after="0" w:line="191" w:lineRule="exact"/>
        <w:rPr>
          <w:rFonts w:ascii="Times New Roman" w:cs="Times New Roman" w:eastAsia="Times New Roman" w:hAnsi="Times New Roman"/>
          <w:sz w:val="21"/>
          <w:szCs w:val="21"/>
          <w:color w:val="auto"/>
        </w:rPr>
      </w:pPr>
    </w:p>
    <w:p>
      <w:pPr>
        <w:ind w:left="1300" w:hanging="648"/>
        <w:spacing w:after="0"/>
        <w:tabs>
          <w:tab w:leader="none" w:pos="1300" w:val="left"/>
        </w:tabs>
        <w:numPr>
          <w:ilvl w:val="1"/>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Grants of Other Share-Based Awards and Performance-Based Awards</w:t>
      </w:r>
    </w:p>
    <w:p>
      <w:pPr>
        <w:spacing w:after="0" w:line="188" w:lineRule="exact"/>
        <w:rPr>
          <w:sz w:val="20"/>
          <w:szCs w:val="20"/>
          <w:color w:val="auto"/>
        </w:rPr>
      </w:pPr>
    </w:p>
    <w:p>
      <w:pPr>
        <w:jc w:val="both"/>
        <w:ind w:firstLine="644"/>
        <w:spacing w:after="0" w:line="219" w:lineRule="auto"/>
        <w:rPr>
          <w:sz w:val="20"/>
          <w:szCs w:val="20"/>
          <w:color w:val="auto"/>
        </w:rPr>
      </w:pPr>
      <w:r>
        <w:rPr>
          <w:rFonts w:ascii="Times New Roman" w:cs="Times New Roman" w:eastAsia="Times New Roman" w:hAnsi="Times New Roman"/>
          <w:sz w:val="21"/>
          <w:szCs w:val="21"/>
          <w:color w:val="auto"/>
        </w:rPr>
        <w:t xml:space="preserve">Subject to limitation under Applicable Laws, the Committee is authorized under the Plan to grant Awards (other than Options, Restricted Share Units, Restricted Shares and Share Appreciation Rights) to Employees, Consultants or Directors subject to the terms and conditions set forth in this </w:t>
      </w:r>
      <w:r>
        <w:rPr>
          <w:rFonts w:ascii="Times New Roman" w:cs="Times New Roman" w:eastAsia="Times New Roman" w:hAnsi="Times New Roman"/>
          <w:sz w:val="21"/>
          <w:szCs w:val="21"/>
          <w:u w:val="single" w:color="auto"/>
          <w:color w:val="auto"/>
        </w:rPr>
        <w:t>Section 9</w:t>
      </w:r>
      <w:r>
        <w:rPr>
          <w:rFonts w:ascii="Times New Roman" w:cs="Times New Roman" w:eastAsia="Times New Roman" w:hAnsi="Times New Roman"/>
          <w:sz w:val="21"/>
          <w:szCs w:val="21"/>
          <w:color w:val="auto"/>
        </w:rPr>
        <w:t xml:space="preserve"> and such other terms and conditions as may be specified by the Committee that are not inconsistent with the provisions of the Plan and that, by their terms, involve or might involve the issuance of, consist of, or are denominated in, payable in, valued in whole or in part by reference to, or otherwise relate to, Shares. The Committee may also grant Shares as a bonus, or may grant other Awards in lieu of obligations of the Company or an Affiliate to pay cash or other property under the Plan or other plans or compensatory arrangements. The terms and conditions applicable to such other Awards shall be determined from time to time by the Committee and set forth in an applicable Award Agreement. The Committee may establish one or more separate programs under the Plan for the purpose of issuing particular forms of Awards to one or more classes of Participants on such terms and conditions as determined by the Committee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16</w:t>
      </w:r>
    </w:p>
    <w:p>
      <w:pPr>
        <w:sectPr>
          <w:pgSz w:w="11900" w:h="16838" w:orient="portrait"/>
          <w:cols w:equalWidth="0" w:num="1">
            <w:col w:w="11240"/>
          </w:cols>
          <w:pgMar w:left="320" w:top="1440" w:right="339" w:bottom="1440" w:gutter="0" w:footer="0" w:header="0"/>
        </w:sectPr>
      </w:pPr>
    </w:p>
    <w:bookmarkStart w:id="32" w:name="page33"/>
    <w:bookmarkEnd w:id="32"/>
    <w:p>
      <w:pPr>
        <w:spacing w:after="0" w:line="270" w:lineRule="exact"/>
        <w:rPr>
          <w:sz w:val="20"/>
          <w:szCs w:val="20"/>
          <w:color w:val="auto"/>
        </w:rPr>
      </w:pPr>
    </w:p>
    <w:p>
      <w:pPr>
        <w:ind w:left="1300" w:hanging="648"/>
        <w:spacing w:after="0"/>
        <w:tabs>
          <w:tab w:leader="none" w:pos="1300"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Form of Payment</w:t>
      </w:r>
    </w:p>
    <w:p>
      <w:pPr>
        <w:spacing w:after="0" w:line="188" w:lineRule="exact"/>
        <w:rPr>
          <w:sz w:val="20"/>
          <w:szCs w:val="20"/>
          <w:color w:val="auto"/>
        </w:rPr>
      </w:pPr>
    </w:p>
    <w:p>
      <w:pPr>
        <w:ind w:firstLine="644"/>
        <w:spacing w:after="0" w:line="251" w:lineRule="auto"/>
        <w:rPr>
          <w:sz w:val="20"/>
          <w:szCs w:val="20"/>
          <w:color w:val="auto"/>
        </w:rPr>
      </w:pPr>
      <w:r>
        <w:rPr>
          <w:rFonts w:ascii="Times New Roman" w:cs="Times New Roman" w:eastAsia="Times New Roman" w:hAnsi="Times New Roman"/>
          <w:sz w:val="21"/>
          <w:szCs w:val="21"/>
          <w:color w:val="auto"/>
        </w:rPr>
        <w:t xml:space="preserve">Payments with respect to any Awards granted under this </w:t>
      </w:r>
      <w:r>
        <w:rPr>
          <w:rFonts w:ascii="Times New Roman" w:cs="Times New Roman" w:eastAsia="Times New Roman" w:hAnsi="Times New Roman"/>
          <w:sz w:val="21"/>
          <w:szCs w:val="21"/>
          <w:u w:val="single" w:color="auto"/>
          <w:color w:val="auto"/>
        </w:rPr>
        <w:t>Section 9</w:t>
      </w:r>
      <w:r>
        <w:rPr>
          <w:rFonts w:ascii="Times New Roman" w:cs="Times New Roman" w:eastAsia="Times New Roman" w:hAnsi="Times New Roman"/>
          <w:sz w:val="21"/>
          <w:szCs w:val="21"/>
          <w:color w:val="auto"/>
        </w:rPr>
        <w:t xml:space="preserve"> shall be made in cash or cash equivalent, in Shares or any combination of the foregoing, as determined by the Committee.</w:t>
      </w:r>
    </w:p>
    <w:p>
      <w:pPr>
        <w:spacing w:after="0" w:line="139" w:lineRule="exact"/>
        <w:rPr>
          <w:sz w:val="20"/>
          <w:szCs w:val="20"/>
          <w:color w:val="auto"/>
        </w:rPr>
      </w:pPr>
    </w:p>
    <w:p>
      <w:pPr>
        <w:ind w:left="1300" w:hanging="648"/>
        <w:spacing w:after="0"/>
        <w:tabs>
          <w:tab w:leader="none" w:pos="1300"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Vesting Conditions</w:t>
      </w:r>
    </w:p>
    <w:p>
      <w:pPr>
        <w:spacing w:after="0" w:line="188" w:lineRule="exact"/>
        <w:rPr>
          <w:sz w:val="20"/>
          <w:szCs w:val="20"/>
          <w:color w:val="auto"/>
        </w:rPr>
      </w:pPr>
    </w:p>
    <w:p>
      <w:pPr>
        <w:jc w:val="both"/>
        <w:ind w:firstLine="644"/>
        <w:spacing w:after="0" w:line="234" w:lineRule="auto"/>
        <w:rPr>
          <w:sz w:val="20"/>
          <w:szCs w:val="20"/>
          <w:color w:val="auto"/>
        </w:rPr>
      </w:pPr>
      <w:r>
        <w:rPr>
          <w:rFonts w:ascii="Times New Roman" w:cs="Times New Roman" w:eastAsia="Times New Roman" w:hAnsi="Times New Roman"/>
          <w:sz w:val="21"/>
          <w:szCs w:val="21"/>
          <w:color w:val="auto"/>
        </w:rPr>
        <w:t xml:space="preserve">The Committee shall specify the date or dates on which the Awards granted pursuant to this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9 shall become fully vested and nonforfeitable, and may specify such conditions to vesting as it deems appropriate. The vesting conditions may be based on, among other vesting conditions, a Participant's continued Service or the attainment of Performance Goals.</w:t>
      </w:r>
    </w:p>
    <w:p>
      <w:pPr>
        <w:spacing w:after="0" w:line="153" w:lineRule="exact"/>
        <w:rPr>
          <w:sz w:val="20"/>
          <w:szCs w:val="20"/>
          <w:color w:val="auto"/>
        </w:rPr>
      </w:pPr>
    </w:p>
    <w:p>
      <w:pPr>
        <w:ind w:left="1300" w:hanging="648"/>
        <w:spacing w:after="0"/>
        <w:tabs>
          <w:tab w:leader="none" w:pos="1300"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w:t>
      </w:r>
    </w:p>
    <w:p>
      <w:pPr>
        <w:spacing w:after="0" w:line="188" w:lineRule="exact"/>
        <w:rPr>
          <w:sz w:val="20"/>
          <w:szCs w:val="20"/>
          <w:color w:val="auto"/>
        </w:rPr>
      </w:pPr>
    </w:p>
    <w:p>
      <w:pPr>
        <w:ind w:firstLine="644"/>
        <w:spacing w:after="0" w:line="251" w:lineRule="auto"/>
        <w:rPr>
          <w:sz w:val="20"/>
          <w:szCs w:val="20"/>
          <w:color w:val="auto"/>
        </w:rPr>
      </w:pPr>
      <w:r>
        <w:rPr>
          <w:rFonts w:ascii="Times New Roman" w:cs="Times New Roman" w:eastAsia="Times New Roman" w:hAnsi="Times New Roman"/>
          <w:sz w:val="21"/>
          <w:szCs w:val="21"/>
          <w:color w:val="auto"/>
        </w:rPr>
        <w:t xml:space="preserve">Except as otherwise provided herein, the term of any Award granted pursuant to this </w:t>
      </w:r>
      <w:r>
        <w:rPr>
          <w:rFonts w:ascii="Times New Roman" w:cs="Times New Roman" w:eastAsia="Times New Roman" w:hAnsi="Times New Roman"/>
          <w:sz w:val="21"/>
          <w:szCs w:val="21"/>
          <w:u w:val="single" w:color="auto"/>
          <w:color w:val="auto"/>
        </w:rPr>
        <w:t>Section 9</w:t>
      </w:r>
      <w:r>
        <w:rPr>
          <w:rFonts w:ascii="Times New Roman" w:cs="Times New Roman" w:eastAsia="Times New Roman" w:hAnsi="Times New Roman"/>
          <w:sz w:val="21"/>
          <w:szCs w:val="21"/>
          <w:color w:val="auto"/>
        </w:rPr>
        <w:t xml:space="preserve"> shall be set by the Committee in its discretion; provided, that the term of any Award granted pursuant to this </w:t>
      </w:r>
      <w:r>
        <w:rPr>
          <w:rFonts w:ascii="Times New Roman" w:cs="Times New Roman" w:eastAsia="Times New Roman" w:hAnsi="Times New Roman"/>
          <w:sz w:val="21"/>
          <w:szCs w:val="21"/>
          <w:u w:val="single" w:color="auto"/>
          <w:color w:val="auto"/>
        </w:rPr>
        <w:t>Section 9</w:t>
      </w:r>
      <w:r>
        <w:rPr>
          <w:rFonts w:ascii="Times New Roman" w:cs="Times New Roman" w:eastAsia="Times New Roman" w:hAnsi="Times New Roman"/>
          <w:sz w:val="21"/>
          <w:szCs w:val="21"/>
          <w:color w:val="auto"/>
        </w:rPr>
        <w:t xml:space="preserve"> shall not exceed 10 years.</w:t>
      </w:r>
    </w:p>
    <w:p>
      <w:pPr>
        <w:spacing w:after="0" w:line="135" w:lineRule="exact"/>
        <w:rPr>
          <w:sz w:val="20"/>
          <w:szCs w:val="20"/>
          <w:color w:val="auto"/>
        </w:rPr>
      </w:pPr>
    </w:p>
    <w:p>
      <w:pPr>
        <w:ind w:left="660" w:hanging="653"/>
        <w:spacing w:after="0"/>
        <w:tabs>
          <w:tab w:leader="none" w:pos="660"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Provisions Applicable to All Awards</w:t>
      </w:r>
    </w:p>
    <w:p>
      <w:pPr>
        <w:spacing w:after="0" w:line="191" w:lineRule="exact"/>
        <w:rPr>
          <w:rFonts w:ascii="Times New Roman" w:cs="Times New Roman" w:eastAsia="Times New Roman" w:hAnsi="Times New Roman"/>
          <w:sz w:val="21"/>
          <w:szCs w:val="21"/>
          <w:color w:val="auto"/>
        </w:rPr>
      </w:pPr>
    </w:p>
    <w:p>
      <w:pPr>
        <w:ind w:left="1300" w:hanging="648"/>
        <w:spacing w:after="0"/>
        <w:tabs>
          <w:tab w:leader="none" w:pos="1300" w:val="left"/>
        </w:tabs>
        <w:numPr>
          <w:ilvl w:val="1"/>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Award Agreement</w:t>
      </w:r>
    </w:p>
    <w:p>
      <w:pPr>
        <w:spacing w:after="0" w:line="188" w:lineRule="exact"/>
        <w:rPr>
          <w:sz w:val="20"/>
          <w:szCs w:val="20"/>
          <w:color w:val="auto"/>
        </w:rPr>
      </w:pPr>
    </w:p>
    <w:p>
      <w:pPr>
        <w:jc w:val="both"/>
        <w:ind w:firstLine="644"/>
        <w:spacing w:after="0" w:line="229" w:lineRule="auto"/>
        <w:rPr>
          <w:sz w:val="20"/>
          <w:szCs w:val="20"/>
          <w:color w:val="auto"/>
        </w:rPr>
      </w:pPr>
      <w:r>
        <w:rPr>
          <w:rFonts w:ascii="Times New Roman" w:cs="Times New Roman" w:eastAsia="Times New Roman" w:hAnsi="Times New Roman"/>
          <w:sz w:val="21"/>
          <w:szCs w:val="21"/>
          <w:color w:val="auto"/>
        </w:rPr>
        <w:t>Awards under the Plan shall be evidenced by Award Agreements that set forth the terms, conditions and limitations for each Award, not inconsistent with the Plan, which may include, without limitation, the term of an Award, the provisions applicable in the event the Participant's Service terminates, and the Company's authority to unilaterally or bilaterally amend, modify, suspend, cancel or rescind an Award.</w:t>
      </w:r>
    </w:p>
    <w:p>
      <w:pPr>
        <w:spacing w:after="0" w:line="152" w:lineRule="exact"/>
        <w:rPr>
          <w:sz w:val="20"/>
          <w:szCs w:val="20"/>
          <w:color w:val="auto"/>
        </w:rPr>
      </w:pPr>
    </w:p>
    <w:p>
      <w:pPr>
        <w:ind w:left="1300" w:hanging="648"/>
        <w:spacing w:after="0"/>
        <w:tabs>
          <w:tab w:leader="none" w:pos="1300"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Dividend Equivalent Rights</w:t>
      </w:r>
    </w:p>
    <w:p>
      <w:pPr>
        <w:spacing w:after="0" w:line="187" w:lineRule="exact"/>
        <w:rPr>
          <w:rFonts w:ascii="Times New Roman" w:cs="Times New Roman" w:eastAsia="Times New Roman" w:hAnsi="Times New Roman"/>
          <w:sz w:val="21"/>
          <w:szCs w:val="21"/>
          <w:color w:val="auto"/>
        </w:rPr>
      </w:pPr>
    </w:p>
    <w:p>
      <w:pPr>
        <w:jc w:val="both"/>
        <w:ind w:left="660" w:firstLine="636"/>
        <w:spacing w:after="0" w:line="234" w:lineRule="auto"/>
        <w:tabs>
          <w:tab w:leader="none" w:pos="1936" w:val="left"/>
        </w:tabs>
        <w:numPr>
          <w:ilvl w:val="1"/>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Committee in its sole discretion may provide a Participant as part of a Restricted Share Unit or Other Share-Based Award that is a Full Value Award with Dividend Equivalent Rights, on such terms and conditions as may be determined by the Committee in its sole discretion.</w:t>
      </w:r>
    </w:p>
    <w:p>
      <w:pPr>
        <w:spacing w:after="0" w:line="149" w:lineRule="exact"/>
        <w:rPr>
          <w:rFonts w:ascii="Times New Roman" w:cs="Times New Roman" w:eastAsia="Times New Roman" w:hAnsi="Times New Roman"/>
          <w:sz w:val="21"/>
          <w:szCs w:val="21"/>
          <w:color w:val="auto"/>
        </w:rPr>
      </w:pPr>
    </w:p>
    <w:p>
      <w:pPr>
        <w:ind w:left="1940" w:hanging="644"/>
        <w:spacing w:after="0"/>
        <w:tabs>
          <w:tab w:leader="none" w:pos="1940" w:val="left"/>
        </w:tabs>
        <w:numPr>
          <w:ilvl w:val="1"/>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Dividend Equivalent Rights provided in connection with an Award that is subject to vesting shall either</w:t>
      </w:r>
    </w:p>
    <w:p>
      <w:pPr>
        <w:jc w:val="both"/>
        <w:ind w:left="660" w:hanging="8"/>
        <w:spacing w:after="0" w:line="226" w:lineRule="auto"/>
        <w:tabs>
          <w:tab w:leader="none" w:pos="918" w:val="left"/>
        </w:tabs>
        <w:numPr>
          <w:ilvl w:val="0"/>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 be paid or credited or (ii) be accumulated and subject to vesting restrictions applicable to the underlying Award. For Restricted Shares subject to vesting, dividends shall be accumulated and subject to any restrictions and risk of forfeiture to which the underlying Restricted Share is subject.</w:t>
      </w:r>
    </w:p>
    <w:p>
      <w:pPr>
        <w:spacing w:after="0" w:line="152" w:lineRule="exact"/>
        <w:rPr>
          <w:rFonts w:ascii="Times New Roman" w:cs="Times New Roman" w:eastAsia="Times New Roman" w:hAnsi="Times New Roman"/>
          <w:sz w:val="21"/>
          <w:szCs w:val="21"/>
          <w:color w:val="auto"/>
        </w:rPr>
      </w:pPr>
    </w:p>
    <w:p>
      <w:pPr>
        <w:ind w:left="1300" w:hanging="648"/>
        <w:spacing w:after="0"/>
        <w:tabs>
          <w:tab w:leader="none" w:pos="1300" w:val="left"/>
        </w:tabs>
        <w:numPr>
          <w:ilvl w:val="0"/>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Limits on Transfer</w:t>
      </w:r>
    </w:p>
    <w:p>
      <w:pPr>
        <w:spacing w:after="0" w:line="188" w:lineRule="exact"/>
        <w:rPr>
          <w:sz w:val="20"/>
          <w:szCs w:val="20"/>
          <w:color w:val="auto"/>
        </w:rPr>
      </w:pPr>
    </w:p>
    <w:p>
      <w:pPr>
        <w:jc w:val="both"/>
        <w:ind w:firstLine="644"/>
        <w:spacing w:after="0" w:line="226" w:lineRule="auto"/>
        <w:rPr>
          <w:sz w:val="20"/>
          <w:szCs w:val="20"/>
          <w:color w:val="auto"/>
        </w:rPr>
      </w:pPr>
      <w:r>
        <w:rPr>
          <w:rFonts w:ascii="Times New Roman" w:cs="Times New Roman" w:eastAsia="Times New Roman" w:hAnsi="Times New Roman"/>
          <w:sz w:val="21"/>
          <w:szCs w:val="21"/>
          <w:color w:val="auto"/>
        </w:rPr>
        <w:t>Each Award shall be exercisable only by a Participant during the Participant's lifetime, or, if permissible under Applicable Laws, by the Participant's legal guardian or representative. No Award may be assigned, alienated, pledged, attached, sold or otherwise transferred or encumbered by a Participant other than by will or by the laws of descent and distribution and any such purported assignment, alienation, pledge, attachment, sale, transfer or encumbrance shall be void and unenforceable against the Company or an Affiliate.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17</w:t>
      </w:r>
    </w:p>
    <w:p>
      <w:pPr>
        <w:sectPr>
          <w:pgSz w:w="11900" w:h="16838" w:orient="portrait"/>
          <w:cols w:equalWidth="0" w:num="1">
            <w:col w:w="11240"/>
          </w:cols>
          <w:pgMar w:left="320" w:top="1440" w:right="339" w:bottom="1440" w:gutter="0" w:footer="0" w:header="0"/>
        </w:sectPr>
      </w:pPr>
    </w:p>
    <w:bookmarkStart w:id="33" w:name="page34"/>
    <w:bookmarkEnd w:id="33"/>
    <w:p>
      <w:pPr>
        <w:spacing w:after="0" w:line="270" w:lineRule="exact"/>
        <w:rPr>
          <w:sz w:val="20"/>
          <w:szCs w:val="20"/>
          <w:color w:val="auto"/>
        </w:rPr>
      </w:pPr>
    </w:p>
    <w:p>
      <w:pPr>
        <w:jc w:val="both"/>
        <w:ind w:firstLine="644"/>
        <w:spacing w:after="0" w:line="224" w:lineRule="auto"/>
        <w:rPr>
          <w:sz w:val="20"/>
          <w:szCs w:val="20"/>
          <w:color w:val="auto"/>
        </w:rPr>
      </w:pPr>
      <w:r>
        <w:rPr>
          <w:rFonts w:ascii="Times New Roman" w:cs="Times New Roman" w:eastAsia="Times New Roman" w:hAnsi="Times New Roman"/>
          <w:sz w:val="21"/>
          <w:szCs w:val="21"/>
          <w:color w:val="auto"/>
        </w:rPr>
        <w:t>Notwithstanding the foregoing, the Committee may, in its sole discretion, permit Awards (other than ISOs) to be transferred by a Participant, without consideration, in connection with estate planning or charitable transfers, subject to compliance with Applicable Laws and such rules as the Committee may adopt consistent with any applicable Award Agreement to preserve the purposes of the Plan; provided, that the Participant gives the Committee advance written notice describing the terms and conditions of the proposed transfer and the Committee notifies the Participant in writing that such a transfer would comply with the requirements of the Plan.</w:t>
      </w:r>
    </w:p>
    <w:p>
      <w:pPr>
        <w:spacing w:after="0" w:line="151" w:lineRule="exact"/>
        <w:rPr>
          <w:sz w:val="20"/>
          <w:szCs w:val="20"/>
          <w:color w:val="auto"/>
        </w:rPr>
      </w:pPr>
    </w:p>
    <w:p>
      <w:pPr>
        <w:ind w:left="1300" w:hanging="648"/>
        <w:spacing w:after="0"/>
        <w:tabs>
          <w:tab w:leader="none" w:pos="1300" w:val="left"/>
        </w:tabs>
        <w:numPr>
          <w:ilvl w:val="0"/>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Minimum Vesting</w:t>
      </w:r>
    </w:p>
    <w:p>
      <w:pPr>
        <w:spacing w:after="0" w:line="188" w:lineRule="exact"/>
        <w:rPr>
          <w:sz w:val="20"/>
          <w:szCs w:val="20"/>
          <w:color w:val="auto"/>
        </w:rPr>
      </w:pPr>
    </w:p>
    <w:p>
      <w:pPr>
        <w:jc w:val="both"/>
        <w:ind w:firstLine="644"/>
        <w:spacing w:after="0" w:line="224" w:lineRule="auto"/>
        <w:rPr>
          <w:sz w:val="20"/>
          <w:szCs w:val="20"/>
          <w:color w:val="auto"/>
        </w:rPr>
      </w:pPr>
      <w:r>
        <w:rPr>
          <w:rFonts w:ascii="Times New Roman" w:cs="Times New Roman" w:eastAsia="Times New Roman" w:hAnsi="Times New Roman"/>
          <w:sz w:val="21"/>
          <w:szCs w:val="21"/>
          <w:color w:val="auto"/>
        </w:rPr>
        <w:t xml:space="preserve">Awards granted under the Plan may not vest or be settled, or become exercisable, prior to the one-year anniversary of the date of grant, except that the Committee may provide that Awards vest or be settled, or become exercisable, prior to such date in the event of the Participant's death or disability or pursuant to </w:t>
      </w:r>
      <w:r>
        <w:rPr>
          <w:rFonts w:ascii="Times New Roman" w:cs="Times New Roman" w:eastAsia="Times New Roman" w:hAnsi="Times New Roman"/>
          <w:sz w:val="21"/>
          <w:szCs w:val="21"/>
          <w:u w:val="single" w:color="auto"/>
          <w:color w:val="auto"/>
        </w:rPr>
        <w:t>Section 11</w:t>
      </w:r>
      <w:r>
        <w:rPr>
          <w:rFonts w:ascii="Times New Roman" w:cs="Times New Roman" w:eastAsia="Times New Roman" w:hAnsi="Times New Roman"/>
          <w:sz w:val="21"/>
          <w:szCs w:val="21"/>
          <w:color w:val="auto"/>
        </w:rPr>
        <w:t xml:space="preserve"> hereof. Notwithstanding the foregoing, up to 5% of the aggregate number of Shares authorized for issuance under this Plan (as described in </w:t>
      </w:r>
      <w:r>
        <w:rPr>
          <w:rFonts w:ascii="Times New Roman" w:cs="Times New Roman" w:eastAsia="Times New Roman" w:hAnsi="Times New Roman"/>
          <w:sz w:val="21"/>
          <w:szCs w:val="21"/>
          <w:u w:val="single" w:color="auto"/>
          <w:color w:val="auto"/>
        </w:rPr>
        <w:t>Section 3</w:t>
      </w:r>
      <w:r>
        <w:rPr>
          <w:rFonts w:ascii="Times New Roman" w:cs="Times New Roman" w:eastAsia="Times New Roman" w:hAnsi="Times New Roman"/>
          <w:sz w:val="21"/>
          <w:szCs w:val="21"/>
          <w:color w:val="auto"/>
        </w:rPr>
        <w:t>) may be issued pursuant to Awards subject to any or no vesting conditions (including with regard to such one-year vesting limitation described in the preceding sentence), as the Committee determines appropriate.</w:t>
      </w:r>
    </w:p>
    <w:p>
      <w:pPr>
        <w:spacing w:after="0" w:line="151" w:lineRule="exact"/>
        <w:rPr>
          <w:sz w:val="20"/>
          <w:szCs w:val="20"/>
          <w:color w:val="auto"/>
        </w:rPr>
      </w:pPr>
    </w:p>
    <w:p>
      <w:pPr>
        <w:ind w:left="1300" w:hanging="648"/>
        <w:spacing w:after="0"/>
        <w:tabs>
          <w:tab w:leader="none" w:pos="1300"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Acknowledgement &amp; Acceptance within 30 days</w:t>
      </w:r>
    </w:p>
    <w:p>
      <w:pPr>
        <w:spacing w:after="0" w:line="188" w:lineRule="exact"/>
        <w:rPr>
          <w:sz w:val="20"/>
          <w:szCs w:val="20"/>
          <w:color w:val="auto"/>
        </w:rPr>
      </w:pPr>
    </w:p>
    <w:p>
      <w:pPr>
        <w:jc w:val="both"/>
        <w:ind w:firstLine="644"/>
        <w:spacing w:after="0" w:line="234" w:lineRule="auto"/>
        <w:rPr>
          <w:sz w:val="20"/>
          <w:szCs w:val="20"/>
          <w:color w:val="auto"/>
        </w:rPr>
      </w:pPr>
      <w:r>
        <w:rPr>
          <w:rFonts w:ascii="Times New Roman" w:cs="Times New Roman" w:eastAsia="Times New Roman" w:hAnsi="Times New Roman"/>
          <w:sz w:val="21"/>
          <w:szCs w:val="21"/>
          <w:color w:val="auto"/>
        </w:rPr>
        <w:t>Each Award is subject to acceptance, within 30 days of delivery of the Award Agreement, by electronic acceptance through the Company’s share plan administrator, or by signed documents delivered to the Company. Failure to accept the Award within 30 days of delivery of the Award Agreement may result in cancellation of the Award.</w:t>
      </w:r>
    </w:p>
    <w:p>
      <w:pPr>
        <w:spacing w:after="0" w:line="153" w:lineRule="exact"/>
        <w:rPr>
          <w:sz w:val="20"/>
          <w:szCs w:val="20"/>
          <w:color w:val="auto"/>
        </w:rPr>
      </w:pPr>
    </w:p>
    <w:p>
      <w:pPr>
        <w:ind w:left="1300" w:hanging="648"/>
        <w:spacing w:after="0"/>
        <w:tabs>
          <w:tab w:leader="none" w:pos="1300" w:val="left"/>
        </w:tabs>
        <w:numPr>
          <w:ilvl w:val="0"/>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Paperless Administration</w:t>
      </w:r>
    </w:p>
    <w:p>
      <w:pPr>
        <w:spacing w:after="0" w:line="188" w:lineRule="exact"/>
        <w:rPr>
          <w:sz w:val="20"/>
          <w:szCs w:val="20"/>
          <w:color w:val="auto"/>
        </w:rPr>
      </w:pPr>
    </w:p>
    <w:p>
      <w:pPr>
        <w:jc w:val="both"/>
        <w:ind w:firstLine="644"/>
        <w:spacing w:after="0" w:line="229" w:lineRule="auto"/>
        <w:rPr>
          <w:sz w:val="20"/>
          <w:szCs w:val="20"/>
          <w:color w:val="auto"/>
        </w:rPr>
      </w:pPr>
      <w:r>
        <w:rPr>
          <w:rFonts w:ascii="Times New Roman" w:cs="Times New Roman" w:eastAsia="Times New Roman" w:hAnsi="Times New Roman"/>
          <w:sz w:val="21"/>
          <w:szCs w:val="21"/>
          <w:color w:val="auto"/>
        </w:rPr>
        <w:t>In the event that the Company establishes, for itself or using the services of a third party, an automated system for the documentation, granting or exercise of Awards, such as a system using an internet website, intranet or interactive voice response, then the paperless documentation, granting or exercise of Awards by a Participant may be permitted through the use of such an automated system.</w:t>
      </w:r>
    </w:p>
    <w:p>
      <w:pPr>
        <w:spacing w:after="0" w:line="152" w:lineRule="exact"/>
        <w:rPr>
          <w:sz w:val="20"/>
          <w:szCs w:val="20"/>
          <w:color w:val="auto"/>
        </w:rPr>
      </w:pPr>
    </w:p>
    <w:p>
      <w:pPr>
        <w:ind w:left="1300" w:hanging="648"/>
        <w:spacing w:after="0"/>
        <w:tabs>
          <w:tab w:leader="none" w:pos="1300" w:val="left"/>
        </w:tabs>
        <w:numPr>
          <w:ilvl w:val="0"/>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Nominal Value</w:t>
      </w:r>
    </w:p>
    <w:p>
      <w:pPr>
        <w:spacing w:after="0" w:line="188" w:lineRule="exact"/>
        <w:rPr>
          <w:sz w:val="20"/>
          <w:szCs w:val="20"/>
          <w:color w:val="auto"/>
        </w:rPr>
      </w:pPr>
    </w:p>
    <w:p>
      <w:pPr>
        <w:ind w:firstLine="644"/>
        <w:spacing w:after="0" w:line="251" w:lineRule="auto"/>
        <w:rPr>
          <w:sz w:val="20"/>
          <w:szCs w:val="20"/>
          <w:color w:val="auto"/>
        </w:rPr>
      </w:pPr>
      <w:r>
        <w:rPr>
          <w:rFonts w:ascii="Times New Roman" w:cs="Times New Roman" w:eastAsia="Times New Roman" w:hAnsi="Times New Roman"/>
          <w:sz w:val="21"/>
          <w:szCs w:val="21"/>
          <w:color w:val="auto"/>
        </w:rPr>
        <w:t>Notwithstanding any other provision in this Plan, no Share shall be allotted or issued pursuant to the exercise of vesting of an Award, or as an Award, unless it is fully paid-up to at least its nominal value.</w:t>
      </w:r>
    </w:p>
    <w:p>
      <w:pPr>
        <w:spacing w:after="0" w:line="139" w:lineRule="exact"/>
        <w:rPr>
          <w:sz w:val="20"/>
          <w:szCs w:val="20"/>
          <w:color w:val="auto"/>
        </w:rPr>
      </w:pPr>
    </w:p>
    <w:p>
      <w:pPr>
        <w:ind w:left="1300" w:hanging="648"/>
        <w:spacing w:after="0"/>
        <w:tabs>
          <w:tab w:leader="none" w:pos="1300" w:val="left"/>
        </w:tabs>
        <w:numPr>
          <w:ilvl w:val="0"/>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Detrimental Activity</w:t>
      </w:r>
    </w:p>
    <w:p>
      <w:pPr>
        <w:spacing w:after="0" w:line="188" w:lineRule="exact"/>
        <w:rPr>
          <w:sz w:val="20"/>
          <w:szCs w:val="20"/>
          <w:color w:val="auto"/>
        </w:rPr>
      </w:pPr>
    </w:p>
    <w:p>
      <w:pPr>
        <w:jc w:val="both"/>
        <w:ind w:firstLine="644"/>
        <w:spacing w:after="0" w:line="226" w:lineRule="auto"/>
        <w:rPr>
          <w:sz w:val="20"/>
          <w:szCs w:val="20"/>
          <w:color w:val="auto"/>
        </w:rPr>
      </w:pPr>
      <w:r>
        <w:rPr>
          <w:rFonts w:ascii="Times New Roman" w:cs="Times New Roman" w:eastAsia="Times New Roman" w:hAnsi="Times New Roman"/>
          <w:sz w:val="21"/>
          <w:szCs w:val="21"/>
          <w:color w:val="auto"/>
        </w:rPr>
        <w:t>Notwithstanding anything to the contrary contained herein or in any Award Agreement, if a Participant has engaged in any Detrimental Activity or the Participant's employment or service with any member of the Weatherford Group is terminated for Cause, as determined by the Committee in good faith in its reasonable discretion, the Committee may provide for one or more of the following: (1) cancellation of any or all of such Participant's outstanding Awards; or (2) forfeiture by the Participant of any gain realized on the vesting, settlement or exercise of Awards, and to repay any such gain to promptly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18</w:t>
      </w:r>
    </w:p>
    <w:p>
      <w:pPr>
        <w:sectPr>
          <w:pgSz w:w="11900" w:h="16838" w:orient="portrait"/>
          <w:cols w:equalWidth="0" w:num="1">
            <w:col w:w="11240"/>
          </w:cols>
          <w:pgMar w:left="320" w:top="1440" w:right="339" w:bottom="1440" w:gutter="0" w:footer="0" w:header="0"/>
        </w:sectPr>
      </w:pPr>
    </w:p>
    <w:bookmarkStart w:id="34" w:name="page35"/>
    <w:bookmarkEnd w:id="34"/>
    <w:p>
      <w:pPr>
        <w:spacing w:after="0" w:line="270" w:lineRule="exact"/>
        <w:rPr>
          <w:sz w:val="20"/>
          <w:szCs w:val="20"/>
          <w:color w:val="auto"/>
        </w:rPr>
      </w:pPr>
    </w:p>
    <w:p>
      <w:pPr>
        <w:ind w:left="1280" w:hanging="628"/>
        <w:spacing w:after="0"/>
        <w:tabs>
          <w:tab w:leader="none" w:pos="1280"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Restrictive Covenants</w:t>
      </w:r>
    </w:p>
    <w:p>
      <w:pPr>
        <w:spacing w:after="0" w:line="188" w:lineRule="exact"/>
        <w:rPr>
          <w:sz w:val="20"/>
          <w:szCs w:val="20"/>
          <w:color w:val="auto"/>
        </w:rPr>
      </w:pPr>
    </w:p>
    <w:p>
      <w:pPr>
        <w:jc w:val="both"/>
        <w:ind w:firstLine="644"/>
        <w:spacing w:after="0" w:line="233" w:lineRule="auto"/>
        <w:rPr>
          <w:sz w:val="20"/>
          <w:szCs w:val="20"/>
          <w:color w:val="auto"/>
        </w:rPr>
      </w:pPr>
      <w:r>
        <w:rPr>
          <w:rFonts w:ascii="Times New Roman" w:cs="Times New Roman" w:eastAsia="Times New Roman" w:hAnsi="Times New Roman"/>
          <w:sz w:val="21"/>
          <w:szCs w:val="21"/>
          <w:color w:val="auto"/>
        </w:rPr>
        <w:t>The Committee may impose on any Award any restrictive covenants, including, but not limited to, any noncompetition, non-solicitation, confidentiality, and non-disparagement covenants, as it deems necessary or appropriate in its sole discretion. In addition, by accepting an Award under the Plan, a Participant shall thereby be deemed to have acknowledged and consented to not, without authorization from the Company, use, disclose or disseminate Confidential Information or Trade Secrets pertaining to the business of any member of the Weatherford Group; provided, however, that the activity described in this sentence does not apply to (i) any Confidential Information or Trade Secrets which have become generally known to competitors of any member of the Weatherford Group through no act or omission by the Participant or (ii) a Participant's communications that are required by law or judicial process (e.g., subpoena). Further, the preceding sentence does not preclude a Participant from communicating, cooperating or filing a complaint with any U.S. federal, foreign, state or local governmental or law enforcement branch, agency or entity (collectively, a “</w:t>
      </w:r>
      <w:r>
        <w:rPr>
          <w:rFonts w:ascii="Times New Roman" w:cs="Times New Roman" w:eastAsia="Times New Roman" w:hAnsi="Times New Roman"/>
          <w:sz w:val="21"/>
          <w:szCs w:val="21"/>
          <w:u w:val="single" w:color="auto"/>
          <w:color w:val="auto"/>
        </w:rPr>
        <w:t>Governmental Entity</w:t>
      </w:r>
      <w:r>
        <w:rPr>
          <w:rFonts w:ascii="Times New Roman" w:cs="Times New Roman" w:eastAsia="Times New Roman" w:hAnsi="Times New Roman"/>
          <w:sz w:val="21"/>
          <w:szCs w:val="21"/>
          <w:color w:val="auto"/>
        </w:rPr>
        <w:t>”) with respect to possible violations of any U.S. federal, foreign, state or local law or regulation, or otherwise making disclosures to any Governmental Entity, in each case, that are protected under the whistleblower provisions of any such law or regulation, provided that, in each case, such communications and disclosures are consistent with applicable law and provided further that under no circumstance is the Participant authorized to disclose any information covered by the Weatherford Group's attorney-client privilege or attorney work product or Trade Secrets without prior written consent of the Board or its designee.</w:t>
      </w:r>
    </w:p>
    <w:p>
      <w:pPr>
        <w:spacing w:after="0" w:line="154" w:lineRule="exact"/>
        <w:rPr>
          <w:sz w:val="20"/>
          <w:szCs w:val="20"/>
          <w:color w:val="auto"/>
        </w:rPr>
      </w:pPr>
    </w:p>
    <w:p>
      <w:pPr>
        <w:jc w:val="both"/>
        <w:ind w:firstLine="644"/>
        <w:spacing w:after="0" w:line="224" w:lineRule="auto"/>
        <w:rPr>
          <w:sz w:val="20"/>
          <w:szCs w:val="20"/>
          <w:color w:val="auto"/>
        </w:rPr>
      </w:pPr>
      <w:r>
        <w:rPr>
          <w:rFonts w:ascii="Times New Roman" w:cs="Times New Roman" w:eastAsia="Times New Roman" w:hAnsi="Times New Roman"/>
          <w:sz w:val="21"/>
          <w:szCs w:val="21"/>
          <w:color w:val="auto"/>
        </w:rPr>
        <w:t>Notwithstanding anything herein to the contrary, in the event of the Participant's breach of any restrictive covenant, including, but not limited to, any non-competition, non-solicitation, confidentiality, and non-disparagement covenants, the Participant has agreed to or is bound by with respect to the Company or any Affiliate, the Award held by the Participant shall be forfeited effective as of the date of such breach in its entirety (whether or not vested), and the Participant shall have no further rights hereunder or thereunder, including, but not limited to, any rights under the Participant's Award Agreement and any rights to any exercise, vesting or settlement in respect of the Award.</w:t>
      </w:r>
    </w:p>
    <w:p>
      <w:pPr>
        <w:spacing w:after="0" w:line="151" w:lineRule="exact"/>
        <w:rPr>
          <w:sz w:val="20"/>
          <w:szCs w:val="20"/>
          <w:color w:val="auto"/>
        </w:rPr>
      </w:pPr>
    </w:p>
    <w:p>
      <w:pPr>
        <w:ind w:left="1280" w:hanging="628"/>
        <w:spacing w:after="0"/>
        <w:tabs>
          <w:tab w:leader="none" w:pos="1280"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Confidentiality</w:t>
      </w:r>
    </w:p>
    <w:p>
      <w:pPr>
        <w:spacing w:after="0" w:line="188" w:lineRule="exact"/>
        <w:rPr>
          <w:sz w:val="20"/>
          <w:szCs w:val="20"/>
          <w:color w:val="auto"/>
        </w:rPr>
      </w:pPr>
    </w:p>
    <w:p>
      <w:pPr>
        <w:jc w:val="both"/>
        <w:ind w:firstLine="322"/>
        <w:spacing w:after="0" w:line="226" w:lineRule="auto"/>
        <w:rPr>
          <w:sz w:val="20"/>
          <w:szCs w:val="20"/>
          <w:color w:val="auto"/>
        </w:rPr>
      </w:pPr>
      <w:r>
        <w:rPr>
          <w:rFonts w:ascii="Times New Roman" w:cs="Times New Roman" w:eastAsia="Times New Roman" w:hAnsi="Times New Roman"/>
          <w:sz w:val="21"/>
          <w:szCs w:val="21"/>
          <w:color w:val="auto"/>
        </w:rPr>
        <w:t>The Participant shall keep strictly confidential and not disclose to any Person the fact that the Participant has been granted an Award or any terms of the applicable Award Agreement; provided, however, that the Participant may disclose the fact that the Participant has been granted an Award and the terms of the applicable Award Agreement to the Participant’s attorney, accountant, spouse or those employees of the Company or its Affiliates who are or will be involved in administering and implementing the Award.</w:t>
      </w:r>
    </w:p>
    <w:p>
      <w:pPr>
        <w:spacing w:after="0" w:line="151" w:lineRule="exact"/>
        <w:rPr>
          <w:sz w:val="20"/>
          <w:szCs w:val="20"/>
          <w:color w:val="auto"/>
        </w:rPr>
      </w:pPr>
    </w:p>
    <w:p>
      <w:pPr>
        <w:ind w:left="1300" w:hanging="648"/>
        <w:spacing w:after="0"/>
        <w:tabs>
          <w:tab w:leader="none" w:pos="1300"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Dividends; Rights as Shareholder</w:t>
      </w:r>
    </w:p>
    <w:p>
      <w:pPr>
        <w:spacing w:after="0" w:line="188" w:lineRule="exact"/>
        <w:rPr>
          <w:sz w:val="20"/>
          <w:szCs w:val="20"/>
          <w:color w:val="auto"/>
        </w:rPr>
      </w:pPr>
    </w:p>
    <w:p>
      <w:pPr>
        <w:jc w:val="both"/>
        <w:ind w:firstLine="644"/>
        <w:spacing w:after="0"/>
        <w:rPr>
          <w:sz w:val="20"/>
          <w:szCs w:val="20"/>
          <w:color w:val="auto"/>
        </w:rPr>
      </w:pPr>
      <w:r>
        <w:rPr>
          <w:rFonts w:ascii="Times New Roman" w:cs="Times New Roman" w:eastAsia="Times New Roman" w:hAnsi="Times New Roman"/>
          <w:sz w:val="21"/>
          <w:szCs w:val="21"/>
          <w:color w:val="auto"/>
        </w:rPr>
        <w:t>Cash dividends on the number of Shares issuable hereunder shall be credited to a dividend book entry account on behalf of the Participant with respect to each Award granted to the Participant; provided that such cash dividends shall not be deemed to be reinvested in Shares and shall be held uninvested and without interest and paid in cash at the same time that the Shares underlying the Award are delivered to the Participant in accordance with the provisions of the Plan and the Award Agreement. Stock dividends on Shares shall be credited to a dividend book entry account on behalf of the Participant with respect to each Award granted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19</w:t>
      </w:r>
    </w:p>
    <w:p>
      <w:pPr>
        <w:sectPr>
          <w:pgSz w:w="11900" w:h="16838" w:orient="portrait"/>
          <w:cols w:equalWidth="0" w:num="1">
            <w:col w:w="11240"/>
          </w:cols>
          <w:pgMar w:left="320" w:top="1440" w:right="339" w:bottom="1440" w:gutter="0" w:footer="0" w:header="0"/>
        </w:sectPr>
      </w:pPr>
    </w:p>
    <w:bookmarkStart w:id="35" w:name="page36"/>
    <w:bookmarkEnd w:id="35"/>
    <w:p>
      <w:pPr>
        <w:spacing w:after="0" w:line="270"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21"/>
          <w:szCs w:val="21"/>
          <w:color w:val="auto"/>
        </w:rPr>
        <w:t>Participant; provided that such stock dividends shall be paid in Shares at the same time that the Shares underlying Award are delivered to the Participant in accordance with the provisions of the Plan and the Award Agreement. Except as otherwise provided herein, the Participant shall have no rights as a shareholder with respect to any Shares covered by any Award unless and until the Participant has become the holder of record of such Shares.</w:t>
      </w:r>
    </w:p>
    <w:p>
      <w:pPr>
        <w:spacing w:after="0" w:line="152" w:lineRule="exact"/>
        <w:rPr>
          <w:sz w:val="20"/>
          <w:szCs w:val="20"/>
          <w:color w:val="auto"/>
        </w:rPr>
      </w:pPr>
    </w:p>
    <w:p>
      <w:pPr>
        <w:ind w:left="1280" w:hanging="628"/>
        <w:spacing w:after="0"/>
        <w:tabs>
          <w:tab w:leader="none" w:pos="1280"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Legend</w:t>
      </w:r>
    </w:p>
    <w:p>
      <w:pPr>
        <w:spacing w:after="0" w:line="188" w:lineRule="exact"/>
        <w:rPr>
          <w:sz w:val="20"/>
          <w:szCs w:val="20"/>
          <w:color w:val="auto"/>
        </w:rPr>
      </w:pPr>
    </w:p>
    <w:p>
      <w:pPr>
        <w:jc w:val="both"/>
        <w:ind w:firstLine="644"/>
        <w:spacing w:after="0" w:line="229" w:lineRule="auto"/>
        <w:rPr>
          <w:sz w:val="20"/>
          <w:szCs w:val="20"/>
          <w:color w:val="auto"/>
        </w:rPr>
      </w:pPr>
      <w:r>
        <w:rPr>
          <w:rFonts w:ascii="Times New Roman" w:cs="Times New Roman" w:eastAsia="Times New Roman" w:hAnsi="Times New Roman"/>
          <w:sz w:val="21"/>
          <w:szCs w:val="21"/>
          <w:color w:val="auto"/>
        </w:rPr>
        <w:t xml:space="preserve">The Company may at any time place legends referencing any applicable federal, state or foreign securities law restrictions on all certificates, if any, representing Shares issued pursuant to an Award Agreement. The Participant shall, at the request of the Company, promptly present to the Company any and all certificates representing Shares acquired pursuant to this Agreement in the possession of the Participant in order to carry out the provisions of this </w:t>
      </w:r>
      <w:r>
        <w:rPr>
          <w:rFonts w:ascii="Times New Roman" w:cs="Times New Roman" w:eastAsia="Times New Roman" w:hAnsi="Times New Roman"/>
          <w:sz w:val="21"/>
          <w:szCs w:val="21"/>
          <w:u w:val="single" w:color="auto"/>
          <w:color w:val="auto"/>
        </w:rPr>
        <w:t>Section 10(l)</w:t>
      </w:r>
      <w:r>
        <w:rPr>
          <w:rFonts w:ascii="Times New Roman" w:cs="Times New Roman" w:eastAsia="Times New Roman" w:hAnsi="Times New Roman"/>
          <w:sz w:val="21"/>
          <w:szCs w:val="21"/>
          <w:color w:val="auto"/>
        </w:rPr>
        <w:t>.</w:t>
      </w:r>
    </w:p>
    <w:p>
      <w:pPr>
        <w:spacing w:after="0" w:line="152" w:lineRule="exact"/>
        <w:rPr>
          <w:sz w:val="20"/>
          <w:szCs w:val="20"/>
          <w:color w:val="auto"/>
        </w:rPr>
      </w:pPr>
    </w:p>
    <w:p>
      <w:pPr>
        <w:ind w:left="1280" w:hanging="628"/>
        <w:spacing w:after="0"/>
        <w:tabs>
          <w:tab w:leader="none" w:pos="1280"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Securities Representations</w:t>
      </w:r>
    </w:p>
    <w:p>
      <w:pPr>
        <w:spacing w:after="0" w:line="188" w:lineRule="exact"/>
        <w:rPr>
          <w:sz w:val="20"/>
          <w:szCs w:val="20"/>
          <w:color w:val="auto"/>
        </w:rPr>
      </w:pPr>
    </w:p>
    <w:p>
      <w:pPr>
        <w:ind w:right="20" w:firstLine="483"/>
        <w:spacing w:after="0" w:line="251" w:lineRule="auto"/>
        <w:rPr>
          <w:sz w:val="20"/>
          <w:szCs w:val="20"/>
          <w:color w:val="auto"/>
        </w:rPr>
      </w:pPr>
      <w:r>
        <w:rPr>
          <w:rFonts w:ascii="Times New Roman" w:cs="Times New Roman" w:eastAsia="Times New Roman" w:hAnsi="Times New Roman"/>
          <w:sz w:val="21"/>
          <w:szCs w:val="21"/>
          <w:color w:val="auto"/>
        </w:rPr>
        <w:t>Each Award and applicable Award Agreement entered into by the Company with a Participant is in reliance on the following express representations and warranties of the Participant:</w:t>
      </w:r>
    </w:p>
    <w:p>
      <w:pPr>
        <w:spacing w:after="0" w:line="139" w:lineRule="exact"/>
        <w:rPr>
          <w:sz w:val="20"/>
          <w:szCs w:val="20"/>
          <w:color w:val="auto"/>
        </w:rPr>
      </w:pPr>
    </w:p>
    <w:p>
      <w:pPr>
        <w:ind w:left="660" w:right="20" w:firstLine="636"/>
        <w:spacing w:after="0" w:line="251" w:lineRule="auto"/>
        <w:tabs>
          <w:tab w:leader="none" w:pos="1936" w:val="left"/>
        </w:tabs>
        <w:numPr>
          <w:ilvl w:val="1"/>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Participant has been advised that the Participant may be an “affiliate” within the meaning of Rule 144 under the Securities Act.</w:t>
      </w:r>
    </w:p>
    <w:p>
      <w:pPr>
        <w:spacing w:after="0" w:line="139" w:lineRule="exact"/>
        <w:rPr>
          <w:rFonts w:ascii="Times New Roman" w:cs="Times New Roman" w:eastAsia="Times New Roman" w:hAnsi="Times New Roman"/>
          <w:sz w:val="21"/>
          <w:szCs w:val="21"/>
          <w:color w:val="auto"/>
        </w:rPr>
      </w:pPr>
    </w:p>
    <w:p>
      <w:pPr>
        <w:jc w:val="both"/>
        <w:ind w:left="660" w:firstLine="636"/>
        <w:spacing w:after="0" w:line="229" w:lineRule="auto"/>
        <w:tabs>
          <w:tab w:leader="none" w:pos="1942" w:val="left"/>
        </w:tabs>
        <w:numPr>
          <w:ilvl w:val="1"/>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Participant is deemed to be an affiliate within the meaning of Rule 144 of the Securities Act, the Shares issuable under the Award Agreement must be held indefinitely unless an exemption from any applicable resale restrictions is available or the Company files an additional registration statement (or a “re-offer prospectus”) with regard to such Shares and the Company is under no obligation to register such Shares (or to file a “re-offer prospectus”).</w:t>
      </w:r>
    </w:p>
    <w:p>
      <w:pPr>
        <w:spacing w:after="0" w:line="152" w:lineRule="exact"/>
        <w:rPr>
          <w:rFonts w:ascii="Times New Roman" w:cs="Times New Roman" w:eastAsia="Times New Roman" w:hAnsi="Times New Roman"/>
          <w:sz w:val="21"/>
          <w:szCs w:val="21"/>
          <w:color w:val="auto"/>
        </w:rPr>
      </w:pPr>
    </w:p>
    <w:p>
      <w:pPr>
        <w:jc w:val="both"/>
        <w:ind w:left="660" w:firstLine="636"/>
        <w:spacing w:after="0" w:line="219" w:lineRule="auto"/>
        <w:tabs>
          <w:tab w:leader="none" w:pos="1948" w:val="left"/>
        </w:tabs>
        <w:numPr>
          <w:ilvl w:val="1"/>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Participant is deemed to be an affiliate within the meaning of Rule 144 of the Securities Act, the Participant understands that (i) the exemption from registration under Rule 144 will not be available unless (A) a public trading market then exists for the Shares of the Company, (B) adequate information concerning the Company is then available to the public, and (C) other terms and conditions of Rule 144 or any exemption therefrom are complied with, and</w:t>
      </w:r>
    </w:p>
    <w:p>
      <w:pPr>
        <w:spacing w:after="0" w:line="1" w:lineRule="exact"/>
        <w:rPr>
          <w:rFonts w:ascii="Times New Roman" w:cs="Times New Roman" w:eastAsia="Times New Roman" w:hAnsi="Times New Roman"/>
          <w:sz w:val="21"/>
          <w:szCs w:val="21"/>
          <w:color w:val="auto"/>
        </w:rPr>
      </w:pPr>
    </w:p>
    <w:p>
      <w:pPr>
        <w:ind w:left="660" w:hanging="8"/>
        <w:spacing w:after="0" w:line="233" w:lineRule="auto"/>
        <w:tabs>
          <w:tab w:leader="none" w:pos="1004"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sale of the Shares issuable hereunder may be made only in limited amounts in accordance with the terms and conditions of Rule 144 or any exemption therefrom.</w:t>
      </w:r>
    </w:p>
    <w:p>
      <w:pPr>
        <w:spacing w:after="0" w:line="151" w:lineRule="exact"/>
        <w:rPr>
          <w:sz w:val="20"/>
          <w:szCs w:val="20"/>
          <w:color w:val="auto"/>
        </w:rPr>
      </w:pPr>
    </w:p>
    <w:p>
      <w:pPr>
        <w:ind w:left="1300" w:hanging="648"/>
        <w:spacing w:after="0"/>
        <w:tabs>
          <w:tab w:leader="none" w:pos="1300"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Insider Trading Restrictions/Market Abuse Laws</w:t>
      </w:r>
    </w:p>
    <w:p>
      <w:pPr>
        <w:spacing w:after="0" w:line="188" w:lineRule="exact"/>
        <w:rPr>
          <w:sz w:val="20"/>
          <w:szCs w:val="20"/>
          <w:color w:val="auto"/>
        </w:rPr>
      </w:pPr>
    </w:p>
    <w:p>
      <w:pPr>
        <w:jc w:val="both"/>
        <w:ind w:firstLine="403"/>
        <w:spacing w:after="0" w:line="222" w:lineRule="auto"/>
        <w:rPr>
          <w:sz w:val="20"/>
          <w:szCs w:val="20"/>
          <w:color w:val="auto"/>
        </w:rPr>
      </w:pPr>
      <w:r>
        <w:rPr>
          <w:rFonts w:ascii="Times New Roman" w:cs="Times New Roman" w:eastAsia="Times New Roman" w:hAnsi="Times New Roman"/>
          <w:sz w:val="21"/>
          <w:szCs w:val="21"/>
          <w:color w:val="auto"/>
        </w:rPr>
        <w:t>The Participant may be subject to insider trading restrictions and/or market abuse laws in applicable jurisdictions including, but not limited to, the United States and, if different, the Participant’s country of residence, which may affect his or her ability to acquire or sell Shares or rights to Shares under the Plan during such times as the Participant is considered to have “inside information” regarding the Company (as defined by the laws in the applicable jurisdictions). Any restrictions under these laws or regulations are separate from and in addition to any restrictions that may be imposed under the Company’s insider trading policies. The Participant is responsible for ensuring his or her compliance with any applicable restrictions and should speak to his or her personal legal advisor on this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20</w:t>
      </w:r>
    </w:p>
    <w:p>
      <w:pPr>
        <w:sectPr>
          <w:pgSz w:w="11900" w:h="16838" w:orient="portrait"/>
          <w:cols w:equalWidth="0" w:num="1">
            <w:col w:w="11240"/>
          </w:cols>
          <w:pgMar w:left="320" w:top="1440" w:right="339" w:bottom="1440" w:gutter="0" w:footer="0" w:header="0"/>
        </w:sectPr>
      </w:pPr>
    </w:p>
    <w:bookmarkStart w:id="36" w:name="page37"/>
    <w:bookmarkEnd w:id="36"/>
    <w:p>
      <w:pPr>
        <w:spacing w:after="0" w:line="270" w:lineRule="exact"/>
        <w:rPr>
          <w:sz w:val="20"/>
          <w:szCs w:val="20"/>
          <w:color w:val="auto"/>
        </w:rPr>
      </w:pPr>
    </w:p>
    <w:p>
      <w:pPr>
        <w:ind w:left="1300" w:hanging="648"/>
        <w:spacing w:after="0"/>
        <w:tabs>
          <w:tab w:leader="none" w:pos="1300"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Foreign Asset/Account Reporting; Exchange Controls</w:t>
      </w:r>
    </w:p>
    <w:p>
      <w:pPr>
        <w:spacing w:after="0" w:line="188" w:lineRule="exact"/>
        <w:rPr>
          <w:sz w:val="20"/>
          <w:szCs w:val="20"/>
          <w:color w:val="auto"/>
        </w:rPr>
      </w:pPr>
    </w:p>
    <w:p>
      <w:pPr>
        <w:jc w:val="both"/>
        <w:ind w:firstLine="644"/>
        <w:spacing w:after="0" w:line="221" w:lineRule="auto"/>
        <w:rPr>
          <w:sz w:val="20"/>
          <w:szCs w:val="20"/>
          <w:color w:val="auto"/>
        </w:rPr>
      </w:pPr>
      <w:r>
        <w:rPr>
          <w:rFonts w:ascii="Times New Roman" w:cs="Times New Roman" w:eastAsia="Times New Roman" w:hAnsi="Times New Roman"/>
          <w:sz w:val="21"/>
          <w:szCs w:val="21"/>
          <w:color w:val="auto"/>
        </w:rPr>
        <w:t>Depending on the Participant’s country of residence, the Participant may be subject to foreign asset and/or account reporting requirements and/or exchange controls as a result of the vesting and settlement an Award, the acquisition, holding and/or transfer of Shares or cash resulting from participation in the Plan and/or the opening and maintaining of a brokerage or bank account in connection with the Plan. For example, the Participant may be required to report such assets, accounts, account balances and values and/or related transactions to the tax or other authorities in his or her country. The Participant may also be required to repatriate sale proceeds or other funds received pursuant to the Plan to his or her country through a designated bank or broker and/or within a certain time after receipt. The Participant is responsible for ensuring compliance with any applicable requirements and should speak to his or her personal legal advisor regarding these requirements.</w:t>
      </w:r>
    </w:p>
    <w:p>
      <w:pPr>
        <w:spacing w:after="0" w:line="154" w:lineRule="exact"/>
        <w:rPr>
          <w:sz w:val="20"/>
          <w:szCs w:val="20"/>
          <w:color w:val="auto"/>
        </w:rPr>
      </w:pPr>
    </w:p>
    <w:p>
      <w:pPr>
        <w:ind w:left="1300" w:hanging="648"/>
        <w:spacing w:after="0"/>
        <w:tabs>
          <w:tab w:leader="none" w:pos="1300"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Country-Specific Provisions</w:t>
      </w:r>
    </w:p>
    <w:p>
      <w:pPr>
        <w:spacing w:after="0" w:line="188" w:lineRule="exact"/>
        <w:rPr>
          <w:sz w:val="20"/>
          <w:szCs w:val="20"/>
          <w:color w:val="auto"/>
        </w:rPr>
      </w:pPr>
    </w:p>
    <w:p>
      <w:pPr>
        <w:jc w:val="both"/>
        <w:ind w:firstLine="644"/>
        <w:spacing w:after="0" w:line="226" w:lineRule="auto"/>
        <w:rPr>
          <w:sz w:val="20"/>
          <w:szCs w:val="20"/>
          <w:color w:val="auto"/>
        </w:rPr>
      </w:pPr>
      <w:r>
        <w:rPr>
          <w:rFonts w:ascii="Times New Roman" w:cs="Times New Roman" w:eastAsia="Times New Roman" w:hAnsi="Times New Roman"/>
          <w:sz w:val="21"/>
          <w:szCs w:val="21"/>
          <w:color w:val="auto"/>
        </w:rPr>
        <w:t>Awards granted under the Plan and the Shares subject to such Awards shall be subject to any special terms and conditions for the Participant’s country set forth in the Appendix, if applicable. Moreover, if the Participant relocates to one of the countries included in the Appendix, the special terms and conditions for such country will apply to the Participant, to the extent the Company determines that the application of such terms and conditions is necessary or advisable for legal or administrative reasons. The Appendix constitutes part of this Plan and any Award Agreement.</w:t>
      </w:r>
    </w:p>
    <w:p>
      <w:pPr>
        <w:spacing w:after="0" w:line="147" w:lineRule="exact"/>
        <w:rPr>
          <w:sz w:val="20"/>
          <w:szCs w:val="20"/>
          <w:color w:val="auto"/>
        </w:rPr>
      </w:pPr>
    </w:p>
    <w:p>
      <w:pPr>
        <w:ind w:left="640" w:hanging="633"/>
        <w:spacing w:after="0"/>
        <w:tabs>
          <w:tab w:leader="none" w:pos="640" w:val="left"/>
        </w:tabs>
        <w:numPr>
          <w:ilvl w:val="0"/>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Adjustments Upon Certain Events</w:t>
      </w:r>
    </w:p>
    <w:p>
      <w:pPr>
        <w:spacing w:after="0" w:line="192" w:lineRule="exact"/>
        <w:rPr>
          <w:sz w:val="20"/>
          <w:szCs w:val="20"/>
          <w:color w:val="auto"/>
        </w:rPr>
      </w:pPr>
    </w:p>
    <w:p>
      <w:pPr>
        <w:ind w:firstLine="644"/>
        <w:spacing w:after="0" w:line="251" w:lineRule="auto"/>
        <w:rPr>
          <w:sz w:val="20"/>
          <w:szCs w:val="20"/>
          <w:color w:val="auto"/>
        </w:rPr>
      </w:pPr>
      <w:r>
        <w:rPr>
          <w:rFonts w:ascii="Times New Roman" w:cs="Times New Roman" w:eastAsia="Times New Roman" w:hAnsi="Times New Roman"/>
          <w:sz w:val="21"/>
          <w:szCs w:val="21"/>
          <w:color w:val="auto"/>
        </w:rPr>
        <w:t>Notwithstanding any other provisions in the Plan to the contrary, the following provisions shall apply to all Awards granted under the Plan:</w:t>
      </w:r>
    </w:p>
    <w:p>
      <w:pPr>
        <w:spacing w:after="0" w:line="139" w:lineRule="exact"/>
        <w:rPr>
          <w:sz w:val="20"/>
          <w:szCs w:val="20"/>
          <w:color w:val="auto"/>
        </w:rPr>
      </w:pPr>
    </w:p>
    <w:p>
      <w:pPr>
        <w:ind w:left="1300" w:hanging="648"/>
        <w:spacing w:after="0"/>
        <w:tabs>
          <w:tab w:leader="none" w:pos="1300" w:val="left"/>
        </w:tabs>
        <w:numPr>
          <w:ilvl w:val="0"/>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Generally</w:t>
      </w:r>
    </w:p>
    <w:p>
      <w:pPr>
        <w:spacing w:after="0" w:line="188" w:lineRule="exact"/>
        <w:rPr>
          <w:sz w:val="20"/>
          <w:szCs w:val="20"/>
          <w:color w:val="auto"/>
        </w:rPr>
      </w:pPr>
    </w:p>
    <w:p>
      <w:pPr>
        <w:jc w:val="both"/>
        <w:ind w:firstLine="644"/>
        <w:spacing w:after="0" w:line="218" w:lineRule="auto"/>
        <w:rPr>
          <w:sz w:val="20"/>
          <w:szCs w:val="20"/>
          <w:color w:val="auto"/>
        </w:rPr>
      </w:pPr>
      <w:r>
        <w:rPr>
          <w:rFonts w:ascii="Times New Roman" w:cs="Times New Roman" w:eastAsia="Times New Roman" w:hAnsi="Times New Roman"/>
          <w:sz w:val="21"/>
          <w:szCs w:val="21"/>
          <w:color w:val="auto"/>
        </w:rPr>
        <w:t>In the event of any increase, decrease or change in the number or characteristic of outstanding Shares (including to the price of the Shares) after the Effective Date by reason of any reorganization, reclassification, recapitalization, merger, consolidation, spin-off, combination, or transaction or exchange of Shares or other corporate exchange (including for these purposes, any Change in Control), or any distribution to shareholders of Shares other than regular cash dividends, bonus issue, share split or any transaction similar to the foregoing, the Committee shall make such substitution or adjustment, as it deems, in its sole discretion and without liability to any person, to be equitable, as to (i) the number or kind of Shares or other securities issued or reserved for issuance pursuant to the Plan or pursuant to outstanding Awards, (ii) the Option Price or Strike Price, (iii) the number and kind of shares (or other securities or property) subject to outstanding Awards, and/or (iii) any other affected terms of such Awards, including, without limitation, any affected Performance Criteria or Performance Goals. In the event of any change in the outstanding Shares after the Effective Date by reason of any share split (forward or reverse) or any share dividend, all adjustments described in the preceding sentence shall occur automatically in accordance with the ratio of the bonus issue, share split or share dividend, unless otherwise determined by the Committee.</w:t>
      </w:r>
    </w:p>
    <w:p>
      <w:pPr>
        <w:spacing w:after="0" w:line="159" w:lineRule="exact"/>
        <w:rPr>
          <w:sz w:val="20"/>
          <w:szCs w:val="20"/>
          <w:color w:val="auto"/>
        </w:rPr>
      </w:pPr>
    </w:p>
    <w:p>
      <w:pPr>
        <w:ind w:left="1300" w:hanging="648"/>
        <w:spacing w:after="0"/>
        <w:tabs>
          <w:tab w:leader="none" w:pos="1300" w:val="left"/>
        </w:tabs>
        <w:numPr>
          <w:ilvl w:val="0"/>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Change in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21</w:t>
      </w:r>
    </w:p>
    <w:p>
      <w:pPr>
        <w:sectPr>
          <w:pgSz w:w="11900" w:h="16838" w:orient="portrait"/>
          <w:cols w:equalWidth="0" w:num="1">
            <w:col w:w="11240"/>
          </w:cols>
          <w:pgMar w:left="320" w:top="1440" w:right="339" w:bottom="1440" w:gutter="0" w:footer="0" w:header="0"/>
        </w:sectPr>
      </w:pPr>
    </w:p>
    <w:bookmarkStart w:id="37" w:name="page38"/>
    <w:bookmarkEnd w:id="37"/>
    <w:p>
      <w:pPr>
        <w:spacing w:after="0" w:line="2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Without limiting the foregoing, except as may otherwise be provided in an Award Agreement, in connection with any</w:t>
      </w:r>
    </w:p>
    <w:p>
      <w:pPr>
        <w:spacing w:after="0"/>
        <w:rPr>
          <w:sz w:val="20"/>
          <w:szCs w:val="20"/>
          <w:color w:val="auto"/>
        </w:rPr>
      </w:pPr>
      <w:r>
        <w:rPr>
          <w:rFonts w:ascii="Times New Roman" w:cs="Times New Roman" w:eastAsia="Times New Roman" w:hAnsi="Times New Roman"/>
          <w:sz w:val="21"/>
          <w:szCs w:val="21"/>
          <w:color w:val="auto"/>
        </w:rPr>
        <w:t>Change in Control, the Committee may, in its sole discretion, provide for any one or more of the following:</w:t>
      </w:r>
    </w:p>
    <w:p>
      <w:pPr>
        <w:spacing w:after="0" w:line="164" w:lineRule="exact"/>
        <w:rPr>
          <w:sz w:val="20"/>
          <w:szCs w:val="20"/>
          <w:color w:val="auto"/>
        </w:rPr>
      </w:pPr>
    </w:p>
    <w:p>
      <w:pPr>
        <w:jc w:val="both"/>
        <w:ind w:left="660" w:firstLine="636"/>
        <w:spacing w:after="0" w:line="229" w:lineRule="auto"/>
        <w:tabs>
          <w:tab w:leader="none" w:pos="1936"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continuation, substitution or assumption of Awards (or awards of an acquiring company), acceleration of the exercisability of, lapse of restrictions on, or termination of Awards, or a period of time for Participants to exercise outstanding Awards prior to the occurrence of such event (and any such Award not so exercised shall terminate upon the occurrence of such event)); and</w:t>
      </w:r>
    </w:p>
    <w:p>
      <w:pPr>
        <w:spacing w:after="0" w:line="152" w:lineRule="exact"/>
        <w:rPr>
          <w:rFonts w:ascii="Times New Roman" w:cs="Times New Roman" w:eastAsia="Times New Roman" w:hAnsi="Times New Roman"/>
          <w:sz w:val="21"/>
          <w:szCs w:val="21"/>
          <w:color w:val="auto"/>
        </w:rPr>
      </w:pPr>
    </w:p>
    <w:p>
      <w:pPr>
        <w:jc w:val="both"/>
        <w:ind w:left="660" w:firstLine="636"/>
        <w:spacing w:after="0" w:line="218" w:lineRule="auto"/>
        <w:tabs>
          <w:tab w:leader="none" w:pos="1942"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any limitations or reductions as may be necessary to comply with Section 409A, cancellation of any one or more outstanding Awards and payment to the holders of such Awards that are vested as of such cancellation (including, without limitation, any Awards that would vest as a result of the occurrence of such event but for such cancellation or for which vesting is accelerated by the Committee in connection with such event pursuant to clause (i) above) the value of such Awards, if any, as determined by the Committee (which value, if applicable, may be based upon the price per Share received or to be received by other shareholders of the Company in such event), including, without limitation, in the case of an outstanding Option or Share Appreciation Right, a cash payment in an amount equal to the excess, if any, of the Fair Market Value (as of a date specified by the Committee) of the Shares subject to such Option or Share Appreciation Right over the aggregate Option Price or Strike Price, of such Option or Share Appreciation Right (it being understood that, in such event, any Option or Share Appreciation Right having a per share Option Price or Strike Price, equal to, or in excess of, the Fair Market Value of a Share subject thereto may be canceled and terminated without any payment or consideration therefor).</w:t>
      </w:r>
    </w:p>
    <w:p>
      <w:pPr>
        <w:spacing w:after="0" w:line="159" w:lineRule="exact"/>
        <w:rPr>
          <w:sz w:val="20"/>
          <w:szCs w:val="20"/>
          <w:color w:val="auto"/>
        </w:rPr>
      </w:pPr>
    </w:p>
    <w:p>
      <w:pPr>
        <w:jc w:val="both"/>
        <w:ind w:firstLine="644"/>
        <w:spacing w:after="0" w:line="229" w:lineRule="auto"/>
        <w:rPr>
          <w:sz w:val="20"/>
          <w:szCs w:val="20"/>
          <w:color w:val="auto"/>
        </w:rPr>
      </w:pPr>
      <w:r>
        <w:rPr>
          <w:rFonts w:ascii="Times New Roman" w:cs="Times New Roman" w:eastAsia="Times New Roman" w:hAnsi="Times New Roman"/>
          <w:sz w:val="21"/>
          <w:szCs w:val="21"/>
          <w:color w:val="auto"/>
        </w:rPr>
        <w:t>Payments to holders pursuant to clause (ii) above shall be made in cash or, in the sole discretion of the Committee, in the form or forms of such other consideration as such Participant would have been entitled to receive upon the occurrence of the transaction if the Participant had been, immediately prior to such transaction, the holder of the number of Shares covered by the Award at such time (less any applicable Option Price or Strike Price).</w:t>
      </w:r>
    </w:p>
    <w:p>
      <w:pPr>
        <w:spacing w:after="0" w:line="152" w:lineRule="exact"/>
        <w:rPr>
          <w:sz w:val="20"/>
          <w:szCs w:val="20"/>
          <w:color w:val="auto"/>
        </w:rPr>
      </w:pPr>
    </w:p>
    <w:p>
      <w:pPr>
        <w:ind w:left="1300" w:hanging="648"/>
        <w:spacing w:after="0"/>
        <w:tabs>
          <w:tab w:leader="none" w:pos="1300" w:val="left"/>
        </w:tabs>
        <w:numPr>
          <w:ilvl w:val="0"/>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Other Requirements</w:t>
      </w:r>
    </w:p>
    <w:p>
      <w:pPr>
        <w:spacing w:after="0" w:line="188" w:lineRule="exact"/>
        <w:rPr>
          <w:sz w:val="20"/>
          <w:szCs w:val="20"/>
          <w:color w:val="auto"/>
        </w:rPr>
      </w:pPr>
    </w:p>
    <w:p>
      <w:pPr>
        <w:jc w:val="both"/>
        <w:ind w:firstLine="644"/>
        <w:spacing w:after="0"/>
        <w:rPr>
          <w:sz w:val="20"/>
          <w:szCs w:val="20"/>
          <w:color w:val="auto"/>
        </w:rPr>
      </w:pPr>
      <w:r>
        <w:rPr>
          <w:rFonts w:ascii="Times New Roman" w:cs="Times New Roman" w:eastAsia="Times New Roman" w:hAnsi="Times New Roman"/>
          <w:sz w:val="21"/>
          <w:szCs w:val="21"/>
          <w:color w:val="auto"/>
        </w:rPr>
        <w:t xml:space="preserve">Prior to any payment or adjustment contemplated under this </w:t>
      </w:r>
      <w:r>
        <w:rPr>
          <w:rFonts w:ascii="Times New Roman" w:cs="Times New Roman" w:eastAsia="Times New Roman" w:hAnsi="Times New Roman"/>
          <w:sz w:val="21"/>
          <w:szCs w:val="21"/>
          <w:u w:val="single" w:color="auto"/>
          <w:color w:val="auto"/>
        </w:rPr>
        <w:t>Section 11</w:t>
      </w:r>
      <w:r>
        <w:rPr>
          <w:rFonts w:ascii="Times New Roman" w:cs="Times New Roman" w:eastAsia="Times New Roman" w:hAnsi="Times New Roman"/>
          <w:sz w:val="21"/>
          <w:szCs w:val="21"/>
          <w:color w:val="auto"/>
        </w:rPr>
        <w:t>, the Committee may require a Participant to (i) represent and warrant as to the unencumbered title to the Participant's Awards; (ii) bear such Participant's pro rata share of any post-closing indemnity obligations, and be subject to the same post-closing purchase price adjustments, escrow terms, offset rights, holdback terms, and similar conditions as the other holders of Shares, subject to any limitations or reductions as may be necessary to comply with Section 409A; and (iii) deliver customary transfer documentation as reasonably determined by the Committee.</w:t>
      </w:r>
    </w:p>
    <w:p>
      <w:pPr>
        <w:spacing w:after="0" w:line="296" w:lineRule="exact"/>
        <w:rPr>
          <w:sz w:val="20"/>
          <w:szCs w:val="20"/>
          <w:color w:val="auto"/>
        </w:rPr>
      </w:pPr>
    </w:p>
    <w:p>
      <w:pPr>
        <w:ind w:left="1300" w:hanging="648"/>
        <w:spacing w:after="0"/>
        <w:tabs>
          <w:tab w:leader="none" w:pos="1300" w:val="left"/>
        </w:tabs>
        <w:numPr>
          <w:ilvl w:val="0"/>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Fractional Shares</w:t>
      </w:r>
    </w:p>
    <w:p>
      <w:pPr>
        <w:spacing w:after="0" w:line="188" w:lineRule="exact"/>
        <w:rPr>
          <w:sz w:val="20"/>
          <w:szCs w:val="20"/>
          <w:color w:val="auto"/>
        </w:rPr>
      </w:pPr>
    </w:p>
    <w:p>
      <w:pPr>
        <w:ind w:firstLine="644"/>
        <w:spacing w:after="0" w:line="251" w:lineRule="auto"/>
        <w:rPr>
          <w:sz w:val="20"/>
          <w:szCs w:val="20"/>
          <w:color w:val="auto"/>
        </w:rPr>
      </w:pPr>
      <w:r>
        <w:rPr>
          <w:rFonts w:ascii="Times New Roman" w:cs="Times New Roman" w:eastAsia="Times New Roman" w:hAnsi="Times New Roman"/>
          <w:sz w:val="21"/>
          <w:szCs w:val="21"/>
          <w:color w:val="auto"/>
        </w:rPr>
        <w:t xml:space="preserve">Any adjustment provided under this </w:t>
      </w:r>
      <w:r>
        <w:rPr>
          <w:rFonts w:ascii="Times New Roman" w:cs="Times New Roman" w:eastAsia="Times New Roman" w:hAnsi="Times New Roman"/>
          <w:sz w:val="21"/>
          <w:szCs w:val="21"/>
          <w:u w:val="single" w:color="auto"/>
          <w:color w:val="auto"/>
        </w:rPr>
        <w:t>Section 11</w:t>
      </w:r>
      <w:r>
        <w:rPr>
          <w:rFonts w:ascii="Times New Roman" w:cs="Times New Roman" w:eastAsia="Times New Roman" w:hAnsi="Times New Roman"/>
          <w:sz w:val="21"/>
          <w:szCs w:val="21"/>
          <w:color w:val="auto"/>
        </w:rPr>
        <w:t xml:space="preserve"> may provide for the elimination of any fractional share that might otherwise become subject to an Award.</w:t>
      </w:r>
    </w:p>
    <w:p>
      <w:pPr>
        <w:spacing w:after="0" w:line="139" w:lineRule="exact"/>
        <w:rPr>
          <w:sz w:val="20"/>
          <w:szCs w:val="20"/>
          <w:color w:val="auto"/>
        </w:rPr>
      </w:pPr>
    </w:p>
    <w:p>
      <w:pPr>
        <w:ind w:left="1300" w:hanging="648"/>
        <w:spacing w:after="0"/>
        <w:tabs>
          <w:tab w:leader="none" w:pos="1300"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Binding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22</w:t>
      </w:r>
    </w:p>
    <w:p>
      <w:pPr>
        <w:sectPr>
          <w:pgSz w:w="11900" w:h="16838" w:orient="portrait"/>
          <w:cols w:equalWidth="0" w:num="1">
            <w:col w:w="11240"/>
          </w:cols>
          <w:pgMar w:left="320" w:top="1440" w:right="339" w:bottom="1440" w:gutter="0" w:footer="0" w:header="0"/>
        </w:sectPr>
      </w:pPr>
    </w:p>
    <w:bookmarkStart w:id="38" w:name="page39"/>
    <w:bookmarkEnd w:id="38"/>
    <w:p>
      <w:pPr>
        <w:spacing w:after="0" w:line="270" w:lineRule="exact"/>
        <w:rPr>
          <w:sz w:val="20"/>
          <w:szCs w:val="20"/>
          <w:color w:val="auto"/>
        </w:rPr>
      </w:pPr>
    </w:p>
    <w:p>
      <w:pPr>
        <w:ind w:right="20" w:firstLine="644"/>
        <w:spacing w:after="0" w:line="251" w:lineRule="auto"/>
        <w:rPr>
          <w:sz w:val="20"/>
          <w:szCs w:val="20"/>
          <w:color w:val="auto"/>
        </w:rPr>
      </w:pPr>
      <w:r>
        <w:rPr>
          <w:rFonts w:ascii="Times New Roman" w:cs="Times New Roman" w:eastAsia="Times New Roman" w:hAnsi="Times New Roman"/>
          <w:sz w:val="21"/>
          <w:szCs w:val="21"/>
          <w:color w:val="auto"/>
        </w:rPr>
        <w:t xml:space="preserve">Any adjustment, substitution, determination of value or other action taken by the Committee under this </w:t>
      </w:r>
      <w:r>
        <w:rPr>
          <w:rFonts w:ascii="Times New Roman" w:cs="Times New Roman" w:eastAsia="Times New Roman" w:hAnsi="Times New Roman"/>
          <w:sz w:val="21"/>
          <w:szCs w:val="21"/>
          <w:u w:val="single" w:color="auto"/>
          <w:color w:val="auto"/>
        </w:rPr>
        <w:t>Section 11</w:t>
      </w:r>
      <w:r>
        <w:rPr>
          <w:rFonts w:ascii="Times New Roman" w:cs="Times New Roman" w:eastAsia="Times New Roman" w:hAnsi="Times New Roman"/>
          <w:sz w:val="21"/>
          <w:szCs w:val="21"/>
          <w:color w:val="auto"/>
        </w:rPr>
        <w:t xml:space="preserve"> shall be conclusive and binding for all purposes.</w:t>
      </w:r>
    </w:p>
    <w:p>
      <w:pPr>
        <w:spacing w:after="0" w:line="135" w:lineRule="exact"/>
        <w:rPr>
          <w:sz w:val="20"/>
          <w:szCs w:val="20"/>
          <w:color w:val="auto"/>
        </w:rPr>
      </w:pPr>
    </w:p>
    <w:p>
      <w:pPr>
        <w:ind w:left="660" w:hanging="653"/>
        <w:spacing w:after="0"/>
        <w:tabs>
          <w:tab w:leader="none" w:pos="660"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No Right to Employment or Awards</w:t>
      </w:r>
    </w:p>
    <w:p>
      <w:pPr>
        <w:spacing w:after="0" w:line="192" w:lineRule="exact"/>
        <w:rPr>
          <w:sz w:val="20"/>
          <w:szCs w:val="20"/>
          <w:color w:val="auto"/>
        </w:rPr>
      </w:pPr>
    </w:p>
    <w:p>
      <w:pPr>
        <w:jc w:val="both"/>
        <w:ind w:firstLine="644"/>
        <w:spacing w:after="0" w:line="224" w:lineRule="auto"/>
        <w:rPr>
          <w:sz w:val="20"/>
          <w:szCs w:val="20"/>
          <w:color w:val="auto"/>
        </w:rPr>
      </w:pPr>
      <w:r>
        <w:rPr>
          <w:rFonts w:ascii="Times New Roman" w:cs="Times New Roman" w:eastAsia="Times New Roman" w:hAnsi="Times New Roman"/>
          <w:sz w:val="21"/>
          <w:szCs w:val="21"/>
          <w:color w:val="auto"/>
        </w:rPr>
        <w:t>The granting of an Award under the Plan shall impose no obligation on the Company or any Affiliate to continue the employment or service of a Participant and shall not lessen or affect the Company's or Affiliate's right to terminate the employment or service of such Participant. No Participant or other Person shall have any claim to be granted any Award, and there is no obligation for uniformity of treatment of Participants, or holders or beneficiaries of Awards. The terms and conditions of Awards and the Committee's determinations and interpretations with respect thereto need not be the same with respect to each Participant (whether or not such Participants are similarly situated).</w:t>
      </w:r>
    </w:p>
    <w:p>
      <w:pPr>
        <w:spacing w:after="0" w:line="151" w:lineRule="exact"/>
        <w:rPr>
          <w:sz w:val="20"/>
          <w:szCs w:val="20"/>
          <w:color w:val="auto"/>
        </w:rPr>
      </w:pPr>
    </w:p>
    <w:p>
      <w:pPr>
        <w:jc w:val="both"/>
        <w:ind w:firstLine="644"/>
        <w:spacing w:after="0" w:line="226" w:lineRule="auto"/>
        <w:rPr>
          <w:sz w:val="20"/>
          <w:szCs w:val="20"/>
          <w:color w:val="auto"/>
        </w:rPr>
      </w:pPr>
      <w:r>
        <w:rPr>
          <w:rFonts w:ascii="Times New Roman" w:cs="Times New Roman" w:eastAsia="Times New Roman" w:hAnsi="Times New Roman"/>
          <w:sz w:val="21"/>
          <w:szCs w:val="21"/>
          <w:color w:val="auto"/>
        </w:rPr>
        <w:t>The Participant’s rights shall be limited to those rights that are specifically enumerated under the Plan and in an Award Agreement, and such rights shall be for all purposes, unsecured contractual creditors’ rights against the Company only. The Participant’s right to payments under an Award Agreement shall not constitute nor be treated as property or as a trust fund of any kind. The Participant shall not have any rights as an owner of the Company with respect to any Awards granted to Participant until Shares are issued.</w:t>
      </w:r>
    </w:p>
    <w:p>
      <w:pPr>
        <w:spacing w:after="0" w:line="147" w:lineRule="exact"/>
        <w:rPr>
          <w:sz w:val="20"/>
          <w:szCs w:val="20"/>
          <w:color w:val="auto"/>
        </w:rPr>
      </w:pPr>
    </w:p>
    <w:p>
      <w:pPr>
        <w:ind w:left="660" w:hanging="653"/>
        <w:spacing w:after="0"/>
        <w:tabs>
          <w:tab w:leader="none" w:pos="660" w:val="left"/>
        </w:tabs>
        <w:numPr>
          <w:ilvl w:val="0"/>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Successors and Assigns</w:t>
      </w:r>
    </w:p>
    <w:p>
      <w:pPr>
        <w:spacing w:after="0" w:line="192" w:lineRule="exact"/>
        <w:rPr>
          <w:sz w:val="20"/>
          <w:szCs w:val="20"/>
          <w:color w:val="auto"/>
        </w:rPr>
      </w:pPr>
    </w:p>
    <w:p>
      <w:pPr>
        <w:jc w:val="both"/>
        <w:ind w:firstLine="644"/>
        <w:spacing w:after="0" w:line="234" w:lineRule="auto"/>
        <w:rPr>
          <w:sz w:val="20"/>
          <w:szCs w:val="20"/>
          <w:color w:val="auto"/>
        </w:rPr>
      </w:pPr>
      <w:r>
        <w:rPr>
          <w:rFonts w:ascii="Times New Roman" w:cs="Times New Roman" w:eastAsia="Times New Roman" w:hAnsi="Times New Roman"/>
          <w:sz w:val="21"/>
          <w:szCs w:val="21"/>
          <w:color w:val="auto"/>
        </w:rPr>
        <w:t>The Plan shall be binding on all successors and assigns of the Company and a Participant, including without limitation, the estate of such Participant and the executor, administrator or trustee of such estate, or any receiver or trustee in bankruptcy or representative of the Participant's creditors.</w:t>
      </w:r>
    </w:p>
    <w:p>
      <w:pPr>
        <w:spacing w:after="0" w:line="149" w:lineRule="exact"/>
        <w:rPr>
          <w:sz w:val="20"/>
          <w:szCs w:val="20"/>
          <w:color w:val="auto"/>
        </w:rPr>
      </w:pPr>
    </w:p>
    <w:p>
      <w:pPr>
        <w:ind w:left="660" w:hanging="653"/>
        <w:spacing w:after="0"/>
        <w:tabs>
          <w:tab w:leader="none" w:pos="660"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Amendments or Termination</w:t>
      </w:r>
    </w:p>
    <w:p>
      <w:pPr>
        <w:spacing w:after="0" w:line="191" w:lineRule="exact"/>
        <w:rPr>
          <w:rFonts w:ascii="Times New Roman" w:cs="Times New Roman" w:eastAsia="Times New Roman" w:hAnsi="Times New Roman"/>
          <w:sz w:val="21"/>
          <w:szCs w:val="21"/>
          <w:color w:val="auto"/>
        </w:rPr>
      </w:pPr>
    </w:p>
    <w:p>
      <w:pPr>
        <w:ind w:left="1300" w:hanging="648"/>
        <w:spacing w:after="0"/>
        <w:tabs>
          <w:tab w:leader="none" w:pos="1300" w:val="left"/>
        </w:tabs>
        <w:numPr>
          <w:ilvl w:val="1"/>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Amendment and Termination of the Plan</w:t>
      </w:r>
    </w:p>
    <w:p>
      <w:pPr>
        <w:spacing w:after="0" w:line="188" w:lineRule="exact"/>
        <w:rPr>
          <w:sz w:val="20"/>
          <w:szCs w:val="20"/>
          <w:color w:val="auto"/>
        </w:rPr>
      </w:pPr>
    </w:p>
    <w:p>
      <w:pPr>
        <w:jc w:val="both"/>
        <w:ind w:firstLine="644"/>
        <w:spacing w:after="0" w:line="219" w:lineRule="auto"/>
        <w:rPr>
          <w:sz w:val="20"/>
          <w:szCs w:val="20"/>
          <w:color w:val="auto"/>
        </w:rPr>
      </w:pPr>
      <w:r>
        <w:rPr>
          <w:rFonts w:ascii="Times New Roman" w:cs="Times New Roman" w:eastAsia="Times New Roman" w:hAnsi="Times New Roman"/>
          <w:sz w:val="21"/>
          <w:szCs w:val="21"/>
          <w:color w:val="auto"/>
        </w:rPr>
        <w:t xml:space="preserve">The Board may amend, alter, suspend, discontinue, cancel or terminate the Plan or any portion thereof at any time; provided, that no such amendment, alteration, suspension, discontinuation or termination shall be made without shareholder approval, if at the time of such event, shareholder approval is required under Applicable Law, if (i) it would materially increase the number of securities which may be issued under the Plan or granted to any Participant (except for increases pursuant to </w:t>
      </w:r>
      <w:r>
        <w:rPr>
          <w:rFonts w:ascii="Times New Roman" w:cs="Times New Roman" w:eastAsia="Times New Roman" w:hAnsi="Times New Roman"/>
          <w:sz w:val="21"/>
          <w:szCs w:val="21"/>
          <w:u w:val="single" w:color="auto"/>
          <w:color w:val="auto"/>
        </w:rPr>
        <w:t>Section 11</w:t>
      </w:r>
      <w:r>
        <w:rPr>
          <w:rFonts w:ascii="Times New Roman" w:cs="Times New Roman" w:eastAsia="Times New Roman" w:hAnsi="Times New Roman"/>
          <w:sz w:val="21"/>
          <w:szCs w:val="21"/>
          <w:color w:val="auto"/>
        </w:rPr>
        <w:t xml:space="preserve"> hereof), (ii) it materially expands the types of Awards available under the Plan or materially expands the class of persons eligible to receive Awards under the Plan, (iii) such approval is necessary to comply with Applicable Law, or (iv) the Committee determines that such approval is otherwise required or advisable to facilitate compliance with Applicable Laws; provided, that, subject to </w:t>
      </w:r>
      <w:r>
        <w:rPr>
          <w:rFonts w:ascii="Times New Roman" w:cs="Times New Roman" w:eastAsia="Times New Roman" w:hAnsi="Times New Roman"/>
          <w:sz w:val="21"/>
          <w:szCs w:val="21"/>
          <w:u w:val="single" w:color="auto"/>
          <w:color w:val="auto"/>
        </w:rPr>
        <w:t>Section 18</w:t>
      </w:r>
      <w:r>
        <w:rPr>
          <w:rFonts w:ascii="Times New Roman" w:cs="Times New Roman" w:eastAsia="Times New Roman" w:hAnsi="Times New Roman"/>
          <w:sz w:val="21"/>
          <w:szCs w:val="21"/>
          <w:color w:val="auto"/>
        </w:rPr>
        <w:t xml:space="preserve"> of the Plan or unless required or advisable to facilitate compliance with Applicable Laws, as determined in the sole discretion of the Committee, any such amendment, alteration, suspension, discontinuance or termination that would materially and adversely affect the rights of any Participant or any holder of any Award theretofore granted shall not to that extent be effective without the consent of the affected Participant.</w:t>
      </w:r>
    </w:p>
    <w:p>
      <w:pPr>
        <w:spacing w:after="0" w:line="153" w:lineRule="exact"/>
        <w:rPr>
          <w:sz w:val="20"/>
          <w:szCs w:val="20"/>
          <w:color w:val="auto"/>
        </w:rPr>
      </w:pPr>
    </w:p>
    <w:p>
      <w:pPr>
        <w:ind w:left="1300" w:hanging="648"/>
        <w:spacing w:after="0"/>
        <w:tabs>
          <w:tab w:leader="none" w:pos="1300" w:val="left"/>
        </w:tabs>
        <w:numPr>
          <w:ilvl w:val="0"/>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Amendment of Award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23</w:t>
      </w:r>
    </w:p>
    <w:p>
      <w:pPr>
        <w:sectPr>
          <w:pgSz w:w="11900" w:h="16838" w:orient="portrait"/>
          <w:cols w:equalWidth="0" w:num="1">
            <w:col w:w="11240"/>
          </w:cols>
          <w:pgMar w:left="320" w:top="1440" w:right="339" w:bottom="1440" w:gutter="0" w:footer="0" w:header="0"/>
        </w:sectPr>
      </w:pPr>
    </w:p>
    <w:bookmarkStart w:id="39" w:name="page40"/>
    <w:bookmarkEnd w:id="39"/>
    <w:p>
      <w:pPr>
        <w:spacing w:after="0" w:line="270" w:lineRule="exact"/>
        <w:rPr>
          <w:sz w:val="20"/>
          <w:szCs w:val="20"/>
          <w:color w:val="auto"/>
        </w:rPr>
      </w:pPr>
    </w:p>
    <w:p>
      <w:pPr>
        <w:jc w:val="both"/>
        <w:ind w:firstLine="644"/>
        <w:spacing w:after="0" w:line="222" w:lineRule="auto"/>
        <w:rPr>
          <w:sz w:val="20"/>
          <w:szCs w:val="20"/>
          <w:color w:val="auto"/>
        </w:rPr>
      </w:pPr>
      <w:r>
        <w:rPr>
          <w:rFonts w:ascii="Times New Roman" w:cs="Times New Roman" w:eastAsia="Times New Roman" w:hAnsi="Times New Roman"/>
          <w:sz w:val="21"/>
          <w:szCs w:val="21"/>
          <w:color w:val="auto"/>
        </w:rPr>
        <w:t xml:space="preserve">The Committee may, to the extent consistent with the terms of any applicable Award Agreement, waive any conditions or rights under, amend any terms of, or alter, suspend, discontinue, cancel or terminate, any Award theretofore granted or the associated Award Agreement, prospectively or retroactively (including after a Participant's termination of employment or service with the Company); provided, that, subject to </w:t>
      </w:r>
      <w:r>
        <w:rPr>
          <w:rFonts w:ascii="Times New Roman" w:cs="Times New Roman" w:eastAsia="Times New Roman" w:hAnsi="Times New Roman"/>
          <w:sz w:val="21"/>
          <w:szCs w:val="21"/>
          <w:u w:val="single" w:color="auto"/>
          <w:color w:val="auto"/>
        </w:rPr>
        <w:t>Section 18</w:t>
      </w:r>
      <w:r>
        <w:rPr>
          <w:rFonts w:ascii="Times New Roman" w:cs="Times New Roman" w:eastAsia="Times New Roman" w:hAnsi="Times New Roman"/>
          <w:sz w:val="21"/>
          <w:szCs w:val="21"/>
          <w:color w:val="auto"/>
        </w:rPr>
        <w:t xml:space="preserve"> of the Plan or unless required or advisable to facilitate compliance with Applicable Laws, as determined in the sole discretion of the Committee, any such waiver, amendment, alteration, suspension, discontinuance, cancellation or termination that would materially and adversely affect the rights of any Participant with respect to any Award theretofore granted shall not to that extent be effective without the consent of the affected Participant.</w:t>
      </w:r>
    </w:p>
    <w:p>
      <w:pPr>
        <w:spacing w:after="0" w:line="154" w:lineRule="exact"/>
        <w:rPr>
          <w:sz w:val="20"/>
          <w:szCs w:val="20"/>
          <w:color w:val="auto"/>
        </w:rPr>
      </w:pPr>
    </w:p>
    <w:p>
      <w:pPr>
        <w:ind w:left="1300" w:hanging="648"/>
        <w:spacing w:after="0"/>
        <w:tabs>
          <w:tab w:leader="none" w:pos="1300" w:val="left"/>
        </w:tabs>
        <w:numPr>
          <w:ilvl w:val="0"/>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Repricing of Awards</w:t>
      </w:r>
    </w:p>
    <w:p>
      <w:pPr>
        <w:spacing w:after="0" w:line="188" w:lineRule="exact"/>
        <w:rPr>
          <w:sz w:val="20"/>
          <w:szCs w:val="20"/>
          <w:color w:val="auto"/>
        </w:rPr>
      </w:pPr>
    </w:p>
    <w:p>
      <w:pPr>
        <w:jc w:val="both"/>
        <w:ind w:firstLine="644"/>
        <w:spacing w:after="0" w:line="221" w:lineRule="auto"/>
        <w:rPr>
          <w:sz w:val="20"/>
          <w:szCs w:val="20"/>
          <w:color w:val="auto"/>
        </w:rPr>
      </w:pPr>
      <w:r>
        <w:rPr>
          <w:rFonts w:ascii="Times New Roman" w:cs="Times New Roman" w:eastAsia="Times New Roman" w:hAnsi="Times New Roman"/>
          <w:sz w:val="21"/>
          <w:szCs w:val="21"/>
          <w:color w:val="auto"/>
        </w:rPr>
        <w:t xml:space="preserve">Subject to </w:t>
      </w:r>
      <w:r>
        <w:rPr>
          <w:rFonts w:ascii="Times New Roman" w:cs="Times New Roman" w:eastAsia="Times New Roman" w:hAnsi="Times New Roman"/>
          <w:sz w:val="21"/>
          <w:szCs w:val="21"/>
          <w:u w:val="single" w:color="auto"/>
          <w:color w:val="auto"/>
        </w:rPr>
        <w:t>Section 11</w:t>
      </w:r>
      <w:r>
        <w:rPr>
          <w:rFonts w:ascii="Times New Roman" w:cs="Times New Roman" w:eastAsia="Times New Roman" w:hAnsi="Times New Roman"/>
          <w:sz w:val="21"/>
          <w:szCs w:val="21"/>
          <w:color w:val="auto"/>
        </w:rPr>
        <w:t xml:space="preserve"> of the Plan, in no event shall the Committee or the Board take any action without approval of the shareholders of the Company that would (i) reduce the Option Price of any Option or Strike Price of any Share Appreciation Right, (ii) result in the cancellation of any outstanding Option or Share Appreciation Right and replacement with a new Option or Share Appreciation Right with a lower Option Price or Strike Price, or with a cash payment or other Award at a time when the Option or Share Appreciation Right has a per Share Option Price or Strike Price, that is higher than the Fair Market Value of a Share on the date of the replacement or (iii) result in any other action that would constitute a “repricing” for purposes of the shareholder approval rules of any stock exchange or inter-dealer quotation system on which the securities of the Company are listed or quoted, in each case, to the extent such shareholder approval is required thereunder.</w:t>
      </w:r>
    </w:p>
    <w:p>
      <w:pPr>
        <w:spacing w:after="0" w:line="150" w:lineRule="exact"/>
        <w:rPr>
          <w:sz w:val="20"/>
          <w:szCs w:val="20"/>
          <w:color w:val="auto"/>
        </w:rPr>
      </w:pPr>
    </w:p>
    <w:p>
      <w:pPr>
        <w:ind w:left="660" w:hanging="653"/>
        <w:spacing w:after="0"/>
        <w:tabs>
          <w:tab w:leader="none" w:pos="660" w:val="left"/>
        </w:tabs>
        <w:numPr>
          <w:ilvl w:val="0"/>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Choice of Law</w:t>
      </w:r>
    </w:p>
    <w:p>
      <w:pPr>
        <w:spacing w:after="0" w:line="192" w:lineRule="exact"/>
        <w:rPr>
          <w:sz w:val="20"/>
          <w:szCs w:val="20"/>
          <w:color w:val="auto"/>
        </w:rPr>
      </w:pPr>
    </w:p>
    <w:p>
      <w:pPr>
        <w:jc w:val="both"/>
        <w:ind w:firstLine="644"/>
        <w:spacing w:after="0" w:line="234" w:lineRule="auto"/>
        <w:rPr>
          <w:sz w:val="20"/>
          <w:szCs w:val="20"/>
          <w:color w:val="auto"/>
        </w:rPr>
      </w:pPr>
      <w:r>
        <w:rPr>
          <w:rFonts w:ascii="Times New Roman" w:cs="Times New Roman" w:eastAsia="Times New Roman" w:hAnsi="Times New Roman"/>
          <w:sz w:val="21"/>
          <w:szCs w:val="21"/>
          <w:color w:val="auto"/>
        </w:rPr>
        <w:t>The validity, construction and effect of the Plan and any rules and regulations relating to the Plan shall be determined in accordance with applicable United States federal law and the laws of the State of Texas, without regard to any conflict of laws principles, except to the extent that the laws of Ireland mandatorily apply.</w:t>
      </w:r>
    </w:p>
    <w:p>
      <w:pPr>
        <w:spacing w:after="0" w:line="149" w:lineRule="exact"/>
        <w:rPr>
          <w:sz w:val="20"/>
          <w:szCs w:val="20"/>
          <w:color w:val="auto"/>
        </w:rPr>
      </w:pPr>
    </w:p>
    <w:p>
      <w:pPr>
        <w:ind w:left="660" w:hanging="653"/>
        <w:spacing w:after="0"/>
        <w:tabs>
          <w:tab w:leader="none" w:pos="660" w:val="left"/>
        </w:tabs>
        <w:numPr>
          <w:ilvl w:val="0"/>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Severability</w:t>
      </w:r>
    </w:p>
    <w:p>
      <w:pPr>
        <w:spacing w:after="0" w:line="192" w:lineRule="exact"/>
        <w:rPr>
          <w:sz w:val="20"/>
          <w:szCs w:val="20"/>
          <w:color w:val="auto"/>
        </w:rPr>
      </w:pPr>
    </w:p>
    <w:p>
      <w:pPr>
        <w:jc w:val="both"/>
        <w:ind w:firstLine="644"/>
        <w:spacing w:after="0" w:line="226" w:lineRule="auto"/>
        <w:rPr>
          <w:sz w:val="20"/>
          <w:szCs w:val="20"/>
          <w:color w:val="auto"/>
        </w:rPr>
      </w:pPr>
      <w:r>
        <w:rPr>
          <w:rFonts w:ascii="Times New Roman" w:cs="Times New Roman" w:eastAsia="Times New Roman" w:hAnsi="Times New Roman"/>
          <w:sz w:val="21"/>
          <w:szCs w:val="21"/>
          <w:color w:val="auto"/>
        </w:rPr>
        <w:t>If any provision of the Plan or the application of any provision hereof to any Person or circumstance is held to be illegal, invalid or unenforceable, the remainder of the Plan and the application of such provision to any other Person or circumstance shall not be affected, and the provisions so held to be unenforceable shall be construed and enforced as if the illegal, invalid or unenforceable provisions had never been included herein or reformed to the extent (and only to the extent) necessary to make it enforceable and valid.</w:t>
      </w:r>
    </w:p>
    <w:p>
      <w:pPr>
        <w:spacing w:after="0" w:line="147" w:lineRule="exact"/>
        <w:rPr>
          <w:sz w:val="20"/>
          <w:szCs w:val="20"/>
          <w:color w:val="auto"/>
        </w:rPr>
      </w:pPr>
    </w:p>
    <w:p>
      <w:pPr>
        <w:ind w:left="660" w:hanging="653"/>
        <w:spacing w:after="0"/>
        <w:tabs>
          <w:tab w:leader="none" w:pos="660" w:val="left"/>
        </w:tabs>
        <w:numPr>
          <w:ilvl w:val="0"/>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Effectiveness and Term of the Plan</w:t>
      </w:r>
    </w:p>
    <w:p>
      <w:pPr>
        <w:spacing w:after="0" w:line="192" w:lineRule="exact"/>
        <w:rPr>
          <w:sz w:val="20"/>
          <w:szCs w:val="20"/>
          <w:color w:val="auto"/>
        </w:rPr>
      </w:pPr>
    </w:p>
    <w:p>
      <w:pPr>
        <w:jc w:val="both"/>
        <w:ind w:firstLine="644"/>
        <w:spacing w:after="0" w:line="234" w:lineRule="auto"/>
        <w:rPr>
          <w:sz w:val="20"/>
          <w:szCs w:val="20"/>
          <w:color w:val="auto"/>
        </w:rPr>
      </w:pPr>
      <w:r>
        <w:rPr>
          <w:rFonts w:ascii="Times New Roman" w:cs="Times New Roman" w:eastAsia="Times New Roman" w:hAnsi="Times New Roman"/>
          <w:sz w:val="21"/>
          <w:szCs w:val="21"/>
          <w:color w:val="auto"/>
        </w:rPr>
        <w:t xml:space="preserve">The Plan shall be effective on the Effective Date. The Plan shall terminate on the day before the tenth anniversary of the Effective Date and may be terminated on any earlier date pursuant to </w:t>
      </w:r>
      <w:r>
        <w:rPr>
          <w:rFonts w:ascii="Times New Roman" w:cs="Times New Roman" w:eastAsia="Times New Roman" w:hAnsi="Times New Roman"/>
          <w:sz w:val="21"/>
          <w:szCs w:val="21"/>
          <w:u w:val="single" w:color="auto"/>
          <w:color w:val="auto"/>
        </w:rPr>
        <w:t>Section 14</w:t>
      </w:r>
      <w:r>
        <w:rPr>
          <w:rFonts w:ascii="Times New Roman" w:cs="Times New Roman" w:eastAsia="Times New Roman" w:hAnsi="Times New Roman"/>
          <w:sz w:val="21"/>
          <w:szCs w:val="21"/>
          <w:color w:val="auto"/>
        </w:rPr>
        <w:t xml:space="preserve"> of the Plan. The applicable provisions shall continue in effect with respect to an Award granted under the Plan for as long as such Award remains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24</w:t>
      </w:r>
    </w:p>
    <w:p>
      <w:pPr>
        <w:sectPr>
          <w:pgSz w:w="11900" w:h="16838" w:orient="portrait"/>
          <w:cols w:equalWidth="0" w:num="1">
            <w:col w:w="11240"/>
          </w:cols>
          <w:pgMar w:left="320" w:top="1440" w:right="339" w:bottom="1440" w:gutter="0" w:footer="0" w:header="0"/>
        </w:sectPr>
      </w:pPr>
    </w:p>
    <w:bookmarkStart w:id="40" w:name="page41"/>
    <w:bookmarkEnd w:id="40"/>
    <w:p>
      <w:pPr>
        <w:spacing w:after="0" w:line="266" w:lineRule="exact"/>
        <w:rPr>
          <w:sz w:val="20"/>
          <w:szCs w:val="20"/>
          <w:color w:val="auto"/>
        </w:rPr>
      </w:pPr>
    </w:p>
    <w:p>
      <w:pPr>
        <w:ind w:left="660" w:hanging="653"/>
        <w:spacing w:after="0"/>
        <w:tabs>
          <w:tab w:leader="none" w:pos="660" w:val="left"/>
        </w:tabs>
        <w:numPr>
          <w:ilvl w:val="0"/>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Section 409A</w:t>
      </w:r>
    </w:p>
    <w:p>
      <w:pPr>
        <w:spacing w:after="0" w:line="192" w:lineRule="exact"/>
        <w:rPr>
          <w:sz w:val="20"/>
          <w:szCs w:val="20"/>
          <w:color w:val="auto"/>
        </w:rPr>
      </w:pPr>
    </w:p>
    <w:p>
      <w:pPr>
        <w:jc w:val="both"/>
        <w:ind w:firstLine="644"/>
        <w:spacing w:after="0" w:line="216" w:lineRule="auto"/>
        <w:rPr>
          <w:sz w:val="20"/>
          <w:szCs w:val="20"/>
          <w:color w:val="auto"/>
        </w:rPr>
      </w:pPr>
      <w:r>
        <w:rPr>
          <w:rFonts w:ascii="Times New Roman" w:cs="Times New Roman" w:eastAsia="Times New Roman" w:hAnsi="Times New Roman"/>
          <w:sz w:val="21"/>
          <w:szCs w:val="21"/>
          <w:color w:val="auto"/>
        </w:rPr>
        <w:t>The Plan and all Awards made hereunder shall be interpreted, construed and operated to reflect the intent of the Company that all aspects of the Plan and the Awards shall be interpreted either to be exempt from the provisions of Section 409A or, to the extent subject to Section 409A, comply with Section 409A. To the extent that the Committee determines that any provision of this Plan or any Award granted hereunder would cause a Participant to incur any additional tax or interest under Section 409A, the Committee shall be entitled to reform such provision to attempt to comply with or be exempt from Section 409A through good faith modifications. To the extent that any provision hereof is modified in order to comply with Section 409A, such modification shall be made in good faith and shall, to the maximum extent reasonably possible, maintain the original intent and economic benefit to the Participant and the Company without violating the provisions of Section 409A. In no event may a Participant, directly or indirectly, designate the calendar year of any payment to be made under this Agreement or otherwise which constitutes a “deferral of compensation” within the meaning of Section 409A. The exercisability of an Option shall not be extended to the extent that such extension would subject the Participant to additional taxes under Section 409A. Anything contrary in this Plan notwithstanding, if an Award constitutes an item of deferred compensation subject to Section 409A and becomes payable by reason of a Participant's termination of Service, it shall not be paid to the Participant unless the Participant's termination of Service constitutes a “separation from service” (within the meaning of Section 409A and any regulations or other guidance thereunder). In addition, no such payment or distribution shall be made to the Participant prior to the earlier of (a) the expiration of the six month period measured from the date of the Participant's separation from service or (b) the date of the Participant's death, if the Participant is deemed at the time of such separation from service to be a “specified employee” (within the meaning of Section 409A) and to the extent such delayed commencement is otherwise required in order to avoid a prohibited distribution under Section 409A. Except as provided in an Award Agreement, all payments which had been delayed pursuant to the immediately preceding sentence shall be paid to the Participant in a lump sum upon expiration of such six month period (or, if earlier, upon the Participant's death). Each payment in a series of payments made under this Plan and any Awards granted hereunder shall be deemed to be a separate payment for purposes of Section 409A.</w:t>
      </w:r>
    </w:p>
    <w:p>
      <w:pPr>
        <w:spacing w:after="0" w:line="158" w:lineRule="exact"/>
        <w:rPr>
          <w:sz w:val="20"/>
          <w:szCs w:val="20"/>
          <w:color w:val="auto"/>
        </w:rPr>
      </w:pPr>
    </w:p>
    <w:p>
      <w:pPr>
        <w:jc w:val="both"/>
        <w:ind w:firstLine="644"/>
        <w:spacing w:after="0" w:line="226" w:lineRule="auto"/>
        <w:rPr>
          <w:sz w:val="20"/>
          <w:szCs w:val="20"/>
          <w:color w:val="auto"/>
        </w:rPr>
      </w:pPr>
      <w:r>
        <w:rPr>
          <w:rFonts w:ascii="Times New Roman" w:cs="Times New Roman" w:eastAsia="Times New Roman" w:hAnsi="Times New Roman"/>
          <w:sz w:val="21"/>
          <w:szCs w:val="21"/>
          <w:color w:val="auto"/>
        </w:rPr>
        <w:t>Neither a Participant nor any of a Participant's creditors or beneficiaries will have the right to subject any deferred compensation (within the meaning of Section 409A) payable under this Plan and grants hereunder to any anticipation, alienation, sale, transfer, assignment, pledge, encumbrance, attachment or garnishment. Except as permitted under Section 409A, any deferred compensation payable to a Participant or for a Participant's benefit under this Plan and grants hereunder may not be reduced by, or offset against, any amount owing by a Participant to any member of the Weatherford Group.</w:t>
      </w:r>
    </w:p>
    <w:p>
      <w:pPr>
        <w:spacing w:after="0" w:line="151" w:lineRule="exact"/>
        <w:rPr>
          <w:sz w:val="20"/>
          <w:szCs w:val="20"/>
          <w:color w:val="auto"/>
        </w:rPr>
      </w:pPr>
    </w:p>
    <w:p>
      <w:pPr>
        <w:jc w:val="both"/>
        <w:ind w:firstLine="644"/>
        <w:spacing w:after="0" w:line="226" w:lineRule="auto"/>
        <w:rPr>
          <w:sz w:val="20"/>
          <w:szCs w:val="20"/>
          <w:color w:val="auto"/>
        </w:rPr>
      </w:pPr>
      <w:r>
        <w:rPr>
          <w:rFonts w:ascii="Times New Roman" w:cs="Times New Roman" w:eastAsia="Times New Roman" w:hAnsi="Times New Roman"/>
          <w:sz w:val="21"/>
          <w:szCs w:val="21"/>
          <w:color w:val="auto"/>
        </w:rPr>
        <w:t>Notwithstanding the foregoing, (i) neither the Company nor the Committee shall have any obligation to take any action to prevent the assessment of any additional liability, tax or penalty on any Participant or beneficiary under Section 409A of the Code and (ii) neither the Committee (or any member thereof) nor any member of the Weatherford Group (or any employee, director or officer thereof) guarantees that this Plan or any Award granted hereunder complies with, or is exempt from, Section 409A and none of the foregoing shall have any liability with respect to any failure to so comply or to be so exempt.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25</w:t>
      </w:r>
    </w:p>
    <w:p>
      <w:pPr>
        <w:sectPr>
          <w:pgSz w:w="11900" w:h="16838" w:orient="portrait"/>
          <w:cols w:equalWidth="0" w:num="1">
            <w:col w:w="11240"/>
          </w:cols>
          <w:pgMar w:left="320" w:top="1440" w:right="339" w:bottom="1440" w:gutter="0" w:footer="0" w:header="0"/>
        </w:sectPr>
      </w:pPr>
    </w:p>
    <w:bookmarkStart w:id="41" w:name="page42"/>
    <w:bookmarkEnd w:id="41"/>
    <w:p>
      <w:pPr>
        <w:spacing w:after="0" w:line="266" w:lineRule="exact"/>
        <w:rPr>
          <w:sz w:val="20"/>
          <w:szCs w:val="20"/>
          <w:color w:val="auto"/>
        </w:rPr>
      </w:pPr>
    </w:p>
    <w:p>
      <w:pPr>
        <w:ind w:left="660" w:hanging="653"/>
        <w:spacing w:after="0"/>
        <w:tabs>
          <w:tab w:leader="none" w:pos="660" w:val="left"/>
        </w:tabs>
        <w:numPr>
          <w:ilvl w:val="0"/>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Clawback/Recoupment Policy</w:t>
      </w:r>
    </w:p>
    <w:p>
      <w:pPr>
        <w:spacing w:after="0" w:line="192" w:lineRule="exact"/>
        <w:rPr>
          <w:sz w:val="20"/>
          <w:szCs w:val="20"/>
          <w:color w:val="auto"/>
        </w:rPr>
      </w:pPr>
    </w:p>
    <w:p>
      <w:pPr>
        <w:jc w:val="both"/>
        <w:ind w:firstLine="644"/>
        <w:spacing w:after="0" w:line="218" w:lineRule="auto"/>
        <w:rPr>
          <w:sz w:val="20"/>
          <w:szCs w:val="20"/>
          <w:color w:val="auto"/>
        </w:rPr>
      </w:pPr>
      <w:r>
        <w:rPr>
          <w:rFonts w:ascii="Times New Roman" w:cs="Times New Roman" w:eastAsia="Times New Roman" w:hAnsi="Times New Roman"/>
          <w:sz w:val="21"/>
          <w:szCs w:val="21"/>
          <w:color w:val="auto"/>
        </w:rPr>
        <w:t>Notwithstanding any other provision of this Plan, all Awards shall be subject to reduction, cancellation, forfeiture or recoupment to the extent necessary to comply with (i) the Company's Compensation Clawback Policy and any other clawback, forfeiture or other similar policy adopted by the Board or the Committee and as in effect from time to time; and (ii) applicable law. Further, unless otherwise determined by the Committee in good faith in its reasonable discretion, to the extent that the Participant receives any amount in excess of the amount that the Participant should otherwise have received under the terms of the Award for any reason (including, without limitation, by reason of a financial restatement, mistake in calculations or other administrative error), the Participant shall be required to repay any such excess amount to the Company. By accepting an Award under the Plan, a Participant shall thereby be deemed to have acknowledged and consented to the Company's application, implementation and enforcement of any clawback, forfeiture or other similar policy adopted by the Board or the Committee, whether adopted prior to or following the date of grant of the Award, and any provision of applicable law relating to reduction cancellation, forfeiture or recoupment, and to have agreed that the Company may take such actions as may be necessary to effectuate any such policy or applicable law, without further consideration or action.</w:t>
      </w:r>
    </w:p>
    <w:p>
      <w:pPr>
        <w:spacing w:after="0" w:line="155" w:lineRule="exact"/>
        <w:rPr>
          <w:sz w:val="20"/>
          <w:szCs w:val="20"/>
          <w:color w:val="auto"/>
        </w:rPr>
      </w:pPr>
    </w:p>
    <w:p>
      <w:pPr>
        <w:ind w:left="660" w:hanging="653"/>
        <w:spacing w:after="0"/>
        <w:tabs>
          <w:tab w:leader="none" w:pos="660" w:val="left"/>
        </w:tabs>
        <w:numPr>
          <w:ilvl w:val="0"/>
          <w:numId w:val="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Tax-Related Items</w:t>
      </w:r>
    </w:p>
    <w:p>
      <w:pPr>
        <w:spacing w:after="0" w:line="192" w:lineRule="exact"/>
        <w:rPr>
          <w:sz w:val="20"/>
          <w:szCs w:val="20"/>
          <w:color w:val="auto"/>
        </w:rPr>
      </w:pPr>
    </w:p>
    <w:p>
      <w:pPr>
        <w:jc w:val="both"/>
        <w:ind w:firstLine="644"/>
        <w:spacing w:after="0"/>
        <w:rPr>
          <w:sz w:val="20"/>
          <w:szCs w:val="20"/>
          <w:color w:val="auto"/>
        </w:rPr>
      </w:pPr>
      <w:r>
        <w:rPr>
          <w:rFonts w:ascii="Times New Roman" w:cs="Times New Roman" w:eastAsia="Times New Roman" w:hAnsi="Times New Roman"/>
          <w:sz w:val="21"/>
          <w:szCs w:val="21"/>
          <w:color w:val="auto"/>
        </w:rPr>
        <w:t>The Company: (i) makes no representations or undertakings regarding the treatment of any Tax-Related Items in connection with any aspect of an Award; and (ii) does not commit to and is under no obligation to structure the terms of the grant or any aspect of an Award to reduce or eliminate the Participant’s liability for Tax-Related Items or achieve any particular tax result. Further, if the Participant is subject to Tax-Related Items in more than one jurisdiction, the Company and/or the Participant’s employer (or former employer, as applicable) may be required to withhold or account for Tax-Related Items in more than one jurisdiction.</w:t>
      </w:r>
    </w:p>
    <w:p>
      <w:pPr>
        <w:spacing w:after="0" w:line="296" w:lineRule="exact"/>
        <w:rPr>
          <w:sz w:val="20"/>
          <w:szCs w:val="20"/>
          <w:color w:val="auto"/>
        </w:rPr>
      </w:pPr>
    </w:p>
    <w:p>
      <w:pPr>
        <w:jc w:val="both"/>
        <w:ind w:firstLine="644"/>
        <w:spacing w:after="0" w:line="231" w:lineRule="auto"/>
        <w:rPr>
          <w:sz w:val="20"/>
          <w:szCs w:val="20"/>
          <w:color w:val="auto"/>
        </w:rPr>
      </w:pPr>
      <w:r>
        <w:rPr>
          <w:rFonts w:ascii="Times New Roman" w:cs="Times New Roman" w:eastAsia="Times New Roman" w:hAnsi="Times New Roman"/>
          <w:sz w:val="21"/>
          <w:szCs w:val="21"/>
          <w:color w:val="auto"/>
        </w:rPr>
        <w:t xml:space="preserve">Except as otherwise expressly in any Award Agreement, to satisfy any withholding obligations of the Company and/or the Participant’s employer with respect to the Tax-Related Items, the Company will withhold Shares otherwise issuable upon vesting of the Award. Alternatively, or in addition thereto, the Company or any Affiliate, as applicable, shall have the authority and the right to deduct or withhold, or to require a Participant to remit to the Company, an amount sufficient to satisfy the obligation for Tax-Related Items with respect to any taxable or tax withholding event concerning a Participant arising as a result of the Participant's participation in the Plan or to take such other action as may be necessary or appropriate in the opinion of the Company or an Affiliate or to comply with applicable securities laws, as applicable, to satisfy withholding obligations for the payment of Tax-Related Items by one or a combination of the following: (a) withholding from the Participant's wages or other cash compensation; (b) withholding from the proceeds of sale of Shares underlying an Award, either through a voluntary sale or a mandatory sale arranged by the Company on the Participant's behalf, without need of further authorization; (c) delivery to the Company of previously owned and unencumbered Shares of the Company having a Fair Market Value equal to such Tax-Related Items; or (d) requiring the Participant to tender a cash payment to the Company or an Affiliate in the amount of the Tax-Related Items; provided, however, that if the Participant is a </w:t>
      </w:r>
      <w:r>
        <w:rPr>
          <w:rFonts w:ascii="Times New Roman" w:cs="Times New Roman" w:eastAsia="Times New Roman" w:hAnsi="Times New Roman"/>
          <w:sz w:val="21"/>
          <w:szCs w:val="21"/>
          <w:u w:val="single" w:color="auto"/>
          <w:color w:val="auto"/>
        </w:rPr>
        <w:t>Section 16</w:t>
      </w:r>
      <w:r>
        <w:rPr>
          <w:rFonts w:ascii="Times New Roman" w:cs="Times New Roman" w:eastAsia="Times New Roman" w:hAnsi="Times New Roman"/>
          <w:sz w:val="21"/>
          <w:szCs w:val="21"/>
          <w:color w:val="auto"/>
        </w:rPr>
        <w:t xml:space="preserve"> officer of the Company under the Exchange Act, the withholding methods described in this </w:t>
      </w:r>
      <w:r>
        <w:rPr>
          <w:rFonts w:ascii="Times New Roman" w:cs="Times New Roman" w:eastAsia="Times New Roman" w:hAnsi="Times New Roman"/>
          <w:sz w:val="21"/>
          <w:szCs w:val="21"/>
          <w:u w:val="single" w:color="auto"/>
          <w:color w:val="auto"/>
        </w:rPr>
        <w:t>Section 20(a)</w:t>
      </w:r>
      <w:r>
        <w:rPr>
          <w:rFonts w:ascii="Times New Roman" w:cs="Times New Roman" w:eastAsia="Times New Roman" w:hAnsi="Times New Roman"/>
          <w:sz w:val="21"/>
          <w:szCs w:val="21"/>
          <w:color w:val="auto"/>
        </w:rPr>
        <w:t xml:space="preserve"> - </w:t>
      </w:r>
      <w:r>
        <w:rPr>
          <w:rFonts w:ascii="Times New Roman" w:cs="Times New Roman" w:eastAsia="Times New Roman" w:hAnsi="Times New Roman"/>
          <w:sz w:val="21"/>
          <w:szCs w:val="21"/>
          <w:u w:val="single" w:color="auto"/>
          <w:color w:val="auto"/>
        </w:rPr>
        <w:t>(d)</w:t>
      </w:r>
      <w:r>
        <w:rPr>
          <w:rFonts w:ascii="Times New Roman" w:cs="Times New Roman" w:eastAsia="Times New Roman" w:hAnsi="Times New Roman"/>
          <w:sz w:val="21"/>
          <w:szCs w:val="21"/>
          <w:color w:val="auto"/>
        </w:rPr>
        <w:t xml:space="preserve"> will only be used if the Committee (as constituted to satisfy Rule 16b-3 of the Exchange Act) determines, in advance of the applicable withholding event, that one of such withholding methods will be used in lieu of withholding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26</w:t>
      </w:r>
    </w:p>
    <w:p>
      <w:pPr>
        <w:sectPr>
          <w:pgSz w:w="11900" w:h="16838" w:orient="portrait"/>
          <w:cols w:equalWidth="0" w:num="1">
            <w:col w:w="11240"/>
          </w:cols>
          <w:pgMar w:left="320" w:top="1440" w:right="339" w:bottom="1440" w:gutter="0" w:footer="0" w:header="0"/>
        </w:sectPr>
      </w:pPr>
    </w:p>
    <w:bookmarkStart w:id="42" w:name="page43"/>
    <w:bookmarkEnd w:id="42"/>
    <w:p>
      <w:pPr>
        <w:spacing w:after="0" w:line="270" w:lineRule="exact"/>
        <w:rPr>
          <w:sz w:val="20"/>
          <w:szCs w:val="20"/>
          <w:color w:val="auto"/>
        </w:rPr>
      </w:pPr>
    </w:p>
    <w:p>
      <w:pPr>
        <w:jc w:val="both"/>
        <w:ind w:firstLine="644"/>
        <w:spacing w:after="0" w:line="226" w:lineRule="auto"/>
        <w:rPr>
          <w:sz w:val="20"/>
          <w:szCs w:val="20"/>
          <w:color w:val="auto"/>
        </w:rPr>
      </w:pPr>
      <w:r>
        <w:rPr>
          <w:rFonts w:ascii="Times New Roman" w:cs="Times New Roman" w:eastAsia="Times New Roman" w:hAnsi="Times New Roman"/>
          <w:sz w:val="21"/>
          <w:szCs w:val="21"/>
          <w:color w:val="auto"/>
        </w:rPr>
        <w:t>The Company may withhold for Tax-Related Items by considering applicable statutory withholding amounts or other applicable withholding rates, including maximum applicable rates in the Participant’s jurisdiction(s), in which case the Participant may receive a refund of any over-withheld amount in cash and will have no entitlement to the equivalent amount in Shares. The Company may refuse to issue or deliver the Shares or the proceeds of the sale of Shares, if the Participant fails to comply with his or her obligations in connection with the Tax-Related Items.</w:t>
      </w:r>
    </w:p>
    <w:p>
      <w:pPr>
        <w:spacing w:after="0" w:line="151" w:lineRule="exact"/>
        <w:rPr>
          <w:sz w:val="20"/>
          <w:szCs w:val="20"/>
          <w:color w:val="auto"/>
        </w:rPr>
      </w:pPr>
    </w:p>
    <w:p>
      <w:pPr>
        <w:jc w:val="both"/>
        <w:ind w:firstLine="644"/>
        <w:spacing w:after="0" w:line="229" w:lineRule="auto"/>
        <w:rPr>
          <w:sz w:val="20"/>
          <w:szCs w:val="20"/>
          <w:color w:val="auto"/>
        </w:rPr>
      </w:pPr>
      <w:r>
        <w:rPr>
          <w:rFonts w:ascii="Times New Roman" w:cs="Times New Roman" w:eastAsia="Times New Roman" w:hAnsi="Times New Roman"/>
          <w:sz w:val="21"/>
          <w:szCs w:val="21"/>
          <w:color w:val="auto"/>
        </w:rPr>
        <w:t>Without limiting the foregoing, the Company shall have no obligation to issue or deliver evidence of title for Shares subject to Awards granted hereunder to any Participant or other Person until the Participant or such other Person has made arrangements acceptable to the Committee in its sole discretion to satisfy the obligations for Tax-Related Items with respect to any taxable or tax withholding event concerning the Participant or the Award or such other person arising as a result of an Award.</w:t>
      </w:r>
    </w:p>
    <w:p>
      <w:pPr>
        <w:spacing w:after="0" w:line="148" w:lineRule="exact"/>
        <w:rPr>
          <w:sz w:val="20"/>
          <w:szCs w:val="20"/>
          <w:color w:val="auto"/>
        </w:rPr>
      </w:pPr>
    </w:p>
    <w:p>
      <w:pPr>
        <w:ind w:left="660" w:hanging="653"/>
        <w:spacing w:after="0"/>
        <w:tabs>
          <w:tab w:leader="none" w:pos="660" w:val="left"/>
        </w:tabs>
        <w:numPr>
          <w:ilvl w:val="0"/>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No Advice Regarding Grant</w:t>
      </w:r>
    </w:p>
    <w:p>
      <w:pPr>
        <w:spacing w:after="0" w:line="192" w:lineRule="exact"/>
        <w:rPr>
          <w:sz w:val="20"/>
          <w:szCs w:val="20"/>
          <w:color w:val="auto"/>
        </w:rPr>
      </w:pPr>
    </w:p>
    <w:p>
      <w:pPr>
        <w:jc w:val="both"/>
        <w:ind w:firstLine="644"/>
        <w:spacing w:after="0" w:line="229" w:lineRule="auto"/>
        <w:rPr>
          <w:sz w:val="20"/>
          <w:szCs w:val="20"/>
          <w:color w:val="auto"/>
        </w:rPr>
      </w:pPr>
      <w:r>
        <w:rPr>
          <w:rFonts w:ascii="Times New Roman" w:cs="Times New Roman" w:eastAsia="Times New Roman" w:hAnsi="Times New Roman"/>
          <w:sz w:val="21"/>
          <w:szCs w:val="21"/>
          <w:color w:val="auto"/>
        </w:rPr>
        <w:t>The Company is not providing any tax, legal or financial advice, nor is the Company making any recommendations regarding the Participant’s participation in the Plan, or his or her acquisition or sale of the underlying Shares. The Participant should consult with his or her own personal tax, legal and financial advisors regarding the Participant’s participation in the Plan before taking any action related to the Plan.</w:t>
      </w:r>
    </w:p>
    <w:p>
      <w:pPr>
        <w:spacing w:after="0" w:line="148" w:lineRule="exact"/>
        <w:rPr>
          <w:sz w:val="20"/>
          <w:szCs w:val="20"/>
          <w:color w:val="auto"/>
        </w:rPr>
      </w:pPr>
    </w:p>
    <w:p>
      <w:pPr>
        <w:ind w:left="660" w:hanging="653"/>
        <w:spacing w:after="0"/>
        <w:tabs>
          <w:tab w:leader="none" w:pos="660" w:val="left"/>
        </w:tabs>
        <w:numPr>
          <w:ilvl w:val="0"/>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Compliance with Laws; Government and Other Regulations</w:t>
      </w:r>
    </w:p>
    <w:p>
      <w:pPr>
        <w:spacing w:after="0" w:line="192" w:lineRule="exact"/>
        <w:rPr>
          <w:sz w:val="20"/>
          <w:szCs w:val="20"/>
          <w:color w:val="auto"/>
        </w:rPr>
      </w:pPr>
    </w:p>
    <w:p>
      <w:pPr>
        <w:jc w:val="both"/>
        <w:ind w:firstLine="644"/>
        <w:spacing w:after="0" w:line="216" w:lineRule="auto"/>
        <w:rPr>
          <w:sz w:val="20"/>
          <w:szCs w:val="20"/>
          <w:color w:val="auto"/>
        </w:rPr>
      </w:pPr>
      <w:r>
        <w:rPr>
          <w:rFonts w:ascii="Times New Roman" w:cs="Times New Roman" w:eastAsia="Times New Roman" w:hAnsi="Times New Roman"/>
          <w:sz w:val="21"/>
          <w:szCs w:val="21"/>
          <w:color w:val="auto"/>
        </w:rPr>
        <w:t>The obligation of the Company to make payment of Awards in Shares or otherwise shall be subject to all Applicable Laws, and to such approvals by government agencies, including government agencies in jurisdictions outside of the United States, in each case as may be required or as the Company deems necessary or advisable. No Shares will be issued hereunder if such issuance would constitute a violation of any Applicable Law. Without limiting the foregoing, the Company shall have no obligation to issue or deliver evidence of title for Shares subject to Awards granted hereunder prior to: (i) obtaining any approvals from governmental agencies that the Company determines are necessary or advisable, and (ii) completion of any registration or other qualification with respect to the Shares under any Applicable Law or ruling of any governmental body that the Company determines to be necessary or advisable or at a time when any such registration or qualification is not current, has been suspended or otherwise has ceased to be effective. The inability or impracticability of the Company to obtain or maintain authority from any regulatory body having jurisdiction, which authority is deemed by the Company's counsel to be necessary to the lawful issuance and sale of any Shares hereunder, shall relieve the Company of any liability in respect of the failure to issue or sell such Shares as to which such requisite authority shall not have been obtained and shall constitute circumstances in which the Committee may determine to amend or cancel Awards pertaining to such Shares, with or without consideration to the affected Participant. The Company shall be under no obligation to register pursuant to the Securities Act any of the Shares delivered pursuant to the Plan. If the Shares delivered pursuant to the Plan may in certain circumstances be exempt from registration pursuant to the Securities Act, the Company may restrict the transfer of such Shares in such manner as it deems advisable to ensure the availability of any such exemption. As a condition to any issuance of Shares subject to Awards, the Company may require the Participant to satisfy any qualifications that may be necessary or appropriate to evidence compliance with Applicable Law and to make any representation or warranty with respect to such compliance as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27</w:t>
      </w:r>
    </w:p>
    <w:p>
      <w:pPr>
        <w:sectPr>
          <w:pgSz w:w="11900" w:h="16838" w:orient="portrait"/>
          <w:cols w:equalWidth="0" w:num="1">
            <w:col w:w="11240"/>
          </w:cols>
          <w:pgMar w:left="320" w:top="1440" w:right="339" w:bottom="1440" w:gutter="0" w:footer="0" w:header="0"/>
        </w:sectPr>
      </w:pPr>
    </w:p>
    <w:bookmarkStart w:id="43" w:name="page44"/>
    <w:bookmarkEnd w:id="43"/>
    <w:p>
      <w:pPr>
        <w:spacing w:after="0" w:line="27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1"/>
          <w:szCs w:val="21"/>
          <w:color w:val="auto"/>
        </w:rPr>
        <w:t>requested by the Company. From time to time, the Board and appropriate officers of the Company are authorized to take the actions necessary and appropriate to file required documents with governmental authorities, stock exchanges, and other appropriate Persons to make Shares available for issuance.</w:t>
      </w:r>
    </w:p>
    <w:p>
      <w:pPr>
        <w:spacing w:after="0" w:line="153" w:lineRule="exact"/>
        <w:rPr>
          <w:sz w:val="20"/>
          <w:szCs w:val="20"/>
          <w:color w:val="auto"/>
        </w:rPr>
      </w:pPr>
    </w:p>
    <w:p>
      <w:pPr>
        <w:jc w:val="both"/>
        <w:ind w:firstLine="644"/>
        <w:spacing w:after="0" w:line="219" w:lineRule="auto"/>
        <w:rPr>
          <w:sz w:val="20"/>
          <w:szCs w:val="20"/>
          <w:color w:val="auto"/>
        </w:rPr>
      </w:pPr>
      <w:r>
        <w:rPr>
          <w:rFonts w:ascii="Times New Roman" w:cs="Times New Roman" w:eastAsia="Times New Roman" w:hAnsi="Times New Roman"/>
          <w:sz w:val="21"/>
          <w:szCs w:val="21"/>
          <w:color w:val="auto"/>
        </w:rPr>
        <w:t xml:space="preserve">Notwithstanding any provision of the Plan to the contrary, in order to comply with the Applicable Laws in countries other than Ireland or the U.S. in which the Company or any of its Affiliates operates or has Employees or Consultants, the Committee, in its sole discretion, shall have the power and authority to (i) determine which Affiliates shall be covered by the Plan; (ii) determine which Persons employed outside the United States are eligible to participate in the Plan; (iii) amend or vary the terms and provisions of the Plan and the terms and conditions of any Award granted to persons who reside or provide service outside Ireland or the United States; (iv) establish sub-plans and modify exercise procedures and other terms and procedures to the extent such actions may be necessary or advisable for legal or administrative reasons - any subplans and modifications to Plan terms and procedures established under this </w:t>
      </w:r>
      <w:r>
        <w:rPr>
          <w:rFonts w:ascii="Times New Roman" w:cs="Times New Roman" w:eastAsia="Times New Roman" w:hAnsi="Times New Roman"/>
          <w:sz w:val="21"/>
          <w:szCs w:val="21"/>
          <w:u w:val="single" w:color="auto"/>
          <w:color w:val="auto"/>
        </w:rPr>
        <w:t>Section 22</w:t>
      </w:r>
      <w:r>
        <w:rPr>
          <w:rFonts w:ascii="Times New Roman" w:cs="Times New Roman" w:eastAsia="Times New Roman" w:hAnsi="Times New Roman"/>
          <w:sz w:val="21"/>
          <w:szCs w:val="21"/>
          <w:color w:val="auto"/>
        </w:rPr>
        <w:t xml:space="preserve"> by the Committee shall be attached to the Plan document as appendices; and (v) take any action, before or after an Award is made, that it deems advisable to obtain or comply with any necessary local government regulatory exemptions or approvals; provided, that the Committee may not take any actions hereunder, and no Awards shall be granted, that would violate the Exchange Act, the Code, any securities law or governing statute.</w:t>
      </w:r>
    </w:p>
    <w:p>
      <w:pPr>
        <w:spacing w:after="0" w:line="149" w:lineRule="exact"/>
        <w:rPr>
          <w:sz w:val="20"/>
          <w:szCs w:val="20"/>
          <w:color w:val="auto"/>
        </w:rPr>
      </w:pPr>
    </w:p>
    <w:p>
      <w:pPr>
        <w:ind w:left="660" w:hanging="653"/>
        <w:spacing w:after="0"/>
        <w:tabs>
          <w:tab w:leader="none" w:pos="660" w:val="left"/>
        </w:tabs>
        <w:numPr>
          <w:ilvl w:val="0"/>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No Shareholders Rights</w:t>
      </w:r>
    </w:p>
    <w:p>
      <w:pPr>
        <w:spacing w:after="0" w:line="192" w:lineRule="exact"/>
        <w:rPr>
          <w:sz w:val="20"/>
          <w:szCs w:val="20"/>
          <w:color w:val="auto"/>
        </w:rPr>
      </w:pPr>
    </w:p>
    <w:p>
      <w:pPr>
        <w:jc w:val="both"/>
        <w:ind w:firstLine="644"/>
        <w:spacing w:after="0" w:line="229" w:lineRule="auto"/>
        <w:rPr>
          <w:sz w:val="20"/>
          <w:szCs w:val="20"/>
          <w:color w:val="auto"/>
        </w:rPr>
      </w:pPr>
      <w:r>
        <w:rPr>
          <w:rFonts w:ascii="Times New Roman" w:cs="Times New Roman" w:eastAsia="Times New Roman" w:hAnsi="Times New Roman"/>
          <w:sz w:val="21"/>
          <w:szCs w:val="21"/>
          <w:color w:val="auto"/>
        </w:rPr>
        <w:t>Except as otherwise expressly provided herein or in any Award Agreement, a Participant shall have none of the rights of a shareholder by virtue of holding or receiving an Award, including no right `to vote or receive dividends, until the Participant or its nominee/broker becomes the record owner of such Shares, notwithstanding the exercise of an Option or Share Appreciation Right or lapse of restrictions with respect to vesting of any Award.</w:t>
      </w:r>
    </w:p>
    <w:p>
      <w:pPr>
        <w:spacing w:after="0" w:line="148" w:lineRule="exact"/>
        <w:rPr>
          <w:sz w:val="20"/>
          <w:szCs w:val="20"/>
          <w:color w:val="auto"/>
        </w:rPr>
      </w:pPr>
    </w:p>
    <w:p>
      <w:pPr>
        <w:ind w:left="660" w:hanging="653"/>
        <w:spacing w:after="0"/>
        <w:tabs>
          <w:tab w:leader="none" w:pos="660" w:val="left"/>
        </w:tabs>
        <w:numPr>
          <w:ilvl w:val="0"/>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Unfunded Plan</w:t>
      </w:r>
    </w:p>
    <w:p>
      <w:pPr>
        <w:spacing w:after="0" w:line="192" w:lineRule="exact"/>
        <w:rPr>
          <w:sz w:val="20"/>
          <w:szCs w:val="20"/>
          <w:color w:val="auto"/>
        </w:rPr>
      </w:pPr>
    </w:p>
    <w:p>
      <w:pPr>
        <w:ind w:firstLine="644"/>
        <w:spacing w:after="0" w:line="251" w:lineRule="auto"/>
        <w:rPr>
          <w:sz w:val="20"/>
          <w:szCs w:val="20"/>
          <w:color w:val="auto"/>
        </w:rPr>
      </w:pPr>
      <w:r>
        <w:rPr>
          <w:rFonts w:ascii="Times New Roman" w:cs="Times New Roman" w:eastAsia="Times New Roman" w:hAnsi="Times New Roman"/>
          <w:sz w:val="21"/>
          <w:szCs w:val="21"/>
          <w:color w:val="auto"/>
        </w:rPr>
        <w:t>The Plan shall be unfunded. Neither the Company, the Board nor the Committee shall be required to establish any special or separate fund or to segregate any assets to assure the performance of its obligations under the Plan.</w:t>
      </w:r>
    </w:p>
    <w:p>
      <w:pPr>
        <w:spacing w:after="0" w:line="135" w:lineRule="exact"/>
        <w:rPr>
          <w:sz w:val="20"/>
          <w:szCs w:val="20"/>
          <w:color w:val="auto"/>
        </w:rPr>
      </w:pPr>
    </w:p>
    <w:p>
      <w:pPr>
        <w:ind w:left="660" w:hanging="653"/>
        <w:spacing w:after="0"/>
        <w:tabs>
          <w:tab w:leader="none" w:pos="660" w:val="left"/>
        </w:tabs>
        <w:numPr>
          <w:ilvl w:val="0"/>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Other Compensation Arrangements</w:t>
      </w:r>
    </w:p>
    <w:p>
      <w:pPr>
        <w:spacing w:after="0" w:line="192" w:lineRule="exact"/>
        <w:rPr>
          <w:sz w:val="20"/>
          <w:szCs w:val="20"/>
          <w:color w:val="auto"/>
        </w:rPr>
      </w:pPr>
    </w:p>
    <w:p>
      <w:pPr>
        <w:jc w:val="both"/>
        <w:ind w:firstLine="644"/>
        <w:spacing w:after="0" w:line="234" w:lineRule="auto"/>
        <w:rPr>
          <w:sz w:val="20"/>
          <w:szCs w:val="20"/>
          <w:color w:val="auto"/>
        </w:rPr>
      </w:pPr>
      <w:r>
        <w:rPr>
          <w:rFonts w:ascii="Times New Roman" w:cs="Times New Roman" w:eastAsia="Times New Roman" w:hAnsi="Times New Roman"/>
          <w:sz w:val="21"/>
          <w:szCs w:val="21"/>
          <w:color w:val="auto"/>
        </w:rPr>
        <w:t>Nothing contained in this Plan or in any Award Agreement shall prevent the Board from adopting other or additional compensation arrangements, subject to shareholder approval if such approval is required; and such arrangements may be either generally applicable or applicable only in specific cases.</w:t>
      </w:r>
    </w:p>
    <w:p>
      <w:pPr>
        <w:spacing w:after="0" w:line="149" w:lineRule="exact"/>
        <w:rPr>
          <w:sz w:val="20"/>
          <w:szCs w:val="20"/>
          <w:color w:val="auto"/>
        </w:rPr>
      </w:pPr>
    </w:p>
    <w:p>
      <w:pPr>
        <w:ind w:left="660" w:hanging="653"/>
        <w:spacing w:after="0"/>
        <w:tabs>
          <w:tab w:leader="none" w:pos="660" w:val="left"/>
        </w:tabs>
        <w:numPr>
          <w:ilvl w:val="0"/>
          <w:numId w:val="1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Relationship to Other Benefits</w:t>
      </w:r>
    </w:p>
    <w:p>
      <w:pPr>
        <w:spacing w:after="0" w:line="192" w:lineRule="exact"/>
        <w:rPr>
          <w:sz w:val="20"/>
          <w:szCs w:val="20"/>
          <w:color w:val="auto"/>
        </w:rPr>
      </w:pPr>
    </w:p>
    <w:p>
      <w:pPr>
        <w:jc w:val="both"/>
        <w:ind w:firstLine="644"/>
        <w:spacing w:after="0" w:line="234" w:lineRule="auto"/>
        <w:rPr>
          <w:sz w:val="20"/>
          <w:szCs w:val="20"/>
          <w:color w:val="auto"/>
        </w:rPr>
      </w:pPr>
      <w:r>
        <w:rPr>
          <w:rFonts w:ascii="Times New Roman" w:cs="Times New Roman" w:eastAsia="Times New Roman" w:hAnsi="Times New Roman"/>
          <w:sz w:val="21"/>
          <w:szCs w:val="21"/>
          <w:color w:val="auto"/>
        </w:rPr>
        <w:t>No payment under the Plan or any Award Agreement shall be taken into account in determining any benefits under any pension, retirement, profit sharing, group insurance or other benefit plan or arrangement or related agreement of the Company, except as otherwise specifically provided in such other plan or arrangement or related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28</w:t>
      </w:r>
    </w:p>
    <w:p>
      <w:pPr>
        <w:sectPr>
          <w:pgSz w:w="11900" w:h="16838" w:orient="portrait"/>
          <w:cols w:equalWidth="0" w:num="1">
            <w:col w:w="11240"/>
          </w:cols>
          <w:pgMar w:left="320" w:top="1440" w:right="339" w:bottom="1440" w:gutter="0" w:footer="0" w:header="0"/>
        </w:sectPr>
      </w:pPr>
    </w:p>
    <w:bookmarkStart w:id="44" w:name="page45"/>
    <w:bookmarkEnd w:id="44"/>
    <w:p>
      <w:pPr>
        <w:spacing w:after="0" w:line="266" w:lineRule="exact"/>
        <w:rPr>
          <w:sz w:val="20"/>
          <w:szCs w:val="20"/>
          <w:color w:val="auto"/>
        </w:rPr>
      </w:pPr>
    </w:p>
    <w:p>
      <w:pPr>
        <w:ind w:left="660" w:hanging="653"/>
        <w:spacing w:after="0"/>
        <w:tabs>
          <w:tab w:leader="none" w:pos="660" w:val="left"/>
        </w:tabs>
        <w:numPr>
          <w:ilvl w:val="0"/>
          <w:numId w:val="1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Other Agreements</w:t>
      </w:r>
    </w:p>
    <w:p>
      <w:pPr>
        <w:spacing w:after="0" w:line="192" w:lineRule="exact"/>
        <w:rPr>
          <w:sz w:val="20"/>
          <w:szCs w:val="20"/>
          <w:color w:val="auto"/>
        </w:rPr>
      </w:pPr>
    </w:p>
    <w:p>
      <w:pPr>
        <w:jc w:val="both"/>
        <w:ind w:firstLine="644"/>
        <w:spacing w:after="0" w:line="234" w:lineRule="auto"/>
        <w:rPr>
          <w:sz w:val="20"/>
          <w:szCs w:val="20"/>
          <w:color w:val="auto"/>
        </w:rPr>
      </w:pPr>
      <w:r>
        <w:rPr>
          <w:rFonts w:ascii="Times New Roman" w:cs="Times New Roman" w:eastAsia="Times New Roman" w:hAnsi="Times New Roman"/>
          <w:sz w:val="21"/>
          <w:szCs w:val="21"/>
          <w:color w:val="auto"/>
        </w:rPr>
        <w:t>The Committee may require, as a condition to the Participant’s participation in the Plan and/or to the grant of and/or the receipt of Shares under an Award, that the Participant execute lock-up, shareholder or other agreements or undertakings, as it may determine in its sole and absolute discretion.</w:t>
      </w:r>
    </w:p>
    <w:p>
      <w:pPr>
        <w:spacing w:after="0" w:line="149" w:lineRule="exact"/>
        <w:rPr>
          <w:sz w:val="20"/>
          <w:szCs w:val="20"/>
          <w:color w:val="auto"/>
        </w:rPr>
      </w:pPr>
    </w:p>
    <w:p>
      <w:pPr>
        <w:ind w:left="660" w:hanging="653"/>
        <w:spacing w:after="0"/>
        <w:tabs>
          <w:tab w:leader="none" w:pos="660" w:val="left"/>
        </w:tabs>
        <w:numPr>
          <w:ilvl w:val="0"/>
          <w:numId w:val="1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Notices</w:t>
      </w:r>
    </w:p>
    <w:p>
      <w:pPr>
        <w:spacing w:after="0" w:line="192" w:lineRule="exact"/>
        <w:rPr>
          <w:sz w:val="20"/>
          <w:szCs w:val="20"/>
          <w:color w:val="auto"/>
        </w:rPr>
      </w:pPr>
    </w:p>
    <w:p>
      <w:pPr>
        <w:jc w:val="both"/>
        <w:ind w:firstLine="644"/>
        <w:spacing w:after="0" w:line="226" w:lineRule="auto"/>
        <w:rPr>
          <w:sz w:val="20"/>
          <w:szCs w:val="20"/>
          <w:color w:val="auto"/>
        </w:rPr>
      </w:pPr>
      <w:r>
        <w:rPr>
          <w:rFonts w:ascii="Times New Roman" w:cs="Times New Roman" w:eastAsia="Times New Roman" w:hAnsi="Times New Roman"/>
          <w:sz w:val="21"/>
          <w:szCs w:val="21"/>
          <w:color w:val="auto"/>
        </w:rPr>
        <w:t>All notices required or permitted under the Plan and any Award Agreement must be in writing and personally delivered or sent by certified mail, return receipt requested, or by international courier, and shall be deemed to be delivered on the date on which it is actually received by the person to whom it is properly addressed, in the case of a Participant, at the Participant’s address shown in the books and records of the Company or, in the case of the Company, at the Company’s principal offices, attention General Counsel. Any person entitled to notice hereunder may waive such notice in writing.</w:t>
      </w:r>
    </w:p>
    <w:p>
      <w:pPr>
        <w:spacing w:after="0" w:line="147" w:lineRule="exact"/>
        <w:rPr>
          <w:sz w:val="20"/>
          <w:szCs w:val="20"/>
          <w:color w:val="auto"/>
        </w:rPr>
      </w:pPr>
    </w:p>
    <w:p>
      <w:pPr>
        <w:ind w:left="660" w:hanging="653"/>
        <w:spacing w:after="0"/>
        <w:tabs>
          <w:tab w:leader="none" w:pos="660" w:val="left"/>
        </w:tabs>
        <w:numPr>
          <w:ilvl w:val="0"/>
          <w:numId w:val="1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Electronic Delivery and Participation</w:t>
      </w:r>
    </w:p>
    <w:p>
      <w:pPr>
        <w:spacing w:after="0" w:line="192" w:lineRule="exact"/>
        <w:rPr>
          <w:sz w:val="20"/>
          <w:szCs w:val="20"/>
          <w:color w:val="auto"/>
        </w:rPr>
      </w:pPr>
    </w:p>
    <w:p>
      <w:pPr>
        <w:jc w:val="both"/>
        <w:ind w:firstLine="644"/>
        <w:spacing w:after="0" w:line="229" w:lineRule="auto"/>
        <w:rPr>
          <w:sz w:val="20"/>
          <w:szCs w:val="20"/>
          <w:color w:val="auto"/>
        </w:rPr>
      </w:pPr>
      <w:r>
        <w:rPr>
          <w:rFonts w:ascii="Times New Roman" w:cs="Times New Roman" w:eastAsia="Times New Roman" w:hAnsi="Times New Roman"/>
          <w:sz w:val="21"/>
          <w:szCs w:val="21"/>
          <w:color w:val="auto"/>
        </w:rPr>
        <w:t>The Company may, in its sole discretion, decide to deliver any documents related to participation in the Plan by electronic means or to request the Participant’s consent to participate in the Plan by electronic means. By receipt of an Award, the Participant consents to receive such documents by electronic delivery and agrees to participate in the Plan through an on-line or electronic system established and maintained by the Company or a third party designated by the Company.</w:t>
      </w:r>
    </w:p>
    <w:p>
      <w:pPr>
        <w:spacing w:after="0" w:line="148" w:lineRule="exact"/>
        <w:rPr>
          <w:sz w:val="20"/>
          <w:szCs w:val="20"/>
          <w:color w:val="auto"/>
        </w:rPr>
      </w:pPr>
    </w:p>
    <w:p>
      <w:pPr>
        <w:ind w:left="660" w:hanging="653"/>
        <w:spacing w:after="0"/>
        <w:tabs>
          <w:tab w:leader="none" w:pos="660" w:val="left"/>
        </w:tabs>
        <w:numPr>
          <w:ilvl w:val="0"/>
          <w:numId w:val="1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Transfer of Personal Data</w:t>
      </w:r>
    </w:p>
    <w:p>
      <w:pPr>
        <w:spacing w:after="0" w:line="192" w:lineRule="exact"/>
        <w:rPr>
          <w:sz w:val="20"/>
          <w:szCs w:val="20"/>
          <w:color w:val="auto"/>
        </w:rPr>
      </w:pPr>
    </w:p>
    <w:p>
      <w:pPr>
        <w:jc w:val="both"/>
        <w:ind w:firstLine="483"/>
        <w:spacing w:after="0" w:line="234" w:lineRule="auto"/>
        <w:rPr>
          <w:sz w:val="20"/>
          <w:szCs w:val="20"/>
          <w:color w:val="auto"/>
        </w:rPr>
      </w:pPr>
      <w:r>
        <w:rPr>
          <w:rFonts w:ascii="Times New Roman" w:cs="Times New Roman" w:eastAsia="Times New Roman" w:hAnsi="Times New Roman"/>
          <w:sz w:val="21"/>
          <w:szCs w:val="21"/>
          <w:color w:val="auto"/>
        </w:rPr>
        <w:t>A Participant shall be deemed to have authorized, agreed and consented to the transmission by the Company (or any Subsidiary) of any personal data information related to an Award for legitimate business purposes (including, without limitation, the administration of the Plan).</w:t>
      </w:r>
    </w:p>
    <w:p>
      <w:pPr>
        <w:spacing w:after="0" w:line="149" w:lineRule="exact"/>
        <w:rPr>
          <w:sz w:val="20"/>
          <w:szCs w:val="20"/>
          <w:color w:val="auto"/>
        </w:rPr>
      </w:pPr>
    </w:p>
    <w:p>
      <w:pPr>
        <w:ind w:left="660" w:hanging="653"/>
        <w:spacing w:after="0"/>
        <w:tabs>
          <w:tab w:leader="none" w:pos="660" w:val="left"/>
        </w:tabs>
        <w:numPr>
          <w:ilvl w:val="0"/>
          <w:numId w:val="1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Counterparts; Further Assurances</w:t>
      </w:r>
    </w:p>
    <w:p>
      <w:pPr>
        <w:spacing w:after="0" w:line="192" w:lineRule="exact"/>
        <w:rPr>
          <w:sz w:val="20"/>
          <w:szCs w:val="20"/>
          <w:color w:val="auto"/>
        </w:rPr>
      </w:pPr>
    </w:p>
    <w:p>
      <w:pPr>
        <w:jc w:val="both"/>
        <w:ind w:firstLine="403"/>
        <w:spacing w:after="0" w:line="220" w:lineRule="auto"/>
        <w:rPr>
          <w:sz w:val="20"/>
          <w:szCs w:val="20"/>
          <w:color w:val="auto"/>
        </w:rPr>
      </w:pPr>
      <w:r>
        <w:rPr>
          <w:rFonts w:ascii="Times New Roman" w:cs="Times New Roman" w:eastAsia="Times New Roman" w:hAnsi="Times New Roman"/>
          <w:sz w:val="21"/>
          <w:szCs w:val="21"/>
          <w:color w:val="auto"/>
        </w:rPr>
        <w:t>Award Agreements and any other document or agreement required under the Plan may be executed in one or more counterparts, each of which shall be deemed to be an original, but all of which shall constitute one and the same instrument. Counterpart signature pages transmitted by facsimile transmission, by electronic mail in portable document format (.pdf), using electronic signature technology (including, without limitation, DocuSign and AdobeSign) or by any other electronic means intended to preserve the original graphic and pictorial appearance of a document, will have the same effect as physical delivery of the paper document bearing an original signature. Each party to an Award Agreement and any other agreement shall do and perform (or shall cause to be done and performed) all such further acts and shall execute and deliver all such other agreements, certificates, instruments and documents as either party hereto reasonably may request in order to carry out the intent and accomplish the purposes of such agreement and the Plan and the consummation of the transactions contemplated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29</w:t>
      </w:r>
    </w:p>
    <w:p>
      <w:pPr>
        <w:sectPr>
          <w:pgSz w:w="11900" w:h="16838" w:orient="portrait"/>
          <w:cols w:equalWidth="0" w:num="1">
            <w:col w:w="11240"/>
          </w:cols>
          <w:pgMar w:left="320" w:top="1440" w:right="339" w:bottom="1440" w:gutter="0" w:footer="0" w:header="0"/>
        </w:sectPr>
      </w:pPr>
    </w:p>
    <w:bookmarkStart w:id="45" w:name="page46"/>
    <w:bookmarkEnd w:id="45"/>
    <w:p>
      <w:pPr>
        <w:spacing w:after="0" w:line="266" w:lineRule="exact"/>
        <w:rPr>
          <w:sz w:val="20"/>
          <w:szCs w:val="20"/>
          <w:color w:val="auto"/>
        </w:rPr>
      </w:pPr>
    </w:p>
    <w:p>
      <w:pPr>
        <w:ind w:left="660" w:hanging="653"/>
        <w:spacing w:after="0"/>
        <w:tabs>
          <w:tab w:leader="none" w:pos="660" w:val="left"/>
        </w:tabs>
        <w:numPr>
          <w:ilvl w:val="0"/>
          <w:numId w:val="1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Expenses; Gender; Titles and Headings</w:t>
      </w:r>
    </w:p>
    <w:p>
      <w:pPr>
        <w:spacing w:after="0" w:line="192" w:lineRule="exact"/>
        <w:rPr>
          <w:sz w:val="20"/>
          <w:szCs w:val="20"/>
          <w:color w:val="auto"/>
        </w:rPr>
      </w:pPr>
    </w:p>
    <w:p>
      <w:pPr>
        <w:jc w:val="both"/>
        <w:ind w:firstLine="644"/>
        <w:spacing w:after="0" w:line="234" w:lineRule="auto"/>
        <w:rPr>
          <w:sz w:val="20"/>
          <w:szCs w:val="20"/>
          <w:color w:val="auto"/>
        </w:rPr>
      </w:pPr>
      <w:r>
        <w:rPr>
          <w:rFonts w:ascii="Times New Roman" w:cs="Times New Roman" w:eastAsia="Times New Roman" w:hAnsi="Times New Roman"/>
          <w:sz w:val="21"/>
          <w:szCs w:val="21"/>
          <w:color w:val="auto"/>
        </w:rPr>
        <w:t>The expenses of administering the Plan shall be borne by the Weatherford Group. Masculine pronouns and other words of masculine gender shall refer to both men and women. The titles and headings of the sections in the Plan are for convenience of reference only, and in the event of any conflict, the text of the Plan, rather than such titles or headings shall control.</w:t>
      </w:r>
    </w:p>
    <w:p>
      <w:pPr>
        <w:spacing w:after="0" w:line="153"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1"/>
          <w:szCs w:val="21"/>
          <w:color w:val="auto"/>
        </w:rPr>
        <w:t>* * *</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As adopted by the Board of Directors of the Company on January 18, 2023 and effective as of such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30</w:t>
      </w:r>
    </w:p>
    <w:p>
      <w:pPr>
        <w:sectPr>
          <w:pgSz w:w="11900" w:h="16838" w:orient="portrait"/>
          <w:cols w:equalWidth="0" w:num="1">
            <w:col w:w="11240"/>
          </w:cols>
          <w:pgMar w:left="320" w:top="1440"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21"/>
          <w:szCs w:val="21"/>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WEATHERFORD INTERNATIONAL PLC</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AMENDED AND RESTATED RESTRICTED SHARE UNIT AWARD AGREEMENT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PURSUANT TO THE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THIRD AMENDED AND RESTATED 2019 EQUITY INCENTIVE PLAN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(TIME VESTING)</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 * * * *</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712470</wp:posOffset>
            </wp:positionH>
            <wp:positionV relativeFrom="paragraph">
              <wp:posOffset>-5080</wp:posOffset>
            </wp:positionV>
            <wp:extent cx="1365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6525" cy="8255"/>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 * * * *</w:t>
      </w:r>
    </w:p>
    <w:p>
      <w:pPr>
        <w:spacing w:after="0" w:line="188" w:lineRule="exact"/>
        <w:rPr>
          <w:sz w:val="20"/>
          <w:szCs w:val="20"/>
          <w:color w:val="auto"/>
        </w:rPr>
      </w:pPr>
    </w:p>
    <w:p>
      <w:pPr>
        <w:jc w:val="both"/>
        <w:ind w:firstLine="644"/>
        <w:spacing w:after="0" w:line="220" w:lineRule="auto"/>
        <w:rPr>
          <w:sz w:val="20"/>
          <w:szCs w:val="20"/>
          <w:color w:val="auto"/>
        </w:rPr>
      </w:pPr>
      <w:r>
        <w:rPr>
          <w:rFonts w:ascii="Times New Roman" w:cs="Times New Roman" w:eastAsia="Times New Roman" w:hAnsi="Times New Roman"/>
          <w:sz w:val="21"/>
          <w:szCs w:val="21"/>
          <w:b w:val="1"/>
          <w:bCs w:val="1"/>
          <w:color w:val="auto"/>
        </w:rPr>
        <w:t xml:space="preserve">THIS RESTRICTED SHARE UNIT AWARD AGREEMENT </w:t>
      </w:r>
      <w:r>
        <w:rPr>
          <w:rFonts w:ascii="Times New Roman" w:cs="Times New Roman" w:eastAsia="Times New Roman" w:hAnsi="Times New Roman"/>
          <w:sz w:val="21"/>
          <w:szCs w:val="21"/>
          <w:color w:val="auto"/>
        </w:rPr>
        <w:t>(this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dated as of the Grant Date specified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above, is entered into by and between WEATHERFORD INTERNATIONAL PLC, a public limited company organized under the laws of Ireland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and you as the Participant specified below, pursuant to that certain award letter regarding the awards granted hereunder dated __________ (the “</w:t>
      </w:r>
      <w:r>
        <w:rPr>
          <w:rFonts w:ascii="Times New Roman" w:cs="Times New Roman" w:eastAsia="Times New Roman" w:hAnsi="Times New Roman"/>
          <w:sz w:val="21"/>
          <w:szCs w:val="21"/>
          <w:u w:val="single" w:color="auto"/>
          <w:color w:val="auto"/>
        </w:rPr>
        <w:t>Award Letter</w:t>
      </w:r>
      <w:r>
        <w:rPr>
          <w:rFonts w:ascii="Times New Roman" w:cs="Times New Roman" w:eastAsia="Times New Roman" w:hAnsi="Times New Roman"/>
          <w:sz w:val="21"/>
          <w:szCs w:val="21"/>
          <w:color w:val="auto"/>
        </w:rPr>
        <w:t>”) between the parties and further made subject to the</w:t>
      </w:r>
    </w:p>
    <w:p>
      <w:pPr>
        <w:spacing w:after="0" w:line="2"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1"/>
          <w:szCs w:val="21"/>
          <w:color w:val="auto"/>
        </w:rPr>
        <w:t>Weatherford International plc Third Amended and Restated 2019 Equity Incentive Plan, as in effect and as amended from time to time (the “</w:t>
      </w: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1"/>
          <w:szCs w:val="21"/>
          <w:color w:val="auto"/>
        </w:rPr>
        <w:t>”), which is administered by the Committee (as defined in the Plan); and</w:t>
      </w:r>
    </w:p>
    <w:p>
      <w:pPr>
        <w:spacing w:after="0" w:line="147" w:lineRule="exact"/>
        <w:rPr>
          <w:sz w:val="20"/>
          <w:szCs w:val="20"/>
          <w:color w:val="auto"/>
        </w:rPr>
      </w:pPr>
    </w:p>
    <w:p>
      <w:pPr>
        <w:jc w:val="both"/>
        <w:ind w:firstLine="644"/>
        <w:spacing w:after="0" w:line="255" w:lineRule="auto"/>
        <w:rPr>
          <w:sz w:val="20"/>
          <w:szCs w:val="20"/>
          <w:color w:val="auto"/>
        </w:rPr>
      </w:pPr>
      <w:r>
        <w:rPr>
          <w:rFonts w:ascii="Times New Roman" w:cs="Times New Roman" w:eastAsia="Times New Roman" w:hAnsi="Times New Roman"/>
          <w:sz w:val="21"/>
          <w:szCs w:val="21"/>
          <w:b w:val="1"/>
          <w:bCs w:val="1"/>
          <w:color w:val="auto"/>
        </w:rPr>
        <w:t xml:space="preserve">WHEREAS, </w:t>
      </w:r>
      <w:r>
        <w:rPr>
          <w:rFonts w:ascii="Times New Roman" w:cs="Times New Roman" w:eastAsia="Times New Roman" w:hAnsi="Times New Roman"/>
          <w:sz w:val="21"/>
          <w:szCs w:val="21"/>
          <w:color w:val="auto"/>
        </w:rPr>
        <w:t>it has been determined under the Plan that it would be in the best interests of the Company to grant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Restricted Share Units (“</w:t>
      </w:r>
      <w:r>
        <w:rPr>
          <w:rFonts w:ascii="Times New Roman" w:cs="Times New Roman" w:eastAsia="Times New Roman" w:hAnsi="Times New Roman"/>
          <w:sz w:val="21"/>
          <w:szCs w:val="21"/>
          <w:u w:val="single" w:color="auto"/>
          <w:color w:val="auto"/>
        </w:rPr>
        <w:t>RSUs</w:t>
      </w:r>
      <w:r>
        <w:rPr>
          <w:rFonts w:ascii="Times New Roman" w:cs="Times New Roman" w:eastAsia="Times New Roman" w:hAnsi="Times New Roman"/>
          <w:sz w:val="21"/>
          <w:szCs w:val="21"/>
          <w:color w:val="auto"/>
        </w:rPr>
        <w:t>”) provided herein to the Participant.</w:t>
      </w:r>
    </w:p>
    <w:p>
      <w:pPr>
        <w:spacing w:after="0" w:line="131" w:lineRule="exact"/>
        <w:rPr>
          <w:sz w:val="20"/>
          <w:szCs w:val="20"/>
          <w:color w:val="auto"/>
        </w:rPr>
      </w:pPr>
    </w:p>
    <w:p>
      <w:pPr>
        <w:jc w:val="both"/>
        <w:ind w:firstLine="644"/>
        <w:spacing w:after="0" w:line="236" w:lineRule="auto"/>
        <w:rPr>
          <w:sz w:val="20"/>
          <w:szCs w:val="20"/>
          <w:color w:val="auto"/>
        </w:rPr>
      </w:pPr>
      <w:r>
        <w:rPr>
          <w:rFonts w:ascii="Times New Roman" w:cs="Times New Roman" w:eastAsia="Times New Roman" w:hAnsi="Times New Roman"/>
          <w:sz w:val="21"/>
          <w:szCs w:val="21"/>
          <w:b w:val="1"/>
          <w:bCs w:val="1"/>
          <w:color w:val="auto"/>
        </w:rPr>
        <w:t xml:space="preserve">NOW, THEREFORE, </w:t>
      </w:r>
      <w:r>
        <w:rPr>
          <w:rFonts w:ascii="Times New Roman" w:cs="Times New Roman" w:eastAsia="Times New Roman" w:hAnsi="Times New Roman"/>
          <w:sz w:val="21"/>
          <w:szCs w:val="21"/>
          <w:color w:val="auto"/>
        </w:rPr>
        <w:t>in consideration of the mutual covenants and promises hereinafter set forth and for other good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valuable consideration, the receipt and sufficiency of which is hereby acknowledged, the parties hereto hereby mutually covenant and agree as follows:</w:t>
      </w:r>
    </w:p>
    <w:p>
      <w:pPr>
        <w:spacing w:after="0" w:line="147" w:lineRule="exact"/>
        <w:rPr>
          <w:sz w:val="20"/>
          <w:szCs w:val="20"/>
          <w:color w:val="auto"/>
        </w:rPr>
      </w:pPr>
    </w:p>
    <w:p>
      <w:pPr>
        <w:jc w:val="both"/>
        <w:ind w:firstLine="1296"/>
        <w:spacing w:after="0" w:line="220" w:lineRule="auto"/>
        <w:tabs>
          <w:tab w:leader="none" w:pos="1933" w:val="left"/>
        </w:tabs>
        <w:numPr>
          <w:ilvl w:val="0"/>
          <w:numId w:val="1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Incorporation By Reference; Plan Document Receipt</w:t>
      </w:r>
      <w:r>
        <w:rPr>
          <w:rFonts w:ascii="Times New Roman" w:cs="Times New Roman" w:eastAsia="Times New Roman" w:hAnsi="Times New Roman"/>
          <w:sz w:val="21"/>
          <w:szCs w:val="21"/>
          <w:color w:val="auto"/>
        </w:rPr>
        <w:t>. This Agreement is subject in all respects to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terms and provisions of the Plan (including, without limitation, any amendments thereto adopted at any time and from time to time unless such amendments are expressly intended not to apply to the Award provided hereunder), all of which terms and provisions are made a part of and incorporated into this Agreement as if they were each expressly set forth herein. This Agreement, together with the Plan, contains the entire agreement between the parties hereto with respect to the subject matter contained herein, and supersedes all prior agreements or prior understandings, whether written or oral, between the parties relating to such subject matter. Except as provided otherwise herein, any capitalized term not defined in this Agreement shall have the same meaning as is ascribed thereto in the Plan. The Participant hereby acknowledges receipt of a true copy of the Plan and that the Participant has read the Plan carefully and fully understands its content. In the event of any conflict between the terms of this Agreement and the terms of the Plan, the terms of the Plan shall control.</w:t>
      </w:r>
    </w:p>
    <w:p>
      <w:pPr>
        <w:sectPr>
          <w:pgSz w:w="11900" w:h="16838" w:orient="portrait"/>
          <w:cols w:equalWidth="0" w:num="1">
            <w:col w:w="11240"/>
          </w:cols>
          <w:pgMar w:left="320" w:top="96" w:right="339" w:bottom="1440" w:gutter="0" w:footer="0" w:header="0"/>
        </w:sectPr>
      </w:pPr>
    </w:p>
    <w:bookmarkStart w:id="47" w:name="page48"/>
    <w:bookmarkEnd w:id="47"/>
    <w:p>
      <w:pPr>
        <w:jc w:val="both"/>
        <w:ind w:left="-100" w:firstLine="1296"/>
        <w:spacing w:after="0" w:line="224" w:lineRule="auto"/>
        <w:tabs>
          <w:tab w:leader="none" w:pos="1833" w:val="left"/>
        </w:tabs>
        <w:numPr>
          <w:ilvl w:val="0"/>
          <w:numId w:val="1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Grant of Restricted Share Unit Award</w:t>
      </w:r>
      <w:r>
        <w:rPr>
          <w:rFonts w:ascii="Times New Roman" w:cs="Times New Roman" w:eastAsia="Times New Roman" w:hAnsi="Times New Roman"/>
          <w:sz w:val="21"/>
          <w:szCs w:val="21"/>
          <w:color w:val="auto"/>
        </w:rPr>
        <w:t>. The Company hereby grants the number of RSUs specified in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Award Letter to the Participant, as of the Grant Date stated above. Except as otherwise provided by the Plan, the Participant agrees and understands that nothing contained in this Agreement provides, or is intended to provide, the Participant with any protection against potential future dilution of the Participant’s interest in the Company for any reason, and no adjustments shall be made for dividends in cash or other property, distributions or other rights in respect of the Shares underlying the RSUs, except as otherwise specifically provided for in the Plan or this Agreement.</w:t>
      </w:r>
    </w:p>
    <w:p>
      <w:pPr>
        <w:spacing w:after="0" w:line="150" w:lineRule="exact"/>
        <w:rPr>
          <w:rFonts w:ascii="Times New Roman" w:cs="Times New Roman" w:eastAsia="Times New Roman" w:hAnsi="Times New Roman"/>
          <w:sz w:val="21"/>
          <w:szCs w:val="21"/>
          <w:color w:val="auto"/>
        </w:rPr>
      </w:pPr>
    </w:p>
    <w:p>
      <w:pPr>
        <w:ind w:left="1840" w:hanging="644"/>
        <w:spacing w:after="0"/>
        <w:tabs>
          <w:tab w:leader="none" w:pos="1840" w:val="left"/>
        </w:tabs>
        <w:numPr>
          <w:ilvl w:val="0"/>
          <w:numId w:val="1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Vesting</w:t>
      </w:r>
      <w:r>
        <w:rPr>
          <w:rFonts w:ascii="Times New Roman" w:cs="Times New Roman" w:eastAsia="Times New Roman" w:hAnsi="Times New Roman"/>
          <w:sz w:val="21"/>
          <w:szCs w:val="21"/>
          <w:b w:val="1"/>
          <w:bCs w:val="1"/>
          <w:color w:val="auto"/>
        </w:rPr>
        <w:t>.</w:t>
      </w:r>
    </w:p>
    <w:p>
      <w:pPr>
        <w:spacing w:after="0" w:line="192" w:lineRule="exact"/>
        <w:rPr>
          <w:sz w:val="20"/>
          <w:szCs w:val="20"/>
          <w:color w:val="auto"/>
        </w:rPr>
      </w:pPr>
    </w:p>
    <w:p>
      <w:pPr>
        <w:ind w:left="-100" w:firstLine="1296"/>
        <w:spacing w:after="0" w:line="251" w:lineRule="auto"/>
        <w:tabs>
          <w:tab w:leader="none" w:pos="1829" w:val="left"/>
        </w:tabs>
        <w:numPr>
          <w:ilvl w:val="0"/>
          <w:numId w:val="1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Subject to the provisions of this </w:t>
      </w:r>
      <w:r>
        <w:rPr>
          <w:rFonts w:ascii="Times New Roman" w:cs="Times New Roman" w:eastAsia="Times New Roman" w:hAnsi="Times New Roman"/>
          <w:sz w:val="21"/>
          <w:szCs w:val="21"/>
          <w:u w:val="single" w:color="auto"/>
          <w:color w:val="auto"/>
        </w:rPr>
        <w:t>Section 3</w:t>
      </w:r>
      <w:r>
        <w:rPr>
          <w:rFonts w:ascii="Times New Roman" w:cs="Times New Roman" w:eastAsia="Times New Roman" w:hAnsi="Times New Roman"/>
          <w:sz w:val="21"/>
          <w:szCs w:val="21"/>
          <w:color w:val="auto"/>
        </w:rPr>
        <w:t>, the RSUs subject to this Award shall become vested as follows, provided that the Participant has not incurred a termination of Service prior to each such vesting date (each, a “</w:t>
      </w:r>
      <w:r>
        <w:rPr>
          <w:rFonts w:ascii="Times New Roman" w:cs="Times New Roman" w:eastAsia="Times New Roman" w:hAnsi="Times New Roman"/>
          <w:sz w:val="21"/>
          <w:szCs w:val="21"/>
          <w:u w:val="single" w:color="auto"/>
          <w:color w:val="auto"/>
        </w:rPr>
        <w:t>Vesting Date</w:t>
      </w:r>
      <w:r>
        <w:rPr>
          <w:rFonts w:ascii="Times New Roman" w:cs="Times New Roman" w:eastAsia="Times New Roman" w:hAnsi="Times New Roman"/>
          <w:sz w:val="21"/>
          <w:szCs w:val="21"/>
          <w:color w:val="auto"/>
        </w:rPr>
        <w:t>”):</w:t>
      </w:r>
    </w:p>
    <w:p>
      <w:pPr>
        <w:spacing w:after="0" w:line="180" w:lineRule="exact"/>
        <w:rPr>
          <w:sz w:val="20"/>
          <w:szCs w:val="20"/>
          <w:color w:val="auto"/>
        </w:rPr>
      </w:pPr>
    </w:p>
    <w:tbl>
      <w:tblPr>
        <w:tblLayout w:type="fixed"/>
        <w:tblInd w:w="1480" w:type="dxa"/>
        <w:tblCellMar>
          <w:top w:w="0" w:type="dxa"/>
          <w:left w:w="0" w:type="dxa"/>
          <w:bottom w:w="0" w:type="dxa"/>
          <w:right w:w="0" w:type="dxa"/>
        </w:tblCellMar>
      </w:tblPr>
      <w:tr>
        <w:trPr>
          <w:trHeight w:val="241"/>
        </w:trPr>
        <w:tc>
          <w:tcPr>
            <w:tcW w:w="1200" w:type="dxa"/>
            <w:vAlign w:val="bottom"/>
          </w:tcPr>
          <w:p>
            <w:pPr>
              <w:spacing w:after="0"/>
              <w:rPr>
                <w:sz w:val="21"/>
                <w:szCs w:val="21"/>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1"/>
                <w:szCs w:val="21"/>
                <w:b w:val="1"/>
                <w:bCs w:val="1"/>
                <w:color w:val="auto"/>
              </w:rPr>
              <w:t>Vesting Date</w:t>
            </w:r>
          </w:p>
        </w:tc>
        <w:tc>
          <w:tcPr>
            <w:tcW w:w="17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1"/>
                <w:szCs w:val="21"/>
                <w:b w:val="1"/>
                <w:bCs w:val="1"/>
                <w:color w:val="auto"/>
              </w:rPr>
              <w:t>Percentage of RSUs</w:t>
            </w:r>
          </w:p>
        </w:tc>
      </w:tr>
      <w:tr>
        <w:trPr>
          <w:trHeight w:val="514"/>
        </w:trPr>
        <w:tc>
          <w:tcPr>
            <w:tcW w:w="4060" w:type="dxa"/>
            <w:vAlign w:val="bottom"/>
            <w:gridSpan w:val="3"/>
          </w:tcPr>
          <w:p>
            <w:pPr>
              <w:jc w:val="center"/>
              <w:ind w:right="500"/>
              <w:spacing w:after="0"/>
              <w:rPr>
                <w:sz w:val="20"/>
                <w:szCs w:val="20"/>
                <w:color w:val="auto"/>
              </w:rPr>
            </w:pPr>
            <w:r>
              <w:rPr>
                <w:rFonts w:ascii="Times New Roman" w:cs="Times New Roman" w:eastAsia="Times New Roman" w:hAnsi="Times New Roman"/>
                <w:sz w:val="21"/>
                <w:szCs w:val="21"/>
                <w:b w:val="1"/>
                <w:bCs w:val="1"/>
                <w:color w:val="auto"/>
              </w:rPr>
              <w:t>First Anniversary of the Grant Date</w:t>
            </w:r>
          </w:p>
        </w:tc>
        <w:tc>
          <w:tcPr>
            <w:tcW w:w="50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21"/>
                <w:szCs w:val="21"/>
                <w:b w:val="1"/>
                <w:bCs w:val="1"/>
                <w:color w:val="auto"/>
                <w:w w:val="99"/>
              </w:rPr>
              <w:t>[•]%</w:t>
            </w:r>
          </w:p>
        </w:tc>
      </w:tr>
      <w:tr>
        <w:trPr>
          <w:trHeight w:val="483"/>
        </w:trPr>
        <w:tc>
          <w:tcPr>
            <w:tcW w:w="4060" w:type="dxa"/>
            <w:vAlign w:val="bottom"/>
            <w:gridSpan w:val="3"/>
          </w:tcPr>
          <w:p>
            <w:pPr>
              <w:jc w:val="center"/>
              <w:ind w:right="500"/>
              <w:spacing w:after="0"/>
              <w:rPr>
                <w:sz w:val="20"/>
                <w:szCs w:val="20"/>
                <w:color w:val="auto"/>
              </w:rPr>
            </w:pPr>
            <w:r>
              <w:rPr>
                <w:rFonts w:ascii="Times New Roman" w:cs="Times New Roman" w:eastAsia="Times New Roman" w:hAnsi="Times New Roman"/>
                <w:sz w:val="21"/>
                <w:szCs w:val="21"/>
                <w:b w:val="1"/>
                <w:bCs w:val="1"/>
                <w:color w:val="auto"/>
              </w:rPr>
              <w:t>Second Anniversary of the Grant Date</w:t>
            </w:r>
          </w:p>
        </w:tc>
        <w:tc>
          <w:tcPr>
            <w:tcW w:w="50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21"/>
                <w:szCs w:val="21"/>
                <w:b w:val="1"/>
                <w:bCs w:val="1"/>
                <w:color w:val="auto"/>
                <w:w w:val="99"/>
              </w:rPr>
              <w:t>[•]%</w:t>
            </w:r>
          </w:p>
        </w:tc>
      </w:tr>
      <w:tr>
        <w:trPr>
          <w:trHeight w:val="483"/>
        </w:trPr>
        <w:tc>
          <w:tcPr>
            <w:tcW w:w="4060" w:type="dxa"/>
            <w:vAlign w:val="bottom"/>
            <w:gridSpan w:val="3"/>
          </w:tcPr>
          <w:p>
            <w:pPr>
              <w:jc w:val="center"/>
              <w:ind w:right="500"/>
              <w:spacing w:after="0"/>
              <w:rPr>
                <w:sz w:val="20"/>
                <w:szCs w:val="20"/>
                <w:color w:val="auto"/>
              </w:rPr>
            </w:pPr>
            <w:r>
              <w:rPr>
                <w:rFonts w:ascii="Times New Roman" w:cs="Times New Roman" w:eastAsia="Times New Roman" w:hAnsi="Times New Roman"/>
                <w:sz w:val="21"/>
                <w:szCs w:val="21"/>
                <w:b w:val="1"/>
                <w:bCs w:val="1"/>
                <w:color w:val="auto"/>
              </w:rPr>
              <w:t>[Third Anniversary of the Grant Date]</w:t>
            </w:r>
          </w:p>
        </w:tc>
        <w:tc>
          <w:tcPr>
            <w:tcW w:w="50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21"/>
                <w:szCs w:val="21"/>
                <w:b w:val="1"/>
                <w:bCs w:val="1"/>
                <w:color w:val="auto"/>
                <w:w w:val="99"/>
              </w:rPr>
              <w:t>[•]%</w:t>
            </w:r>
          </w:p>
        </w:tc>
      </w:tr>
    </w:tbl>
    <w:p>
      <w:pPr>
        <w:spacing w:after="0" w:line="56" w:lineRule="exact"/>
        <w:rPr>
          <w:sz w:val="20"/>
          <w:szCs w:val="20"/>
          <w:color w:val="auto"/>
        </w:rPr>
      </w:pPr>
    </w:p>
    <w:p>
      <w:pPr>
        <w:jc w:val="both"/>
        <w:ind w:right="100"/>
        <w:spacing w:after="0" w:line="234" w:lineRule="auto"/>
        <w:rPr>
          <w:sz w:val="20"/>
          <w:szCs w:val="20"/>
          <w:color w:val="auto"/>
        </w:rPr>
      </w:pPr>
      <w:r>
        <w:rPr>
          <w:rFonts w:ascii="Times New Roman" w:cs="Times New Roman" w:eastAsia="Times New Roman" w:hAnsi="Times New Roman"/>
          <w:sz w:val="21"/>
          <w:szCs w:val="21"/>
          <w:color w:val="auto"/>
        </w:rPr>
        <w:t>There shall be no proportionate or partial vesting in the periods prior to each Vesting Date and all vesting shall occur only on the appropriate Vesting Date, subject to the Participant’s continued service with the Company or any of its Subsidiaries on each applicable Vesting Date.</w:t>
      </w:r>
    </w:p>
    <w:p>
      <w:pPr>
        <w:spacing w:after="0" w:line="153" w:lineRule="exact"/>
        <w:rPr>
          <w:sz w:val="20"/>
          <w:szCs w:val="20"/>
          <w:color w:val="auto"/>
        </w:rPr>
      </w:pPr>
    </w:p>
    <w:p>
      <w:pPr>
        <w:jc w:val="both"/>
        <w:ind w:left="-100" w:firstLine="1296"/>
        <w:spacing w:after="0" w:line="222" w:lineRule="auto"/>
        <w:tabs>
          <w:tab w:leader="none" w:pos="1828" w:val="left"/>
        </w:tabs>
        <w:numPr>
          <w:ilvl w:val="0"/>
          <w:numId w:val="1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Without Cause; Resignation for Good Reason; Due to Death or Disability</w:t>
      </w:r>
      <w:r>
        <w:rPr>
          <w:rFonts w:ascii="Times New Roman" w:cs="Times New Roman" w:eastAsia="Times New Roman" w:hAnsi="Times New Roman"/>
          <w:sz w:val="21"/>
          <w:szCs w:val="21"/>
          <w:color w:val="auto"/>
        </w:rPr>
        <w:t xml:space="preserve">. Subject to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4(b)</w:t>
      </w:r>
      <w:r>
        <w:rPr>
          <w:rFonts w:ascii="Times New Roman" w:cs="Times New Roman" w:eastAsia="Times New Roman" w:hAnsi="Times New Roman"/>
          <w:sz w:val="21"/>
          <w:szCs w:val="21"/>
          <w:color w:val="auto"/>
        </w:rPr>
        <w:t xml:space="preserve">, in the event the Participant’s Service is terminated by the Company without Cause or by the Participant for Good Reason (each, as defined in the Company’s Change in Control Severance Plan), all unvested RSUs shall become vested on each Vesting Date as if the Participant had not incurred a termination of Service prior to the applicable Vesting Date. Subject to </w:t>
      </w:r>
      <w:r>
        <w:rPr>
          <w:rFonts w:ascii="Times New Roman" w:cs="Times New Roman" w:eastAsia="Times New Roman" w:hAnsi="Times New Roman"/>
          <w:sz w:val="21"/>
          <w:szCs w:val="21"/>
          <w:u w:val="single" w:color="auto"/>
          <w:color w:val="auto"/>
        </w:rPr>
        <w:t>Section 4(b)</w:t>
      </w:r>
      <w:r>
        <w:rPr>
          <w:rFonts w:ascii="Times New Roman" w:cs="Times New Roman" w:eastAsia="Times New Roman" w:hAnsi="Times New Roman"/>
          <w:sz w:val="21"/>
          <w:szCs w:val="21"/>
          <w:color w:val="auto"/>
        </w:rPr>
        <w:t>, in the event the Participant’s Service is terminated due to the Participant’s death or Disability, all unvested RSUs shall become fully vested as of the time immediately prior to such termination of Service, all remaining forfeiture restrictions shall immediately lapse as of the Vesting Date and the Vesting Date shall be deemed to be the date of such termination of Service.</w:t>
      </w:r>
    </w:p>
    <w:p>
      <w:pPr>
        <w:spacing w:after="0" w:line="154" w:lineRule="exact"/>
        <w:rPr>
          <w:rFonts w:ascii="Times New Roman" w:cs="Times New Roman" w:eastAsia="Times New Roman" w:hAnsi="Times New Roman"/>
          <w:sz w:val="21"/>
          <w:szCs w:val="21"/>
          <w:color w:val="auto"/>
        </w:rPr>
      </w:pPr>
    </w:p>
    <w:p>
      <w:pPr>
        <w:jc w:val="both"/>
        <w:ind w:left="-100" w:firstLine="1296"/>
        <w:spacing w:after="0" w:line="234" w:lineRule="auto"/>
        <w:tabs>
          <w:tab w:leader="none" w:pos="1829" w:val="left"/>
        </w:tabs>
        <w:numPr>
          <w:ilvl w:val="0"/>
          <w:numId w:val="1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Change in Control</w:t>
      </w:r>
      <w:r>
        <w:rPr>
          <w:rFonts w:ascii="Times New Roman" w:cs="Times New Roman" w:eastAsia="Times New Roman" w:hAnsi="Times New Roman"/>
          <w:sz w:val="21"/>
          <w:szCs w:val="21"/>
          <w:color w:val="auto"/>
        </w:rPr>
        <w:t xml:space="preserve">. Subject to </w:t>
      </w:r>
      <w:r>
        <w:rPr>
          <w:rFonts w:ascii="Times New Roman" w:cs="Times New Roman" w:eastAsia="Times New Roman" w:hAnsi="Times New Roman"/>
          <w:sz w:val="21"/>
          <w:szCs w:val="21"/>
          <w:u w:val="single" w:color="auto"/>
          <w:color w:val="auto"/>
        </w:rPr>
        <w:t>Section 4(b)</w:t>
      </w:r>
      <w:r>
        <w:rPr>
          <w:rFonts w:ascii="Times New Roman" w:cs="Times New Roman" w:eastAsia="Times New Roman" w:hAnsi="Times New Roman"/>
          <w:sz w:val="21"/>
          <w:szCs w:val="21"/>
          <w:color w:val="auto"/>
        </w:rPr>
        <w:t>, if a Change in Control occurs, and the successor or purchaser in the Change in Control has assumed the Company’s obligations with respect to the RSUs or provided a substitute award and the Participant has a Qualifying</w:t>
      </w:r>
    </w:p>
    <w:p>
      <w:pPr>
        <w:sectPr>
          <w:pgSz w:w="11900" w:h="16838" w:orient="portrait"/>
          <w:cols w:equalWidth="0" w:num="1">
            <w:col w:w="11140"/>
          </w:cols>
          <w:pgMar w:left="420" w:top="1383" w:right="339" w:bottom="1440" w:gutter="0" w:footer="0" w:header="0"/>
        </w:sectPr>
      </w:pPr>
    </w:p>
    <w:bookmarkStart w:id="48" w:name="page49"/>
    <w:bookmarkEnd w:id="48"/>
    <w:p>
      <w:pPr>
        <w:jc w:val="both"/>
        <w:spacing w:after="0" w:line="224" w:lineRule="auto"/>
        <w:rPr>
          <w:sz w:val="20"/>
          <w:szCs w:val="20"/>
          <w:color w:val="auto"/>
        </w:rPr>
      </w:pPr>
      <w:r>
        <w:rPr>
          <w:rFonts w:ascii="Times New Roman" w:cs="Times New Roman" w:eastAsia="Times New Roman" w:hAnsi="Times New Roman"/>
          <w:sz w:val="21"/>
          <w:szCs w:val="21"/>
          <w:color w:val="auto"/>
        </w:rPr>
        <w:t>Termination (as defined in the Company’s Change in Control Severance Plan), the RSUs shall become fully vested as of the time immediately prior to such termination of Service, all remaining forfeiture restrictions shall immediately lapse as of the Vesting Date and the Vesting Date shall be deemed to be the date of such termination of Service; provided that if such Qualifying Termination occurs prior to a Change in Control, then the RSUs shall become fully vested as of the time immediately prior to such Change in Control, all remaining forfeiture restrictions shall immediately lapse as immediately prior to such Change in Control and the Vesting Date shall be deemed to be the date of such Change in Control.</w:t>
      </w:r>
    </w:p>
    <w:p>
      <w:pPr>
        <w:spacing w:after="0" w:line="151" w:lineRule="exact"/>
        <w:rPr>
          <w:sz w:val="20"/>
          <w:szCs w:val="20"/>
          <w:color w:val="auto"/>
        </w:rPr>
      </w:pPr>
    </w:p>
    <w:p>
      <w:pPr>
        <w:ind w:firstLine="1296"/>
        <w:spacing w:after="0" w:line="251" w:lineRule="auto"/>
        <w:tabs>
          <w:tab w:leader="none" w:pos="1928" w:val="left"/>
        </w:tabs>
        <w:numPr>
          <w:ilvl w:val="0"/>
          <w:numId w:val="1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Committee Discretion to Accelerate Vesting</w:t>
      </w:r>
      <w:r>
        <w:rPr>
          <w:rFonts w:ascii="Times New Roman" w:cs="Times New Roman" w:eastAsia="Times New Roman" w:hAnsi="Times New Roman"/>
          <w:sz w:val="21"/>
          <w:szCs w:val="21"/>
          <w:color w:val="auto"/>
        </w:rPr>
        <w:t>. In addition to the foregoing, the Committee may, in its sole discretion, accelerate vesting of the RSUs at any time and for any reason.</w:t>
      </w:r>
    </w:p>
    <w:p>
      <w:pPr>
        <w:spacing w:after="0" w:line="139" w:lineRule="exact"/>
        <w:rPr>
          <w:rFonts w:ascii="Times New Roman" w:cs="Times New Roman" w:eastAsia="Times New Roman" w:hAnsi="Times New Roman"/>
          <w:sz w:val="21"/>
          <w:szCs w:val="21"/>
          <w:color w:val="auto"/>
        </w:rPr>
      </w:pPr>
    </w:p>
    <w:p>
      <w:pPr>
        <w:jc w:val="both"/>
        <w:ind w:firstLine="1296"/>
        <w:spacing w:after="0" w:line="234" w:lineRule="auto"/>
        <w:tabs>
          <w:tab w:leader="none" w:pos="1929" w:val="left"/>
        </w:tabs>
        <w:numPr>
          <w:ilvl w:val="0"/>
          <w:numId w:val="1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Forfeiture</w:t>
      </w:r>
      <w:r>
        <w:rPr>
          <w:rFonts w:ascii="Times New Roman" w:cs="Times New Roman" w:eastAsia="Times New Roman" w:hAnsi="Times New Roman"/>
          <w:sz w:val="21"/>
          <w:szCs w:val="21"/>
          <w:color w:val="auto"/>
        </w:rPr>
        <w:t xml:space="preserve">. Subject to the terms of this </w:t>
      </w:r>
      <w:r>
        <w:rPr>
          <w:rFonts w:ascii="Times New Roman" w:cs="Times New Roman" w:eastAsia="Times New Roman" w:hAnsi="Times New Roman"/>
          <w:sz w:val="21"/>
          <w:szCs w:val="21"/>
          <w:u w:val="single" w:color="auto"/>
          <w:color w:val="auto"/>
        </w:rPr>
        <w:t>Section 3</w:t>
      </w:r>
      <w:r>
        <w:rPr>
          <w:rFonts w:ascii="Times New Roman" w:cs="Times New Roman" w:eastAsia="Times New Roman" w:hAnsi="Times New Roman"/>
          <w:sz w:val="21"/>
          <w:szCs w:val="21"/>
          <w:color w:val="auto"/>
        </w:rPr>
        <w:t xml:space="preserve">, all unvested RSUs (taking into account any vesting that may occur upon the Participant’s termination of Service in accordance with </w:t>
      </w:r>
      <w:r>
        <w:rPr>
          <w:rFonts w:ascii="Times New Roman" w:cs="Times New Roman" w:eastAsia="Times New Roman" w:hAnsi="Times New Roman"/>
          <w:sz w:val="21"/>
          <w:szCs w:val="21"/>
          <w:u w:val="single" w:color="auto"/>
          <w:color w:val="auto"/>
        </w:rPr>
        <w:t>Section 3(b)</w:t>
      </w:r>
      <w:r>
        <w:rPr>
          <w:rFonts w:ascii="Times New Roman" w:cs="Times New Roman" w:eastAsia="Times New Roman" w:hAnsi="Times New Roman"/>
          <w:sz w:val="21"/>
          <w:szCs w:val="21"/>
          <w:color w:val="auto"/>
        </w:rPr>
        <w:t xml:space="preserve"> hereof) shall be immediately forfeited upon the Participant’s termination of Service for any reason.</w:t>
      </w:r>
    </w:p>
    <w:p>
      <w:pPr>
        <w:spacing w:after="0" w:line="149" w:lineRule="exact"/>
        <w:rPr>
          <w:sz w:val="20"/>
          <w:szCs w:val="20"/>
          <w:color w:val="auto"/>
        </w:rPr>
      </w:pPr>
    </w:p>
    <w:p>
      <w:pPr>
        <w:ind w:left="1940" w:hanging="644"/>
        <w:spacing w:after="0"/>
        <w:tabs>
          <w:tab w:leader="none" w:pos="1940" w:val="left"/>
        </w:tabs>
        <w:numPr>
          <w:ilvl w:val="0"/>
          <w:numId w:val="1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Delivery of Shares</w:t>
      </w:r>
      <w:r>
        <w:rPr>
          <w:rFonts w:ascii="Times New Roman" w:cs="Times New Roman" w:eastAsia="Times New Roman" w:hAnsi="Times New Roman"/>
          <w:sz w:val="21"/>
          <w:szCs w:val="21"/>
          <w:color w:val="auto"/>
        </w:rPr>
        <w:t>.</w:t>
      </w:r>
    </w:p>
    <w:p>
      <w:pPr>
        <w:spacing w:after="0" w:line="192" w:lineRule="exact"/>
        <w:rPr>
          <w:sz w:val="20"/>
          <w:szCs w:val="20"/>
          <w:color w:val="auto"/>
        </w:rPr>
      </w:pPr>
    </w:p>
    <w:p>
      <w:pPr>
        <w:jc w:val="both"/>
        <w:ind w:firstLine="1296"/>
        <w:spacing w:after="0" w:line="234" w:lineRule="auto"/>
        <w:tabs>
          <w:tab w:leader="none" w:pos="1929" w:val="left"/>
        </w:tabs>
        <w:numPr>
          <w:ilvl w:val="0"/>
          <w:numId w:val="1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General</w:t>
      </w:r>
      <w:r>
        <w:rPr>
          <w:rFonts w:ascii="Times New Roman" w:cs="Times New Roman" w:eastAsia="Times New Roman" w:hAnsi="Times New Roman"/>
          <w:sz w:val="21"/>
          <w:szCs w:val="21"/>
          <w:color w:val="auto"/>
        </w:rPr>
        <w:t>. Subject to the requirements of Section 409A of the Code, within ten (10) days following the applicable Vesting Date of the RSUs the Participant shall receive the number of Shares that correspond to the number of RSUs that have become vested on the applicable Vesting Date, less any shares withheld by the Company for tax withholding purposes.</w:t>
      </w:r>
    </w:p>
    <w:p>
      <w:pPr>
        <w:spacing w:after="0" w:line="152" w:lineRule="exact"/>
        <w:rPr>
          <w:rFonts w:ascii="Times New Roman" w:cs="Times New Roman" w:eastAsia="Times New Roman" w:hAnsi="Times New Roman"/>
          <w:sz w:val="21"/>
          <w:szCs w:val="21"/>
          <w:color w:val="auto"/>
        </w:rPr>
      </w:pPr>
    </w:p>
    <w:p>
      <w:pPr>
        <w:jc w:val="both"/>
        <w:ind w:firstLine="1296"/>
        <w:spacing w:after="0" w:line="234" w:lineRule="auto"/>
        <w:tabs>
          <w:tab w:leader="none" w:pos="1928" w:val="left"/>
        </w:tabs>
        <w:numPr>
          <w:ilvl w:val="0"/>
          <w:numId w:val="1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Release</w:t>
      </w:r>
      <w:r>
        <w:rPr>
          <w:rFonts w:ascii="Times New Roman" w:cs="Times New Roman" w:eastAsia="Times New Roman" w:hAnsi="Times New Roman"/>
          <w:sz w:val="21"/>
          <w:szCs w:val="21"/>
          <w:color w:val="auto"/>
        </w:rPr>
        <w:t xml:space="preserve">. The receipt of Shares subject to the RSUs that are eligible to vest pursuant to </w:t>
      </w:r>
      <w:r>
        <w:rPr>
          <w:rFonts w:ascii="Times New Roman" w:cs="Times New Roman" w:eastAsia="Times New Roman" w:hAnsi="Times New Roman"/>
          <w:sz w:val="21"/>
          <w:szCs w:val="21"/>
          <w:u w:val="single" w:color="auto"/>
          <w:color w:val="auto"/>
        </w:rPr>
        <w:t>Section 3(b)</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(c)</w:t>
      </w:r>
      <w:r>
        <w:rPr>
          <w:rFonts w:ascii="Times New Roman" w:cs="Times New Roman" w:eastAsia="Times New Roman" w:hAnsi="Times New Roman"/>
          <w:sz w:val="21"/>
          <w:szCs w:val="21"/>
          <w:color w:val="auto"/>
        </w:rPr>
        <w:t xml:space="preserve"> shall be subject to the execution and nonrevocation of a general release of claims in favor of the Company, in a form reasonably satisfactory to the Company.</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i w:val="1"/>
          <w:iCs w:val="1"/>
          <w:color w:val="auto"/>
        </w:rPr>
        <w:t>[Remainder of Page Intentionally Left Blank]</w:t>
      </w:r>
    </w:p>
    <w:p>
      <w:pPr>
        <w:sectPr>
          <w:pgSz w:w="11900" w:h="16838" w:orient="portrait"/>
          <w:cols w:equalWidth="0" w:num="1">
            <w:col w:w="11240"/>
          </w:cols>
          <w:pgMar w:left="320" w:top="1387" w:right="339" w:bottom="1440" w:gutter="0" w:footer="0" w:header="0"/>
        </w:sectPr>
      </w:pPr>
    </w:p>
    <w:bookmarkStart w:id="49" w:name="page50"/>
    <w:bookmarkEnd w:id="49"/>
    <w:p>
      <w:pPr>
        <w:ind w:firstLine="644"/>
        <w:spacing w:after="0" w:line="251" w:lineRule="auto"/>
        <w:rPr>
          <w:sz w:val="20"/>
          <w:szCs w:val="20"/>
          <w:color w:val="auto"/>
        </w:rPr>
      </w:pPr>
      <w:r>
        <w:rPr>
          <w:rFonts w:ascii="Times New Roman" w:cs="Times New Roman" w:eastAsia="Times New Roman" w:hAnsi="Times New Roman"/>
          <w:sz w:val="21"/>
          <w:szCs w:val="21"/>
          <w:color w:val="auto"/>
        </w:rPr>
        <w:t>By signing below, the Participant hereby acknowledges receipt of the RSUs issued on the Grant Date indicated above, which have been issued under the terms and conditions of the Plan and this Agreement.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WEATHERFORD INTERNATIONAL PLC</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-5715</wp:posOffset>
            </wp:positionV>
            <wp:extent cx="1365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6525" cy="8255"/>
                    </a:xfrm>
                    <a:prstGeom prst="rect">
                      <a:avLst/>
                    </a:prstGeom>
                    <a:noFill/>
                  </pic:spPr>
                </pic:pic>
              </a:graphicData>
            </a:graphic>
          </wp:anchor>
        </w:drawing>
      </w:r>
    </w:p>
    <w:p>
      <w:pPr>
        <w:spacing w:after="0" w:line="213" w:lineRule="auto"/>
        <w:rPr>
          <w:sz w:val="20"/>
          <w:szCs w:val="20"/>
          <w:color w:val="auto"/>
        </w:rPr>
      </w:pPr>
      <w:r>
        <w:rPr>
          <w:rFonts w:ascii="Times New Roman" w:cs="Times New Roman" w:eastAsia="Times New Roman" w:hAnsi="Times New Roman"/>
          <w:sz w:val="21"/>
          <w:szCs w:val="2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-5715</wp:posOffset>
            </wp:positionV>
            <wp:extent cx="1365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652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1"/>
          <w:szCs w:val="2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329565</wp:posOffset>
            </wp:positionH>
            <wp:positionV relativeFrom="paragraph">
              <wp:posOffset>-22860</wp:posOffset>
            </wp:positionV>
            <wp:extent cx="1365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65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Accepted by:</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[Name of the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-140970</wp:posOffset>
            </wp:positionV>
            <wp:extent cx="1365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6525" cy="8255"/>
                    </a:xfrm>
                    <a:prstGeom prst="rect">
                      <a:avLst/>
                    </a:prstGeom>
                    <a:noFill/>
                  </pic:spPr>
                </pic:pic>
              </a:graphicData>
            </a:graphic>
          </wp:anchor>
        </w:drawing>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334010</wp:posOffset>
            </wp:positionH>
            <wp:positionV relativeFrom="paragraph">
              <wp:posOffset>-7620</wp:posOffset>
            </wp:positionV>
            <wp:extent cx="1365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6525" cy="8255"/>
                    </a:xfrm>
                    <a:prstGeom prst="rect">
                      <a:avLst/>
                    </a:prstGeom>
                    <a:noFill/>
                  </pic:spPr>
                </pic:pic>
              </a:graphicData>
            </a:graphic>
          </wp:anchor>
        </w:drawing>
      </w:r>
    </w:p>
    <w:p>
      <w:pPr>
        <w:sectPr>
          <w:pgSz w:w="11900" w:h="16838" w:orient="portrait"/>
          <w:cols w:equalWidth="0" w:num="1">
            <w:col w:w="11240"/>
          </w:cols>
          <w:pgMar w:left="320" w:top="1387"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20"/>
          <w:szCs w:val="20"/>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WEATHERFORD INTERNATIONAL PLC</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PERFORMANCE RESTRICTED SHARE UNIT AWARD AGREEMENT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PURSUANT TO THE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THIRD AMENDED AND RESTATED 2019 EQUITY INCENTIVE PLAN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(PERFORMANCE VESTING)</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 * * * *</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712470</wp:posOffset>
            </wp:positionH>
            <wp:positionV relativeFrom="paragraph">
              <wp:posOffset>-5080</wp:posOffset>
            </wp:positionV>
            <wp:extent cx="1365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6525" cy="8255"/>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 * * * *</w:t>
      </w:r>
    </w:p>
    <w:p>
      <w:pPr>
        <w:spacing w:after="0" w:line="188" w:lineRule="exact"/>
        <w:rPr>
          <w:sz w:val="20"/>
          <w:szCs w:val="20"/>
          <w:color w:val="auto"/>
        </w:rPr>
      </w:pPr>
    </w:p>
    <w:p>
      <w:pPr>
        <w:jc w:val="both"/>
        <w:ind w:firstLine="644"/>
        <w:spacing w:after="0" w:line="220" w:lineRule="auto"/>
        <w:rPr>
          <w:sz w:val="20"/>
          <w:szCs w:val="20"/>
          <w:color w:val="auto"/>
        </w:rPr>
      </w:pPr>
      <w:r>
        <w:rPr>
          <w:rFonts w:ascii="Times New Roman" w:cs="Times New Roman" w:eastAsia="Times New Roman" w:hAnsi="Times New Roman"/>
          <w:sz w:val="21"/>
          <w:szCs w:val="21"/>
          <w:b w:val="1"/>
          <w:bCs w:val="1"/>
          <w:color w:val="auto"/>
        </w:rPr>
        <w:t xml:space="preserve">THIS PERFORMANCE RESTRICTED SHARE UNIT AWARD AGREEMENT </w:t>
      </w:r>
      <w:r>
        <w:rPr>
          <w:rFonts w:ascii="Times New Roman" w:cs="Times New Roman" w:eastAsia="Times New Roman" w:hAnsi="Times New Roman"/>
          <w:sz w:val="21"/>
          <w:szCs w:val="21"/>
          <w:color w:val="auto"/>
        </w:rPr>
        <w:t>(this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dated as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Grant Date specified above, is entered into by and between WEATHERFORD INTERNATIONAL PLC, a public limited company organized under the laws of Ireland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and you as the Participant specified below, pursuant to that certain award letter regarding the awards granted hereunder dated ____________ (the “</w:t>
      </w:r>
      <w:r>
        <w:rPr>
          <w:rFonts w:ascii="Times New Roman" w:cs="Times New Roman" w:eastAsia="Times New Roman" w:hAnsi="Times New Roman"/>
          <w:sz w:val="21"/>
          <w:szCs w:val="21"/>
          <w:u w:val="single" w:color="auto"/>
          <w:color w:val="auto"/>
        </w:rPr>
        <w:t>Award Letter</w:t>
      </w:r>
      <w:r>
        <w:rPr>
          <w:rFonts w:ascii="Times New Roman" w:cs="Times New Roman" w:eastAsia="Times New Roman" w:hAnsi="Times New Roman"/>
          <w:sz w:val="21"/>
          <w:szCs w:val="21"/>
          <w:color w:val="auto"/>
        </w:rPr>
        <w:t>”) between the parties and further</w:t>
      </w:r>
    </w:p>
    <w:p>
      <w:pPr>
        <w:spacing w:after="0" w:line="2"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1"/>
          <w:szCs w:val="21"/>
          <w:color w:val="auto"/>
        </w:rPr>
        <w:t>made subject to the Weatherford International plc Third Amended and Restated 2019 Equity Incentive Plan, as in effect and as amended from time to time (the “</w:t>
      </w: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1"/>
          <w:szCs w:val="21"/>
          <w:color w:val="auto"/>
        </w:rPr>
        <w:t>”), which is administered by the Committee (as defined in the Plan); and</w:t>
      </w:r>
    </w:p>
    <w:p>
      <w:pPr>
        <w:spacing w:after="0" w:line="147" w:lineRule="exact"/>
        <w:rPr>
          <w:sz w:val="20"/>
          <w:szCs w:val="20"/>
          <w:color w:val="auto"/>
        </w:rPr>
      </w:pPr>
    </w:p>
    <w:p>
      <w:pPr>
        <w:jc w:val="both"/>
        <w:ind w:firstLine="644"/>
        <w:spacing w:after="0" w:line="255" w:lineRule="auto"/>
        <w:rPr>
          <w:sz w:val="20"/>
          <w:szCs w:val="20"/>
          <w:color w:val="auto"/>
        </w:rPr>
      </w:pPr>
      <w:r>
        <w:rPr>
          <w:rFonts w:ascii="Times New Roman" w:cs="Times New Roman" w:eastAsia="Times New Roman" w:hAnsi="Times New Roman"/>
          <w:sz w:val="21"/>
          <w:szCs w:val="21"/>
          <w:b w:val="1"/>
          <w:bCs w:val="1"/>
          <w:color w:val="auto"/>
        </w:rPr>
        <w:t xml:space="preserve">WHEREAS, </w:t>
      </w:r>
      <w:r>
        <w:rPr>
          <w:rFonts w:ascii="Times New Roman" w:cs="Times New Roman" w:eastAsia="Times New Roman" w:hAnsi="Times New Roman"/>
          <w:sz w:val="21"/>
          <w:szCs w:val="21"/>
          <w:color w:val="auto"/>
        </w:rPr>
        <w:t>it has been determined under the Plan that it would be in the best interests of the Company to grant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Performance Restricted Share Units (“</w:t>
      </w:r>
      <w:r>
        <w:rPr>
          <w:rFonts w:ascii="Times New Roman" w:cs="Times New Roman" w:eastAsia="Times New Roman" w:hAnsi="Times New Roman"/>
          <w:sz w:val="21"/>
          <w:szCs w:val="21"/>
          <w:u w:val="single" w:color="auto"/>
          <w:color w:val="auto"/>
        </w:rPr>
        <w:t>PSUs</w:t>
      </w:r>
      <w:r>
        <w:rPr>
          <w:rFonts w:ascii="Times New Roman" w:cs="Times New Roman" w:eastAsia="Times New Roman" w:hAnsi="Times New Roman"/>
          <w:sz w:val="21"/>
          <w:szCs w:val="21"/>
          <w:color w:val="auto"/>
        </w:rPr>
        <w:t>”) provided herein to the Participant.</w:t>
      </w:r>
    </w:p>
    <w:p>
      <w:pPr>
        <w:spacing w:after="0" w:line="131" w:lineRule="exact"/>
        <w:rPr>
          <w:sz w:val="20"/>
          <w:szCs w:val="20"/>
          <w:color w:val="auto"/>
        </w:rPr>
      </w:pPr>
    </w:p>
    <w:p>
      <w:pPr>
        <w:jc w:val="both"/>
        <w:ind w:firstLine="644"/>
        <w:spacing w:after="0" w:line="236" w:lineRule="auto"/>
        <w:rPr>
          <w:sz w:val="20"/>
          <w:szCs w:val="20"/>
          <w:color w:val="auto"/>
        </w:rPr>
      </w:pPr>
      <w:r>
        <w:rPr>
          <w:rFonts w:ascii="Times New Roman" w:cs="Times New Roman" w:eastAsia="Times New Roman" w:hAnsi="Times New Roman"/>
          <w:sz w:val="21"/>
          <w:szCs w:val="21"/>
          <w:b w:val="1"/>
          <w:bCs w:val="1"/>
          <w:color w:val="auto"/>
        </w:rPr>
        <w:t xml:space="preserve">NOW, THEREFORE, </w:t>
      </w:r>
      <w:r>
        <w:rPr>
          <w:rFonts w:ascii="Times New Roman" w:cs="Times New Roman" w:eastAsia="Times New Roman" w:hAnsi="Times New Roman"/>
          <w:sz w:val="21"/>
          <w:szCs w:val="21"/>
          <w:color w:val="auto"/>
        </w:rPr>
        <w:t>in consideration of the mutual covenants and promises hereinafter set forth and for other good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valuable consideration, the receipt and sufficiency of which is hereby acknowledged, the parties hereto hereby mutually covenant and agree as follows:</w:t>
      </w:r>
    </w:p>
    <w:p>
      <w:pPr>
        <w:spacing w:after="0" w:line="147" w:lineRule="exact"/>
        <w:rPr>
          <w:sz w:val="20"/>
          <w:szCs w:val="20"/>
          <w:color w:val="auto"/>
        </w:rPr>
      </w:pPr>
    </w:p>
    <w:p>
      <w:pPr>
        <w:jc w:val="both"/>
        <w:ind w:firstLine="652"/>
        <w:spacing w:after="0" w:line="219" w:lineRule="auto"/>
        <w:tabs>
          <w:tab w:leader="none" w:pos="1288" w:val="left"/>
        </w:tabs>
        <w:numPr>
          <w:ilvl w:val="0"/>
          <w:numId w:val="1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Incorporation By Reference; Plan Document Receipt</w:t>
      </w:r>
      <w:r>
        <w:rPr>
          <w:rFonts w:ascii="Times New Roman" w:cs="Times New Roman" w:eastAsia="Times New Roman" w:hAnsi="Times New Roman"/>
          <w:sz w:val="21"/>
          <w:szCs w:val="21"/>
          <w:color w:val="auto"/>
        </w:rPr>
        <w:t>. This Agreement is subject in all respects to the terms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provisions of the Plan (including, without limitation, any amendments thereto adopted at any time and from time to time unless such amendments are expressly intended not to apply to the Award provided hereunder), all of which terms and provisions are made a part of and incorporated into this Agreement as if they were each expressly set forth herein. This Agreement, together with the Plan, contains the entire agreement between the parties hereto with respect to the subject matter contained herein, and supersedes all prior agreements or prior understandings, whether written or oral, between the parties relating to such subject matter. Except as provided otherwise herein, any capitalized term not defined in this Agreement shall have the same meaning as is ascribed thereto in the Plan and the “Performance Period” shall mean the [two][three] fiscal-year period commencing on the first day of the fiscal year of the Company in which the Grant Date occurs. The Participant hereby acknowledges receipt of a true copy of the Plan and that the Participant has read the Plan carefully and fully understands its content. In the event of any conflict between the terms of this Agreement and the terms of the Plan, the terms of the Plan shall control.</w:t>
      </w:r>
    </w:p>
    <w:p>
      <w:pPr>
        <w:spacing w:after="0" w:line="152" w:lineRule="exact"/>
        <w:rPr>
          <w:rFonts w:ascii="Times New Roman" w:cs="Times New Roman" w:eastAsia="Times New Roman" w:hAnsi="Times New Roman"/>
          <w:sz w:val="21"/>
          <w:szCs w:val="21"/>
          <w:color w:val="auto"/>
        </w:rPr>
      </w:pPr>
    </w:p>
    <w:p>
      <w:pPr>
        <w:jc w:val="both"/>
        <w:ind w:firstLine="652"/>
        <w:spacing w:after="0" w:line="236" w:lineRule="auto"/>
        <w:tabs>
          <w:tab w:leader="none" w:pos="1288" w:val="left"/>
        </w:tabs>
        <w:numPr>
          <w:ilvl w:val="0"/>
          <w:numId w:val="1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Grant of Performance Restricted Share Unit Award</w:t>
      </w:r>
      <w:r>
        <w:rPr>
          <w:rFonts w:ascii="Times New Roman" w:cs="Times New Roman" w:eastAsia="Times New Roman" w:hAnsi="Times New Roman"/>
          <w:sz w:val="21"/>
          <w:szCs w:val="21"/>
          <w:color w:val="auto"/>
        </w:rPr>
        <w:t>. The Company hereby grants the target number of PSUs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specified in the Award Letter to the Participant, as of the Grant Date stated above (the “</w:t>
      </w:r>
      <w:r>
        <w:rPr>
          <w:rFonts w:ascii="Times New Roman" w:cs="Times New Roman" w:eastAsia="Times New Roman" w:hAnsi="Times New Roman"/>
          <w:sz w:val="21"/>
          <w:szCs w:val="21"/>
          <w:u w:val="single" w:color="auto"/>
          <w:color w:val="auto"/>
        </w:rPr>
        <w:t>Target Award</w:t>
      </w:r>
      <w:r>
        <w:rPr>
          <w:rFonts w:ascii="Times New Roman" w:cs="Times New Roman" w:eastAsia="Times New Roman" w:hAnsi="Times New Roman"/>
          <w:sz w:val="21"/>
          <w:szCs w:val="21"/>
          <w:color w:val="auto"/>
        </w:rPr>
        <w:t>”). Except as otherwise provided by the Plan, the Participant agrees and understands that nothing contained in this Agreement provides, or is</w:t>
      </w:r>
    </w:p>
    <w:p>
      <w:pPr>
        <w:sectPr>
          <w:pgSz w:w="11900" w:h="16838" w:orient="portrait"/>
          <w:cols w:equalWidth="0" w:num="1">
            <w:col w:w="11240"/>
          </w:cols>
          <w:pgMar w:left="320" w:top="100" w:right="339" w:bottom="1440" w:gutter="0" w:footer="0" w:header="0"/>
        </w:sectPr>
      </w:pPr>
    </w:p>
    <w:bookmarkStart w:id="51" w:name="page52"/>
    <w:bookmarkEnd w:id="51"/>
    <w:p>
      <w:pPr>
        <w:jc w:val="both"/>
        <w:spacing w:after="0" w:line="234" w:lineRule="auto"/>
        <w:rPr>
          <w:sz w:val="20"/>
          <w:szCs w:val="20"/>
          <w:color w:val="auto"/>
        </w:rPr>
      </w:pPr>
      <w:r>
        <w:rPr>
          <w:rFonts w:ascii="Times New Roman" w:cs="Times New Roman" w:eastAsia="Times New Roman" w:hAnsi="Times New Roman"/>
          <w:sz w:val="21"/>
          <w:szCs w:val="21"/>
          <w:color w:val="auto"/>
        </w:rPr>
        <w:t>intended to provide, the Participant with any protection against potential future dilution of the Participant’s interest in the Company for any reason, and no adjustments shall be made for dividends in cash or other property, distributions or other rights in respect of the Shares underlying the PSUs, except as otherwise specifically provided for in the Plan or this Agreement.</w:t>
      </w:r>
    </w:p>
    <w:p>
      <w:pPr>
        <w:spacing w:after="0" w:line="149" w:lineRule="exact"/>
        <w:rPr>
          <w:sz w:val="20"/>
          <w:szCs w:val="20"/>
          <w:color w:val="auto"/>
        </w:rPr>
      </w:pPr>
    </w:p>
    <w:p>
      <w:pPr>
        <w:ind w:left="1300" w:hanging="648"/>
        <w:spacing w:after="0"/>
        <w:tabs>
          <w:tab w:leader="none" w:pos="1300" w:val="left"/>
        </w:tabs>
        <w:numPr>
          <w:ilvl w:val="0"/>
          <w:numId w:val="1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Vesting</w:t>
      </w:r>
      <w:r>
        <w:rPr>
          <w:rFonts w:ascii="Times New Roman" w:cs="Times New Roman" w:eastAsia="Times New Roman" w:hAnsi="Times New Roman"/>
          <w:sz w:val="21"/>
          <w:szCs w:val="21"/>
          <w:color w:val="auto"/>
        </w:rPr>
        <w:t>.</w:t>
      </w:r>
    </w:p>
    <w:p>
      <w:pPr>
        <w:spacing w:after="0" w:line="192" w:lineRule="exact"/>
        <w:rPr>
          <w:sz w:val="20"/>
          <w:szCs w:val="20"/>
          <w:color w:val="auto"/>
        </w:rPr>
      </w:pPr>
    </w:p>
    <w:p>
      <w:pPr>
        <w:jc w:val="both"/>
        <w:ind w:firstLine="652"/>
        <w:spacing w:after="0" w:line="234" w:lineRule="auto"/>
        <w:tabs>
          <w:tab w:leader="none" w:pos="1285" w:val="left"/>
        </w:tabs>
        <w:numPr>
          <w:ilvl w:val="0"/>
          <w:numId w:val="1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Subject to the provisions of this </w:t>
      </w:r>
      <w:r>
        <w:rPr>
          <w:rFonts w:ascii="Times New Roman" w:cs="Times New Roman" w:eastAsia="Times New Roman" w:hAnsi="Times New Roman"/>
          <w:sz w:val="21"/>
          <w:szCs w:val="21"/>
          <w:u w:val="single" w:color="auto"/>
          <w:color w:val="auto"/>
        </w:rPr>
        <w:t>Section 3</w:t>
      </w:r>
      <w:r>
        <w:rPr>
          <w:rFonts w:ascii="Times New Roman" w:cs="Times New Roman" w:eastAsia="Times New Roman" w:hAnsi="Times New Roman"/>
          <w:sz w:val="21"/>
          <w:szCs w:val="21"/>
          <w:color w:val="auto"/>
        </w:rPr>
        <w:t>, the PSUs subject to this Agreement shall be eligible to vest on the last day of the Performance Period, subject to the Participant’s continued Service with the Company on such date or as otherwise provided in this Agreement.</w:t>
      </w:r>
    </w:p>
    <w:p>
      <w:pPr>
        <w:spacing w:after="0" w:line="152" w:lineRule="exact"/>
        <w:rPr>
          <w:rFonts w:ascii="Times New Roman" w:cs="Times New Roman" w:eastAsia="Times New Roman" w:hAnsi="Times New Roman"/>
          <w:sz w:val="21"/>
          <w:szCs w:val="21"/>
          <w:color w:val="auto"/>
        </w:rPr>
      </w:pPr>
    </w:p>
    <w:p>
      <w:pPr>
        <w:jc w:val="both"/>
        <w:ind w:left="660" w:firstLine="636"/>
        <w:spacing w:after="0" w:line="234" w:lineRule="auto"/>
        <w:tabs>
          <w:tab w:leader="none" w:pos="1936" w:val="left"/>
        </w:tabs>
        <w:numPr>
          <w:ilvl w:val="1"/>
          <w:numId w:val="1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actual number of PSUs that are earned, if any, pursuant to the terms and conditions of this Agreement is subject to increase or decrease based on the Company’s actual performance against the Performance Goals set forth on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and may range from [0% to [•]%] of the Target Award, rounded to the nearest whole Share.</w:t>
      </w:r>
    </w:p>
    <w:p>
      <w:pPr>
        <w:spacing w:after="0" w:line="152" w:lineRule="exact"/>
        <w:rPr>
          <w:rFonts w:ascii="Times New Roman" w:cs="Times New Roman" w:eastAsia="Times New Roman" w:hAnsi="Times New Roman"/>
          <w:sz w:val="21"/>
          <w:szCs w:val="21"/>
          <w:color w:val="auto"/>
        </w:rPr>
      </w:pPr>
    </w:p>
    <w:p>
      <w:pPr>
        <w:jc w:val="both"/>
        <w:ind w:left="660" w:firstLine="636"/>
        <w:spacing w:after="0" w:line="234" w:lineRule="auto"/>
        <w:tabs>
          <w:tab w:leader="none" w:pos="1942" w:val="left"/>
        </w:tabs>
        <w:numPr>
          <w:ilvl w:val="1"/>
          <w:numId w:val="1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Following the end of the Performance Period and no later than 60 days thereafter, the Committee will determine the number of PSUs that have been earned (the “</w:t>
      </w:r>
      <w:r>
        <w:rPr>
          <w:rFonts w:ascii="Times New Roman" w:cs="Times New Roman" w:eastAsia="Times New Roman" w:hAnsi="Times New Roman"/>
          <w:sz w:val="21"/>
          <w:szCs w:val="21"/>
          <w:u w:val="single" w:color="auto"/>
          <w:color w:val="auto"/>
        </w:rPr>
        <w:t>Earned PSUs</w:t>
      </w:r>
      <w:r>
        <w:rPr>
          <w:rFonts w:ascii="Times New Roman" w:cs="Times New Roman" w:eastAsia="Times New Roman" w:hAnsi="Times New Roman"/>
          <w:sz w:val="21"/>
          <w:szCs w:val="21"/>
          <w:color w:val="auto"/>
        </w:rPr>
        <w:t xml:space="preserve">”) in accordance with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(such date, the “</w:t>
      </w:r>
      <w:r>
        <w:rPr>
          <w:rFonts w:ascii="Times New Roman" w:cs="Times New Roman" w:eastAsia="Times New Roman" w:hAnsi="Times New Roman"/>
          <w:sz w:val="21"/>
          <w:szCs w:val="21"/>
          <w:u w:val="single" w:color="auto"/>
          <w:color w:val="auto"/>
        </w:rPr>
        <w:t>Determination Date</w:t>
      </w:r>
      <w:r>
        <w:rPr>
          <w:rFonts w:ascii="Times New Roman" w:cs="Times New Roman" w:eastAsia="Times New Roman" w:hAnsi="Times New Roman"/>
          <w:sz w:val="21"/>
          <w:szCs w:val="21"/>
          <w:color w:val="auto"/>
        </w:rPr>
        <w:t>”).</w:t>
      </w:r>
    </w:p>
    <w:p>
      <w:pPr>
        <w:spacing w:after="0" w:line="152" w:lineRule="exact"/>
        <w:rPr>
          <w:rFonts w:ascii="Times New Roman" w:cs="Times New Roman" w:eastAsia="Times New Roman" w:hAnsi="Times New Roman"/>
          <w:sz w:val="21"/>
          <w:szCs w:val="21"/>
          <w:color w:val="auto"/>
        </w:rPr>
      </w:pPr>
    </w:p>
    <w:p>
      <w:pPr>
        <w:jc w:val="both"/>
        <w:ind w:firstLine="652"/>
        <w:spacing w:after="0" w:line="220" w:lineRule="auto"/>
        <w:tabs>
          <w:tab w:leader="none" w:pos="1284" w:val="left"/>
        </w:tabs>
        <w:numPr>
          <w:ilvl w:val="0"/>
          <w:numId w:val="1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without Cause; Due to Death or Disability</w:t>
      </w:r>
      <w:r>
        <w:rPr>
          <w:rFonts w:ascii="Times New Roman" w:cs="Times New Roman" w:eastAsia="Times New Roman" w:hAnsi="Times New Roman"/>
          <w:sz w:val="21"/>
          <w:szCs w:val="21"/>
          <w:color w:val="auto"/>
        </w:rPr>
        <w:t xml:space="preserve">. Subject to </w:t>
      </w:r>
      <w:r>
        <w:rPr>
          <w:rFonts w:ascii="Times New Roman" w:cs="Times New Roman" w:eastAsia="Times New Roman" w:hAnsi="Times New Roman"/>
          <w:sz w:val="21"/>
          <w:szCs w:val="21"/>
          <w:u w:val="single" w:color="auto"/>
          <w:color w:val="auto"/>
        </w:rPr>
        <w:t>Section 4(b)</w:t>
      </w:r>
      <w:r>
        <w:rPr>
          <w:rFonts w:ascii="Times New Roman" w:cs="Times New Roman" w:eastAsia="Times New Roman" w:hAnsi="Times New Roman"/>
          <w:sz w:val="21"/>
          <w:szCs w:val="21"/>
          <w:color w:val="auto"/>
        </w:rPr>
        <w:t xml:space="preserve">, in the event the Participant’s Service is terminated by the Company without Cause during the third year of the Performance Period, a pro-rated portion of the Award shall remain eligible to vest at the end of the Performance Period based on actual performance, with such pro-rated portion, if any, determined by multiplying the number of Earned PSUs by a fraction, the numerator of which is the number of days elapsed from the Grant Date through the Participant’s date of termination, and the denominator of which is the number of days in the Performance Period. Subject to </w:t>
      </w:r>
      <w:r>
        <w:rPr>
          <w:rFonts w:ascii="Times New Roman" w:cs="Times New Roman" w:eastAsia="Times New Roman" w:hAnsi="Times New Roman"/>
          <w:sz w:val="21"/>
          <w:szCs w:val="21"/>
          <w:u w:val="single" w:color="auto"/>
          <w:color w:val="auto"/>
        </w:rPr>
        <w:t>Section 4(b)</w:t>
      </w:r>
      <w:r>
        <w:rPr>
          <w:rFonts w:ascii="Times New Roman" w:cs="Times New Roman" w:eastAsia="Times New Roman" w:hAnsi="Times New Roman"/>
          <w:sz w:val="21"/>
          <w:szCs w:val="21"/>
          <w:color w:val="auto"/>
        </w:rPr>
        <w:t>, in the event the Participant’s Service is terminated due to the Participant’s death or Disability, the Shares subject to the PSUs that have not yet vested shall become earned and vested at the end of the Performance Period based on actual performance. For the avoidance of doubt, in the event the Participant’s Service is terminated by the Company without Cause prior to the third year of the Performance Period, the PSUs shall be immediately forfeited.</w:t>
      </w:r>
    </w:p>
    <w:p>
      <w:pPr>
        <w:spacing w:after="0" w:line="155" w:lineRule="exact"/>
        <w:rPr>
          <w:rFonts w:ascii="Times New Roman" w:cs="Times New Roman" w:eastAsia="Times New Roman" w:hAnsi="Times New Roman"/>
          <w:sz w:val="21"/>
          <w:szCs w:val="21"/>
          <w:color w:val="auto"/>
        </w:rPr>
      </w:pPr>
    </w:p>
    <w:p>
      <w:pPr>
        <w:jc w:val="both"/>
        <w:ind w:firstLine="652"/>
        <w:spacing w:after="0" w:line="221" w:lineRule="auto"/>
        <w:tabs>
          <w:tab w:leader="none" w:pos="1285" w:val="left"/>
        </w:tabs>
        <w:numPr>
          <w:ilvl w:val="0"/>
          <w:numId w:val="1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Change in Control</w:t>
      </w:r>
      <w:r>
        <w:rPr>
          <w:rFonts w:ascii="Times New Roman" w:cs="Times New Roman" w:eastAsia="Times New Roman" w:hAnsi="Times New Roman"/>
          <w:sz w:val="21"/>
          <w:szCs w:val="21"/>
          <w:color w:val="auto"/>
        </w:rPr>
        <w:t xml:space="preserve">. Subject to </w:t>
      </w:r>
      <w:r>
        <w:rPr>
          <w:rFonts w:ascii="Times New Roman" w:cs="Times New Roman" w:eastAsia="Times New Roman" w:hAnsi="Times New Roman"/>
          <w:sz w:val="21"/>
          <w:szCs w:val="21"/>
          <w:u w:val="single" w:color="auto"/>
          <w:color w:val="auto"/>
        </w:rPr>
        <w:t>Section 4(b)</w:t>
      </w:r>
      <w:r>
        <w:rPr>
          <w:rFonts w:ascii="Times New Roman" w:cs="Times New Roman" w:eastAsia="Times New Roman" w:hAnsi="Times New Roman"/>
          <w:sz w:val="21"/>
          <w:szCs w:val="21"/>
          <w:color w:val="auto"/>
        </w:rPr>
        <w:t xml:space="preserve">, and notwithstanding </w:t>
      </w:r>
      <w:r>
        <w:rPr>
          <w:rFonts w:ascii="Times New Roman" w:cs="Times New Roman" w:eastAsia="Times New Roman" w:hAnsi="Times New Roman"/>
          <w:sz w:val="21"/>
          <w:szCs w:val="21"/>
          <w:u w:val="single" w:color="auto"/>
          <w:color w:val="auto"/>
        </w:rPr>
        <w:t>Section 3(b)</w:t>
      </w:r>
      <w:r>
        <w:rPr>
          <w:rFonts w:ascii="Times New Roman" w:cs="Times New Roman" w:eastAsia="Times New Roman" w:hAnsi="Times New Roman"/>
          <w:sz w:val="21"/>
          <w:szCs w:val="21"/>
          <w:color w:val="auto"/>
        </w:rPr>
        <w:t>, if a Change in Control occurs (as the term is defined in the Company’s Change in Control Severance Plan), the successor or purchaser in the Change in Control has assumed the Company’s obligations with respect to the PSUs or provided a substitute award and (i) within 12 months following the occurrence of the Change in Control, the Participant is terminated without Cause, or (ii) the Participant remains employed with the Company through the end of the Performance Period, then the PSUs shall become earned and vested (y) if the Change in Control occurs within 12 months following the Grant Date hereunder, then at Target achievement of the Performance Goals, or (z) if such Change in Control occurs on or after 12 months following the Grant Date hereunder, then at the greater of Target achievement or the actual achievement of the Performance Goals through the date of such Change in Control.</w:t>
      </w:r>
    </w:p>
    <w:p>
      <w:pPr>
        <w:spacing w:after="0" w:line="153" w:lineRule="exact"/>
        <w:rPr>
          <w:rFonts w:ascii="Times New Roman" w:cs="Times New Roman" w:eastAsia="Times New Roman" w:hAnsi="Times New Roman"/>
          <w:sz w:val="21"/>
          <w:szCs w:val="21"/>
          <w:color w:val="auto"/>
        </w:rPr>
      </w:pPr>
    </w:p>
    <w:p>
      <w:pPr>
        <w:ind w:firstLine="652"/>
        <w:spacing w:after="0" w:line="251" w:lineRule="auto"/>
        <w:tabs>
          <w:tab w:leader="none" w:pos="1284" w:val="left"/>
        </w:tabs>
        <w:numPr>
          <w:ilvl w:val="0"/>
          <w:numId w:val="1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Committee Discretion to Accelerate Vesting</w:t>
      </w:r>
      <w:r>
        <w:rPr>
          <w:rFonts w:ascii="Times New Roman" w:cs="Times New Roman" w:eastAsia="Times New Roman" w:hAnsi="Times New Roman"/>
          <w:sz w:val="21"/>
          <w:szCs w:val="21"/>
          <w:color w:val="auto"/>
        </w:rPr>
        <w:t>. In addition to the foregoing, the Committee may, in its sole discretion, accelerate vesting of the PSUs at any time and for any reason.</w:t>
      </w:r>
    </w:p>
    <w:p>
      <w:pPr>
        <w:spacing w:after="0" w:line="139" w:lineRule="exact"/>
        <w:rPr>
          <w:rFonts w:ascii="Times New Roman" w:cs="Times New Roman" w:eastAsia="Times New Roman" w:hAnsi="Times New Roman"/>
          <w:sz w:val="21"/>
          <w:szCs w:val="21"/>
          <w:color w:val="auto"/>
        </w:rPr>
      </w:pPr>
    </w:p>
    <w:p>
      <w:pPr>
        <w:jc w:val="both"/>
        <w:ind w:firstLine="652"/>
        <w:spacing w:after="0" w:line="234" w:lineRule="auto"/>
        <w:tabs>
          <w:tab w:leader="none" w:pos="1285" w:val="left"/>
        </w:tabs>
        <w:numPr>
          <w:ilvl w:val="0"/>
          <w:numId w:val="1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Forfeiture</w:t>
      </w:r>
      <w:r>
        <w:rPr>
          <w:rFonts w:ascii="Times New Roman" w:cs="Times New Roman" w:eastAsia="Times New Roman" w:hAnsi="Times New Roman"/>
          <w:sz w:val="21"/>
          <w:szCs w:val="21"/>
          <w:color w:val="auto"/>
        </w:rPr>
        <w:t xml:space="preserve">. Subject to the terms of this </w:t>
      </w:r>
      <w:r>
        <w:rPr>
          <w:rFonts w:ascii="Times New Roman" w:cs="Times New Roman" w:eastAsia="Times New Roman" w:hAnsi="Times New Roman"/>
          <w:sz w:val="21"/>
          <w:szCs w:val="21"/>
          <w:u w:val="single" w:color="auto"/>
          <w:color w:val="auto"/>
        </w:rPr>
        <w:t>Section 3</w:t>
      </w:r>
      <w:r>
        <w:rPr>
          <w:rFonts w:ascii="Times New Roman" w:cs="Times New Roman" w:eastAsia="Times New Roman" w:hAnsi="Times New Roman"/>
          <w:sz w:val="21"/>
          <w:szCs w:val="21"/>
          <w:color w:val="auto"/>
        </w:rPr>
        <w:t xml:space="preserve">, all unvested PSUs (taking into account any vesting that may occur upon the Participant’s termination of Service in accordance with </w:t>
      </w:r>
      <w:r>
        <w:rPr>
          <w:rFonts w:ascii="Times New Roman" w:cs="Times New Roman" w:eastAsia="Times New Roman" w:hAnsi="Times New Roman"/>
          <w:sz w:val="21"/>
          <w:szCs w:val="21"/>
          <w:u w:val="single" w:color="auto"/>
          <w:color w:val="auto"/>
        </w:rPr>
        <w:t>Section3</w:t>
      </w:r>
      <w:r>
        <w:rPr>
          <w:rFonts w:ascii="Times New Roman" w:cs="Times New Roman" w:eastAsia="Times New Roman" w:hAnsi="Times New Roman"/>
          <w:sz w:val="21"/>
          <w:szCs w:val="21"/>
          <w:color w:val="auto"/>
        </w:rPr>
        <w:t xml:space="preserve"> hereof) shall be immediately forfeited upon the Participant’s termination of Service for any reason.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387" w:right="339" w:bottom="1440" w:gutter="0" w:footer="0" w:header="0"/>
        </w:sectPr>
      </w:pPr>
    </w:p>
    <w:bookmarkStart w:id="52" w:name="page53"/>
    <w:bookmarkEnd w:id="52"/>
    <w:p>
      <w:pPr>
        <w:ind w:left="1300" w:hanging="648"/>
        <w:spacing w:after="0"/>
        <w:tabs>
          <w:tab w:leader="none" w:pos="1300" w:val="left"/>
        </w:tabs>
        <w:numPr>
          <w:ilvl w:val="0"/>
          <w:numId w:val="1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Delivery of Shares</w:t>
      </w:r>
      <w:r>
        <w:rPr>
          <w:rFonts w:ascii="Times New Roman" w:cs="Times New Roman" w:eastAsia="Times New Roman" w:hAnsi="Times New Roman"/>
          <w:sz w:val="21"/>
          <w:szCs w:val="21"/>
          <w:color w:val="auto"/>
        </w:rPr>
        <w:t>.</w:t>
      </w:r>
    </w:p>
    <w:p>
      <w:pPr>
        <w:spacing w:after="0" w:line="192" w:lineRule="exact"/>
        <w:rPr>
          <w:sz w:val="20"/>
          <w:szCs w:val="20"/>
          <w:color w:val="auto"/>
        </w:rPr>
      </w:pPr>
    </w:p>
    <w:p>
      <w:pPr>
        <w:jc w:val="both"/>
        <w:ind w:firstLine="652"/>
        <w:spacing w:after="0" w:line="214" w:lineRule="auto"/>
        <w:tabs>
          <w:tab w:leader="none" w:pos="1285" w:val="left"/>
        </w:tabs>
        <w:numPr>
          <w:ilvl w:val="0"/>
          <w:numId w:val="1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General</w:t>
      </w:r>
      <w:r>
        <w:rPr>
          <w:rFonts w:ascii="Times New Roman" w:cs="Times New Roman" w:eastAsia="Times New Roman" w:hAnsi="Times New Roman"/>
          <w:sz w:val="21"/>
          <w:szCs w:val="21"/>
          <w:color w:val="auto"/>
        </w:rPr>
        <w:t>. Subject to the requirements of Section 409A of the Code, on the Determination Date (and no later than the 15</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day of the third month following the end of the Performance Period), the Participant shall receive the number of Shares that correspond to the number of Earned PSUs, less any shares withheld by the Company for tax withholding purposes.</w:t>
      </w:r>
    </w:p>
    <w:p>
      <w:pPr>
        <w:spacing w:after="0" w:line="151" w:lineRule="exact"/>
        <w:rPr>
          <w:rFonts w:ascii="Times New Roman" w:cs="Times New Roman" w:eastAsia="Times New Roman" w:hAnsi="Times New Roman"/>
          <w:sz w:val="21"/>
          <w:szCs w:val="21"/>
          <w:color w:val="auto"/>
        </w:rPr>
      </w:pPr>
    </w:p>
    <w:p>
      <w:pPr>
        <w:jc w:val="both"/>
        <w:ind w:firstLine="652"/>
        <w:spacing w:after="0" w:line="234" w:lineRule="auto"/>
        <w:tabs>
          <w:tab w:leader="none" w:pos="1284" w:val="left"/>
        </w:tabs>
        <w:numPr>
          <w:ilvl w:val="0"/>
          <w:numId w:val="1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Release</w:t>
      </w:r>
      <w:r>
        <w:rPr>
          <w:rFonts w:ascii="Times New Roman" w:cs="Times New Roman" w:eastAsia="Times New Roman" w:hAnsi="Times New Roman"/>
          <w:sz w:val="21"/>
          <w:szCs w:val="21"/>
          <w:color w:val="auto"/>
        </w:rPr>
        <w:t xml:space="preserve">. The receipt of Shares subject to the Earned PSUs that are eligible to vest pursuant to </w:t>
      </w:r>
      <w:r>
        <w:rPr>
          <w:rFonts w:ascii="Times New Roman" w:cs="Times New Roman" w:eastAsia="Times New Roman" w:hAnsi="Times New Roman"/>
          <w:sz w:val="21"/>
          <w:szCs w:val="21"/>
          <w:u w:val="single" w:color="auto"/>
          <w:color w:val="auto"/>
        </w:rPr>
        <w:t>Section 3(b)</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(c)</w:t>
      </w:r>
      <w:r>
        <w:rPr>
          <w:rFonts w:ascii="Times New Roman" w:cs="Times New Roman" w:eastAsia="Times New Roman" w:hAnsi="Times New Roman"/>
          <w:sz w:val="21"/>
          <w:szCs w:val="21"/>
          <w:color w:val="auto"/>
        </w:rPr>
        <w:t xml:space="preserve"> shall be subject to the execution and nonrevocation of a general release of claims in favor of the Company, in a form reasonably satisfactory to the Company.</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i w:val="1"/>
          <w:i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383" w:right="339" w:bottom="1440" w:gutter="0" w:footer="0" w:header="0"/>
        </w:sectPr>
      </w:pPr>
    </w:p>
    <w:bookmarkStart w:id="53" w:name="page54"/>
    <w:bookmarkEnd w:id="53"/>
    <w:p>
      <w:pPr>
        <w:ind w:firstLine="644"/>
        <w:spacing w:after="0" w:line="251" w:lineRule="auto"/>
        <w:rPr>
          <w:sz w:val="20"/>
          <w:szCs w:val="20"/>
          <w:color w:val="auto"/>
        </w:rPr>
      </w:pPr>
      <w:r>
        <w:rPr>
          <w:rFonts w:ascii="Times New Roman" w:cs="Times New Roman" w:eastAsia="Times New Roman" w:hAnsi="Times New Roman"/>
          <w:sz w:val="21"/>
          <w:szCs w:val="21"/>
          <w:color w:val="auto"/>
        </w:rPr>
        <w:t>By signing below, the Participant hereby acknowledges receipt of the PSUs issued on the Grant Date indicated above, which have been issued under the terms and conditions of the Plan and this Agreement.</w:t>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WEATHERFORD INTERNATIONAL PLC</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-5715</wp:posOffset>
            </wp:positionV>
            <wp:extent cx="1365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6525" cy="8255"/>
                    </a:xfrm>
                    <a:prstGeom prst="rect">
                      <a:avLst/>
                    </a:prstGeom>
                    <a:noFill/>
                  </pic:spPr>
                </pic:pic>
              </a:graphicData>
            </a:graphic>
          </wp:anchor>
        </w:drawing>
      </w:r>
    </w:p>
    <w:p>
      <w:pPr>
        <w:spacing w:after="0" w:line="213" w:lineRule="auto"/>
        <w:rPr>
          <w:sz w:val="20"/>
          <w:szCs w:val="20"/>
          <w:color w:val="auto"/>
        </w:rPr>
      </w:pPr>
      <w:r>
        <w:rPr>
          <w:rFonts w:ascii="Times New Roman" w:cs="Times New Roman" w:eastAsia="Times New Roman" w:hAnsi="Times New Roman"/>
          <w:sz w:val="21"/>
          <w:szCs w:val="2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-5715</wp:posOffset>
            </wp:positionV>
            <wp:extent cx="1365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652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1"/>
          <w:szCs w:val="2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329565</wp:posOffset>
            </wp:positionH>
            <wp:positionV relativeFrom="paragraph">
              <wp:posOffset>-22860</wp:posOffset>
            </wp:positionV>
            <wp:extent cx="1365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6525" cy="8255"/>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Accepted by:</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[Name of the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-140970</wp:posOffset>
            </wp:positionV>
            <wp:extent cx="1365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6525" cy="8255"/>
                    </a:xfrm>
                    <a:prstGeom prst="rect">
                      <a:avLst/>
                    </a:prstGeom>
                    <a:noFill/>
                  </pic:spPr>
                </pic:pic>
              </a:graphicData>
            </a:graphic>
          </wp:anchor>
        </w:drawing>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-7620</wp:posOffset>
            </wp:positionV>
            <wp:extent cx="1365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65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387" w:right="3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21"/>
          <w:szCs w:val="21"/>
          <w:b w:val="1"/>
          <w:bCs w:val="1"/>
          <w:color w:val="auto"/>
        </w:rPr>
        <w:t>Exhibit 10.5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WEATHERFORD INTERNATIONAL PLC</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AMENDED AND RESTATED RESTRICTED SHARE UNIT AWARD AGREEMENT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PURSUANT TO THE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THIRD AMENDED AND RESTATED 2019 EQUITY INCENTIVE PLAN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(TIME VESTING)</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 * * * *</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712470</wp:posOffset>
            </wp:positionH>
            <wp:positionV relativeFrom="paragraph">
              <wp:posOffset>-5080</wp:posOffset>
            </wp:positionV>
            <wp:extent cx="1365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6525" cy="8255"/>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 * * * *</w:t>
      </w:r>
    </w:p>
    <w:p>
      <w:pPr>
        <w:spacing w:after="0" w:line="188" w:lineRule="exact"/>
        <w:rPr>
          <w:sz w:val="20"/>
          <w:szCs w:val="20"/>
          <w:color w:val="auto"/>
        </w:rPr>
      </w:pPr>
    </w:p>
    <w:p>
      <w:pPr>
        <w:jc w:val="both"/>
        <w:ind w:firstLine="644"/>
        <w:spacing w:after="0" w:line="227" w:lineRule="auto"/>
        <w:rPr>
          <w:sz w:val="20"/>
          <w:szCs w:val="20"/>
          <w:color w:val="auto"/>
        </w:rPr>
      </w:pPr>
      <w:r>
        <w:rPr>
          <w:rFonts w:ascii="Times New Roman" w:cs="Times New Roman" w:eastAsia="Times New Roman" w:hAnsi="Times New Roman"/>
          <w:sz w:val="21"/>
          <w:szCs w:val="21"/>
          <w:b w:val="1"/>
          <w:bCs w:val="1"/>
          <w:color w:val="auto"/>
        </w:rPr>
        <w:t xml:space="preserve">THIS RESTRICTED SHARE UNIT AWARD AGREEMENT </w:t>
      </w:r>
      <w:r>
        <w:rPr>
          <w:rFonts w:ascii="Times New Roman" w:cs="Times New Roman" w:eastAsia="Times New Roman" w:hAnsi="Times New Roman"/>
          <w:sz w:val="21"/>
          <w:szCs w:val="21"/>
          <w:color w:val="auto"/>
        </w:rPr>
        <w:t>(this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dated as of the Grant Date specified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above, is entered into by and between WEATHERFORD INTERNATIONAL PLC, a public limited company organized under the laws of Ireland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and you as the Participant specified below, pursuant to the Weatherford International plc Third Amended and Restated 2019 Equity Incentive Plan, as in effect and as amended from time to time (the “</w:t>
      </w: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1"/>
          <w:szCs w:val="21"/>
          <w:color w:val="auto"/>
        </w:rPr>
        <w:t>”), which is administered by the Committee (as defined in the Plan); and</w:t>
      </w:r>
    </w:p>
    <w:p>
      <w:pPr>
        <w:spacing w:after="0" w:line="146" w:lineRule="exact"/>
        <w:rPr>
          <w:sz w:val="20"/>
          <w:szCs w:val="20"/>
          <w:color w:val="auto"/>
        </w:rPr>
      </w:pPr>
    </w:p>
    <w:p>
      <w:pPr>
        <w:jc w:val="both"/>
        <w:ind w:firstLine="644"/>
        <w:spacing w:after="0" w:line="255" w:lineRule="auto"/>
        <w:rPr>
          <w:sz w:val="20"/>
          <w:szCs w:val="20"/>
          <w:color w:val="auto"/>
        </w:rPr>
      </w:pPr>
      <w:r>
        <w:rPr>
          <w:rFonts w:ascii="Times New Roman" w:cs="Times New Roman" w:eastAsia="Times New Roman" w:hAnsi="Times New Roman"/>
          <w:sz w:val="21"/>
          <w:szCs w:val="21"/>
          <w:b w:val="1"/>
          <w:bCs w:val="1"/>
          <w:color w:val="auto"/>
        </w:rPr>
        <w:t xml:space="preserve">WHEREAS, </w:t>
      </w:r>
      <w:r>
        <w:rPr>
          <w:rFonts w:ascii="Times New Roman" w:cs="Times New Roman" w:eastAsia="Times New Roman" w:hAnsi="Times New Roman"/>
          <w:sz w:val="21"/>
          <w:szCs w:val="21"/>
          <w:color w:val="auto"/>
        </w:rPr>
        <w:t>it has been determined under the Plan that it would be in the best interests of the Company to grant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Restricted Share Units (“</w:t>
      </w:r>
      <w:r>
        <w:rPr>
          <w:rFonts w:ascii="Times New Roman" w:cs="Times New Roman" w:eastAsia="Times New Roman" w:hAnsi="Times New Roman"/>
          <w:sz w:val="21"/>
          <w:szCs w:val="21"/>
          <w:u w:val="single" w:color="auto"/>
          <w:color w:val="auto"/>
        </w:rPr>
        <w:t>RSUs</w:t>
      </w:r>
      <w:r>
        <w:rPr>
          <w:rFonts w:ascii="Times New Roman" w:cs="Times New Roman" w:eastAsia="Times New Roman" w:hAnsi="Times New Roman"/>
          <w:sz w:val="21"/>
          <w:szCs w:val="21"/>
          <w:color w:val="auto"/>
        </w:rPr>
        <w:t>”) provided herein to the Participant.</w:t>
      </w:r>
    </w:p>
    <w:p>
      <w:pPr>
        <w:spacing w:after="0" w:line="131" w:lineRule="exact"/>
        <w:rPr>
          <w:sz w:val="20"/>
          <w:szCs w:val="20"/>
          <w:color w:val="auto"/>
        </w:rPr>
      </w:pPr>
    </w:p>
    <w:p>
      <w:pPr>
        <w:jc w:val="both"/>
        <w:ind w:firstLine="644"/>
        <w:spacing w:after="0" w:line="236" w:lineRule="auto"/>
        <w:rPr>
          <w:sz w:val="20"/>
          <w:szCs w:val="20"/>
          <w:color w:val="auto"/>
        </w:rPr>
      </w:pPr>
      <w:r>
        <w:rPr>
          <w:rFonts w:ascii="Times New Roman" w:cs="Times New Roman" w:eastAsia="Times New Roman" w:hAnsi="Times New Roman"/>
          <w:sz w:val="21"/>
          <w:szCs w:val="21"/>
          <w:b w:val="1"/>
          <w:bCs w:val="1"/>
          <w:color w:val="auto"/>
        </w:rPr>
        <w:t xml:space="preserve">NOW, THEREFORE, </w:t>
      </w:r>
      <w:r>
        <w:rPr>
          <w:rFonts w:ascii="Times New Roman" w:cs="Times New Roman" w:eastAsia="Times New Roman" w:hAnsi="Times New Roman"/>
          <w:sz w:val="21"/>
          <w:szCs w:val="21"/>
          <w:color w:val="auto"/>
        </w:rPr>
        <w:t>in consideration of the mutual covenants and promises hereinafter set forth and for other good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valuable consideration, the receipt and sufficiency of which is hereby acknowledged, the parties hereto hereby mutually covenant and agree as follows:</w:t>
      </w:r>
    </w:p>
    <w:p>
      <w:pPr>
        <w:spacing w:after="0" w:line="147" w:lineRule="exact"/>
        <w:rPr>
          <w:sz w:val="20"/>
          <w:szCs w:val="20"/>
          <w:color w:val="auto"/>
        </w:rPr>
      </w:pPr>
    </w:p>
    <w:p>
      <w:pPr>
        <w:jc w:val="both"/>
        <w:ind w:firstLine="1296"/>
        <w:spacing w:after="0" w:line="220" w:lineRule="auto"/>
        <w:tabs>
          <w:tab w:leader="none" w:pos="1933" w:val="left"/>
        </w:tabs>
        <w:numPr>
          <w:ilvl w:val="0"/>
          <w:numId w:val="1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Incorporation By Reference; Plan Document Receipt</w:t>
      </w:r>
      <w:r>
        <w:rPr>
          <w:rFonts w:ascii="Times New Roman" w:cs="Times New Roman" w:eastAsia="Times New Roman" w:hAnsi="Times New Roman"/>
          <w:sz w:val="21"/>
          <w:szCs w:val="21"/>
          <w:color w:val="auto"/>
        </w:rPr>
        <w:t>. This Agreement is subject in all respects to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terms and provisions of the Plan (including, without limitation, any amendments thereto adopted at any time and from time to time unless such amendments are expressly intended not to apply to the Award provided hereunder), all of which terms and provisions are made a part of and incorporated into this Agreement as if they were each expressly set forth herein. This Agreement, together with the Plan, contains the entire agreement between the parties hereto with respect to the subject matter contained herein, and supersedes all prior agreements or prior understandings, whether written or oral, between the parties relating to such subject matter. Except as provided otherwise herein, any capitalized term not defined in this Agreement shall have the same meaning as is ascribed thereto in the Plan. The Participant hereby acknowledges receipt of a true copy of the Plan and that the Participant has read the Plan carefully and fully understands its content. In the event of any conflict between the terms of this Agreement and the terms of the Plan, the terms of the Plan shall control.</w:t>
      </w:r>
    </w:p>
    <w:p>
      <w:pPr>
        <w:spacing w:after="0" w:line="148" w:lineRule="exact"/>
        <w:rPr>
          <w:rFonts w:ascii="Times New Roman" w:cs="Times New Roman" w:eastAsia="Times New Roman" w:hAnsi="Times New Roman"/>
          <w:sz w:val="21"/>
          <w:szCs w:val="21"/>
          <w:color w:val="auto"/>
        </w:rPr>
      </w:pPr>
    </w:p>
    <w:p>
      <w:pPr>
        <w:ind w:firstLine="1296"/>
        <w:spacing w:after="0" w:line="255" w:lineRule="auto"/>
        <w:tabs>
          <w:tab w:leader="none" w:pos="1933" w:val="left"/>
        </w:tabs>
        <w:numPr>
          <w:ilvl w:val="0"/>
          <w:numId w:val="1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Grant of Restricted Share Unit Award</w:t>
      </w:r>
      <w:r>
        <w:rPr>
          <w:rFonts w:ascii="Times New Roman" w:cs="Times New Roman" w:eastAsia="Times New Roman" w:hAnsi="Times New Roman"/>
          <w:sz w:val="21"/>
          <w:szCs w:val="21"/>
          <w:color w:val="auto"/>
        </w:rPr>
        <w:t>. The Company hereby grants the number of RSUs specified in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Award Letter to the Participant, as of the Grant Date stated</w:t>
      </w:r>
    </w:p>
    <w:p>
      <w:pPr>
        <w:sectPr>
          <w:pgSz w:w="11900" w:h="16838" w:orient="portrait"/>
          <w:cols w:equalWidth="0" w:num="1">
            <w:col w:w="11240"/>
          </w:cols>
          <w:pgMar w:left="320" w:top="96" w:right="339" w:bottom="1440" w:gutter="0" w:footer="0" w:header="0"/>
        </w:sectPr>
      </w:pPr>
    </w:p>
    <w:bookmarkStart w:id="55" w:name="page56"/>
    <w:bookmarkEnd w:id="55"/>
    <w:p>
      <w:pPr>
        <w:jc w:val="both"/>
        <w:spacing w:after="0" w:line="229" w:lineRule="auto"/>
        <w:rPr>
          <w:sz w:val="20"/>
          <w:szCs w:val="20"/>
          <w:color w:val="auto"/>
        </w:rPr>
      </w:pPr>
      <w:r>
        <w:rPr>
          <w:rFonts w:ascii="Times New Roman" w:cs="Times New Roman" w:eastAsia="Times New Roman" w:hAnsi="Times New Roman"/>
          <w:sz w:val="21"/>
          <w:szCs w:val="21"/>
          <w:color w:val="auto"/>
        </w:rPr>
        <w:t>above. Except as otherwise provided by the Plan, the Participant agrees and understands that nothing contained in this Agreement provides, or is intended to provide, the Participant with any protection against potential future dilution of the Participant’s interest in the Company for any reason, and no adjustments shall be made for dividends in cash or other property, distributions or other rights in respect of the Shares underlying the RSUs, except as otherwise specifically provided for in the Plan or this Agreement.</w:t>
      </w:r>
    </w:p>
    <w:p>
      <w:pPr>
        <w:spacing w:after="0" w:line="148" w:lineRule="exact"/>
        <w:rPr>
          <w:sz w:val="20"/>
          <w:szCs w:val="20"/>
          <w:color w:val="auto"/>
        </w:rPr>
      </w:pPr>
    </w:p>
    <w:p>
      <w:pPr>
        <w:ind w:left="1940" w:hanging="644"/>
        <w:spacing w:after="0"/>
        <w:tabs>
          <w:tab w:leader="none" w:pos="1940" w:val="left"/>
        </w:tabs>
        <w:numPr>
          <w:ilvl w:val="0"/>
          <w:numId w:val="1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Vesting</w:t>
      </w:r>
      <w:r>
        <w:rPr>
          <w:rFonts w:ascii="Times New Roman" w:cs="Times New Roman" w:eastAsia="Times New Roman" w:hAnsi="Times New Roman"/>
          <w:sz w:val="21"/>
          <w:szCs w:val="21"/>
          <w:b w:val="1"/>
          <w:bCs w:val="1"/>
          <w:color w:val="auto"/>
        </w:rPr>
        <w:t>.</w:t>
      </w:r>
    </w:p>
    <w:p>
      <w:pPr>
        <w:spacing w:after="0" w:line="192" w:lineRule="exact"/>
        <w:rPr>
          <w:sz w:val="20"/>
          <w:szCs w:val="20"/>
          <w:color w:val="auto"/>
        </w:rPr>
      </w:pPr>
    </w:p>
    <w:p>
      <w:pPr>
        <w:ind w:firstLine="1296"/>
        <w:spacing w:after="0" w:line="251" w:lineRule="auto"/>
        <w:tabs>
          <w:tab w:leader="none" w:pos="1929" w:val="left"/>
        </w:tabs>
        <w:numPr>
          <w:ilvl w:val="0"/>
          <w:numId w:val="1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Subject to the provisions of this </w:t>
      </w:r>
      <w:r>
        <w:rPr>
          <w:rFonts w:ascii="Times New Roman" w:cs="Times New Roman" w:eastAsia="Times New Roman" w:hAnsi="Times New Roman"/>
          <w:sz w:val="21"/>
          <w:szCs w:val="21"/>
          <w:u w:val="single" w:color="auto"/>
          <w:color w:val="auto"/>
        </w:rPr>
        <w:t>Section 3</w:t>
      </w:r>
      <w:r>
        <w:rPr>
          <w:rFonts w:ascii="Times New Roman" w:cs="Times New Roman" w:eastAsia="Times New Roman" w:hAnsi="Times New Roman"/>
          <w:sz w:val="21"/>
          <w:szCs w:val="21"/>
          <w:color w:val="auto"/>
        </w:rPr>
        <w:t>, the RSUs subject to this Award shall become vested as follows, provided that the Participant has not incurred a termination of Service prior to each such vesting date (each, a “</w:t>
      </w:r>
      <w:r>
        <w:rPr>
          <w:rFonts w:ascii="Times New Roman" w:cs="Times New Roman" w:eastAsia="Times New Roman" w:hAnsi="Times New Roman"/>
          <w:sz w:val="21"/>
          <w:szCs w:val="21"/>
          <w:u w:val="single" w:color="auto"/>
          <w:color w:val="auto"/>
        </w:rPr>
        <w:t>Vesting Date</w:t>
      </w:r>
      <w:r>
        <w:rPr>
          <w:rFonts w:ascii="Times New Roman" w:cs="Times New Roman" w:eastAsia="Times New Roman" w:hAnsi="Times New Roman"/>
          <w:sz w:val="21"/>
          <w:szCs w:val="21"/>
          <w:color w:val="auto"/>
        </w:rPr>
        <w:t>”):</w:t>
      </w:r>
    </w:p>
    <w:p>
      <w:pPr>
        <w:spacing w:after="0" w:line="180" w:lineRule="exact"/>
        <w:rPr>
          <w:sz w:val="20"/>
          <w:szCs w:val="20"/>
          <w:color w:val="auto"/>
        </w:rPr>
      </w:pPr>
    </w:p>
    <w:tbl>
      <w:tblPr>
        <w:tblLayout w:type="fixed"/>
        <w:tblInd w:w="1700" w:type="dxa"/>
        <w:tblCellMar>
          <w:top w:w="0" w:type="dxa"/>
          <w:left w:w="0" w:type="dxa"/>
          <w:bottom w:w="0" w:type="dxa"/>
          <w:right w:w="0" w:type="dxa"/>
        </w:tblCellMar>
      </w:tblPr>
      <w:tr>
        <w:trPr>
          <w:trHeight w:val="241"/>
        </w:trPr>
        <w:tc>
          <w:tcPr>
            <w:tcW w:w="1080" w:type="dxa"/>
            <w:vAlign w:val="bottom"/>
          </w:tcPr>
          <w:p>
            <w:pPr>
              <w:spacing w:after="0"/>
              <w:rPr>
                <w:sz w:val="21"/>
                <w:szCs w:val="21"/>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1"/>
                <w:szCs w:val="21"/>
                <w:b w:val="1"/>
                <w:bCs w:val="1"/>
                <w:color w:val="auto"/>
              </w:rPr>
              <w:t>Vesting Date</w:t>
            </w:r>
          </w:p>
        </w:tc>
        <w:tc>
          <w:tcPr>
            <w:tcW w:w="1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1"/>
                <w:szCs w:val="21"/>
                <w:b w:val="1"/>
                <w:bCs w:val="1"/>
                <w:color w:val="auto"/>
              </w:rPr>
              <w:t>Percentage of RSUs</w:t>
            </w:r>
          </w:p>
        </w:tc>
      </w:tr>
      <w:tr>
        <w:trPr>
          <w:trHeight w:val="299"/>
        </w:trPr>
        <w:tc>
          <w:tcPr>
            <w:tcW w:w="3880" w:type="dxa"/>
            <w:vAlign w:val="bottom"/>
            <w:gridSpan w:val="3"/>
          </w:tcPr>
          <w:p>
            <w:pPr>
              <w:jc w:val="center"/>
              <w:ind w:right="560"/>
              <w:spacing w:after="0"/>
              <w:rPr>
                <w:sz w:val="20"/>
                <w:szCs w:val="20"/>
                <w:color w:val="auto"/>
              </w:rPr>
            </w:pPr>
            <w:r>
              <w:rPr>
                <w:rFonts w:ascii="Times New Roman" w:cs="Times New Roman" w:eastAsia="Times New Roman" w:hAnsi="Times New Roman"/>
                <w:sz w:val="21"/>
                <w:szCs w:val="21"/>
                <w:b w:val="1"/>
                <w:bCs w:val="1"/>
                <w:color w:val="auto"/>
              </w:rPr>
              <w:t>First Anniversary of the Grant Date</w:t>
            </w:r>
          </w:p>
        </w:tc>
        <w:tc>
          <w:tcPr>
            <w:tcW w:w="2380" w:type="dxa"/>
            <w:vAlign w:val="bottom"/>
            <w:gridSpan w:val="2"/>
          </w:tcPr>
          <w:p>
            <w:pPr>
              <w:jc w:val="right"/>
              <w:ind w:right="533"/>
              <w:spacing w:after="0"/>
              <w:rPr>
                <w:sz w:val="20"/>
                <w:szCs w:val="20"/>
                <w:color w:val="auto"/>
              </w:rPr>
            </w:pPr>
            <w:r>
              <w:rPr>
                <w:rFonts w:ascii="Times New Roman" w:cs="Times New Roman" w:eastAsia="Times New Roman" w:hAnsi="Times New Roman"/>
                <w:sz w:val="21"/>
                <w:szCs w:val="21"/>
                <w:b w:val="1"/>
                <w:bCs w:val="1"/>
                <w:color w:val="auto"/>
              </w:rPr>
              <w:t>100%</w:t>
            </w:r>
          </w:p>
        </w:tc>
      </w:tr>
    </w:tbl>
    <w:p>
      <w:pPr>
        <w:spacing w:after="0" w:line="56" w:lineRule="exact"/>
        <w:rPr>
          <w:sz w:val="20"/>
          <w:szCs w:val="20"/>
          <w:color w:val="auto"/>
        </w:rPr>
      </w:pPr>
    </w:p>
    <w:p>
      <w:pPr>
        <w:jc w:val="both"/>
        <w:ind w:firstLine="1296"/>
        <w:spacing w:after="0" w:line="224" w:lineRule="auto"/>
        <w:tabs>
          <w:tab w:leader="none" w:pos="1928" w:val="left"/>
        </w:tabs>
        <w:numPr>
          <w:ilvl w:val="0"/>
          <w:numId w:val="1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Without Cause; Due to Death or Disability</w:t>
      </w:r>
      <w:r>
        <w:rPr>
          <w:rFonts w:ascii="Times New Roman" w:cs="Times New Roman" w:eastAsia="Times New Roman" w:hAnsi="Times New Roman"/>
          <w:sz w:val="21"/>
          <w:szCs w:val="21"/>
          <w:color w:val="auto"/>
        </w:rPr>
        <w:t xml:space="preserve">. Subject to </w:t>
      </w:r>
      <w:r>
        <w:rPr>
          <w:rFonts w:ascii="Times New Roman" w:cs="Times New Roman" w:eastAsia="Times New Roman" w:hAnsi="Times New Roman"/>
          <w:sz w:val="21"/>
          <w:szCs w:val="21"/>
          <w:u w:val="single" w:color="auto"/>
          <w:color w:val="auto"/>
        </w:rPr>
        <w:t>Section 4(b)</w:t>
      </w:r>
      <w:r>
        <w:rPr>
          <w:rFonts w:ascii="Times New Roman" w:cs="Times New Roman" w:eastAsia="Times New Roman" w:hAnsi="Times New Roman"/>
          <w:sz w:val="21"/>
          <w:szCs w:val="21"/>
          <w:color w:val="auto"/>
        </w:rPr>
        <w:t xml:space="preserve">, in the event the Participant’s Service is terminated by the Company without Cause, all unvested RSUs shall become vested on the Vesting Date as if the Participant had not incurred a termination of Service prior to the Vesting Date. Subject to </w:t>
      </w:r>
      <w:r>
        <w:rPr>
          <w:rFonts w:ascii="Times New Roman" w:cs="Times New Roman" w:eastAsia="Times New Roman" w:hAnsi="Times New Roman"/>
          <w:sz w:val="21"/>
          <w:szCs w:val="21"/>
          <w:u w:val="single" w:color="auto"/>
          <w:color w:val="auto"/>
        </w:rPr>
        <w:t>Section 4(b)</w:t>
      </w:r>
      <w:r>
        <w:rPr>
          <w:rFonts w:ascii="Times New Roman" w:cs="Times New Roman" w:eastAsia="Times New Roman" w:hAnsi="Times New Roman"/>
          <w:sz w:val="21"/>
          <w:szCs w:val="21"/>
          <w:color w:val="auto"/>
        </w:rPr>
        <w:t>, in the event the Participant’s Service is terminated due to the Participant’s death or Disability, all unvested RSUs shall become fully vested as of the time immediately prior to such termination of Service, all remaining forfeiture restrictions shall immediately lapse as of the Vesting Date and the Vesting Date shall be deemed to be the date of such termination of Service.</w:t>
      </w:r>
    </w:p>
    <w:p>
      <w:pPr>
        <w:spacing w:after="0" w:line="148" w:lineRule="exact"/>
        <w:rPr>
          <w:rFonts w:ascii="Times New Roman" w:cs="Times New Roman" w:eastAsia="Times New Roman" w:hAnsi="Times New Roman"/>
          <w:sz w:val="21"/>
          <w:szCs w:val="21"/>
          <w:color w:val="auto"/>
        </w:rPr>
      </w:pPr>
    </w:p>
    <w:p>
      <w:pPr>
        <w:ind w:left="1940" w:hanging="644"/>
        <w:spacing w:after="0"/>
        <w:tabs>
          <w:tab w:leader="none" w:pos="1940" w:val="left"/>
        </w:tabs>
        <w:numPr>
          <w:ilvl w:val="0"/>
          <w:numId w:val="1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Change in Control</w:t>
      </w:r>
      <w:r>
        <w:rPr>
          <w:rFonts w:ascii="Times New Roman" w:cs="Times New Roman" w:eastAsia="Times New Roman" w:hAnsi="Times New Roman"/>
          <w:sz w:val="21"/>
          <w:szCs w:val="21"/>
          <w:color w:val="auto"/>
        </w:rPr>
        <w:t xml:space="preserve">. Subject to </w:t>
      </w:r>
      <w:r>
        <w:rPr>
          <w:rFonts w:ascii="Times New Roman" w:cs="Times New Roman" w:eastAsia="Times New Roman" w:hAnsi="Times New Roman"/>
          <w:sz w:val="21"/>
          <w:szCs w:val="21"/>
          <w:u w:val="single" w:color="auto"/>
          <w:color w:val="auto"/>
        </w:rPr>
        <w:t>Section 4(b)</w:t>
      </w:r>
      <w:r>
        <w:rPr>
          <w:rFonts w:ascii="Times New Roman" w:cs="Times New Roman" w:eastAsia="Times New Roman" w:hAnsi="Times New Roman"/>
          <w:sz w:val="21"/>
          <w:szCs w:val="21"/>
          <w:color w:val="auto"/>
        </w:rPr>
        <w:t>, all unvested RSUs shall become fully vested upon a Change in</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Control.</w:t>
      </w:r>
    </w:p>
    <w:p>
      <w:pPr>
        <w:spacing w:after="0" w:line="163" w:lineRule="exact"/>
        <w:rPr>
          <w:rFonts w:ascii="Times New Roman" w:cs="Times New Roman" w:eastAsia="Times New Roman" w:hAnsi="Times New Roman"/>
          <w:sz w:val="21"/>
          <w:szCs w:val="21"/>
          <w:color w:val="auto"/>
        </w:rPr>
      </w:pPr>
    </w:p>
    <w:p>
      <w:pPr>
        <w:ind w:firstLine="1296"/>
        <w:spacing w:after="0" w:line="251" w:lineRule="auto"/>
        <w:tabs>
          <w:tab w:leader="none" w:pos="1928" w:val="left"/>
        </w:tabs>
        <w:numPr>
          <w:ilvl w:val="0"/>
          <w:numId w:val="1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Committee Discretion to Accelerate Vesting</w:t>
      </w:r>
      <w:r>
        <w:rPr>
          <w:rFonts w:ascii="Times New Roman" w:cs="Times New Roman" w:eastAsia="Times New Roman" w:hAnsi="Times New Roman"/>
          <w:sz w:val="21"/>
          <w:szCs w:val="21"/>
          <w:color w:val="auto"/>
        </w:rPr>
        <w:t>. In addition to the foregoing, the Committee may, in its sole discretion, accelerate vesting of the RSUs at any time and for any reason.</w:t>
      </w:r>
    </w:p>
    <w:p>
      <w:pPr>
        <w:spacing w:after="0" w:line="139" w:lineRule="exact"/>
        <w:rPr>
          <w:rFonts w:ascii="Times New Roman" w:cs="Times New Roman" w:eastAsia="Times New Roman" w:hAnsi="Times New Roman"/>
          <w:sz w:val="21"/>
          <w:szCs w:val="21"/>
          <w:color w:val="auto"/>
        </w:rPr>
      </w:pPr>
    </w:p>
    <w:p>
      <w:pPr>
        <w:jc w:val="both"/>
        <w:ind w:firstLine="1296"/>
        <w:spacing w:after="0" w:line="234" w:lineRule="auto"/>
        <w:tabs>
          <w:tab w:leader="none" w:pos="1929" w:val="left"/>
        </w:tabs>
        <w:numPr>
          <w:ilvl w:val="0"/>
          <w:numId w:val="1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Forfeiture</w:t>
      </w:r>
      <w:r>
        <w:rPr>
          <w:rFonts w:ascii="Times New Roman" w:cs="Times New Roman" w:eastAsia="Times New Roman" w:hAnsi="Times New Roman"/>
          <w:sz w:val="21"/>
          <w:szCs w:val="21"/>
          <w:color w:val="auto"/>
        </w:rPr>
        <w:t xml:space="preserve">. Subject to the terms of this </w:t>
      </w:r>
      <w:r>
        <w:rPr>
          <w:rFonts w:ascii="Times New Roman" w:cs="Times New Roman" w:eastAsia="Times New Roman" w:hAnsi="Times New Roman"/>
          <w:sz w:val="21"/>
          <w:szCs w:val="21"/>
          <w:u w:val="single" w:color="auto"/>
          <w:color w:val="auto"/>
        </w:rPr>
        <w:t>Section 3</w:t>
      </w:r>
      <w:r>
        <w:rPr>
          <w:rFonts w:ascii="Times New Roman" w:cs="Times New Roman" w:eastAsia="Times New Roman" w:hAnsi="Times New Roman"/>
          <w:sz w:val="21"/>
          <w:szCs w:val="21"/>
          <w:color w:val="auto"/>
        </w:rPr>
        <w:t xml:space="preserve">, all unvested RSUs (taking into account any vesting that may occur upon the Participant’s termination of Service in accordance with </w:t>
      </w:r>
      <w:r>
        <w:rPr>
          <w:rFonts w:ascii="Times New Roman" w:cs="Times New Roman" w:eastAsia="Times New Roman" w:hAnsi="Times New Roman"/>
          <w:sz w:val="21"/>
          <w:szCs w:val="21"/>
          <w:u w:val="single" w:color="auto"/>
          <w:color w:val="auto"/>
        </w:rPr>
        <w:t>Section 3(b)</w:t>
      </w:r>
      <w:r>
        <w:rPr>
          <w:rFonts w:ascii="Times New Roman" w:cs="Times New Roman" w:eastAsia="Times New Roman" w:hAnsi="Times New Roman"/>
          <w:sz w:val="21"/>
          <w:szCs w:val="21"/>
          <w:color w:val="auto"/>
        </w:rPr>
        <w:t xml:space="preserve"> hereof) shall be immediately forfeited upon the Participant’s termination of Service for any reason.</w:t>
      </w:r>
    </w:p>
    <w:p>
      <w:pPr>
        <w:spacing w:after="0" w:line="149" w:lineRule="exact"/>
        <w:rPr>
          <w:sz w:val="20"/>
          <w:szCs w:val="20"/>
          <w:color w:val="auto"/>
        </w:rPr>
      </w:pPr>
    </w:p>
    <w:p>
      <w:pPr>
        <w:ind w:left="1940" w:hanging="644"/>
        <w:spacing w:after="0"/>
        <w:tabs>
          <w:tab w:leader="none" w:pos="1940" w:val="left"/>
        </w:tabs>
        <w:numPr>
          <w:ilvl w:val="0"/>
          <w:numId w:val="1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Delivery of Shares</w:t>
      </w:r>
      <w:r>
        <w:rPr>
          <w:rFonts w:ascii="Times New Roman" w:cs="Times New Roman" w:eastAsia="Times New Roman" w:hAnsi="Times New Roman"/>
          <w:sz w:val="21"/>
          <w:szCs w:val="21"/>
          <w:color w:val="auto"/>
        </w:rPr>
        <w:t>.</w:t>
      </w:r>
    </w:p>
    <w:p>
      <w:pPr>
        <w:spacing w:after="0" w:line="192" w:lineRule="exact"/>
        <w:rPr>
          <w:sz w:val="20"/>
          <w:szCs w:val="20"/>
          <w:color w:val="auto"/>
        </w:rPr>
      </w:pPr>
    </w:p>
    <w:p>
      <w:pPr>
        <w:jc w:val="both"/>
        <w:ind w:firstLine="1296"/>
        <w:spacing w:after="0" w:line="234" w:lineRule="auto"/>
        <w:tabs>
          <w:tab w:leader="none" w:pos="1929" w:val="left"/>
        </w:tabs>
        <w:numPr>
          <w:ilvl w:val="0"/>
          <w:numId w:val="1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General</w:t>
      </w:r>
      <w:r>
        <w:rPr>
          <w:rFonts w:ascii="Times New Roman" w:cs="Times New Roman" w:eastAsia="Times New Roman" w:hAnsi="Times New Roman"/>
          <w:sz w:val="21"/>
          <w:szCs w:val="21"/>
          <w:color w:val="auto"/>
        </w:rPr>
        <w:t>. Subject to the requirements of Section 409A of the Code, within ten (10) days following the applicable Vesting Date of the RSUs the Participant shall receive the number of Shares that correspond to the number of RSUs that have become vested on the applicable Vesting Date, less any shares withheld by the Company for tax withholding purposes.</w:t>
      </w:r>
    </w:p>
    <w:p>
      <w:pPr>
        <w:sectPr>
          <w:pgSz w:w="11900" w:h="16838" w:orient="portrait"/>
          <w:cols w:equalWidth="0" w:num="1">
            <w:col w:w="11240"/>
          </w:cols>
          <w:pgMar w:left="320" w:top="1387" w:right="339" w:bottom="1440" w:gutter="0" w:footer="0" w:header="0"/>
        </w:sectPr>
      </w:pPr>
    </w:p>
    <w:bookmarkStart w:id="56" w:name="page57"/>
    <w:bookmarkEnd w:id="56"/>
    <w:p>
      <w:pPr>
        <w:jc w:val="both"/>
        <w:ind w:left="-20" w:firstLine="1296"/>
        <w:spacing w:after="0" w:line="234" w:lineRule="auto"/>
        <w:tabs>
          <w:tab w:leader="none" w:pos="1908" w:val="left"/>
        </w:tabs>
        <w:numPr>
          <w:ilvl w:val="0"/>
          <w:numId w:val="1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Release</w:t>
      </w:r>
      <w:r>
        <w:rPr>
          <w:rFonts w:ascii="Times New Roman" w:cs="Times New Roman" w:eastAsia="Times New Roman" w:hAnsi="Times New Roman"/>
          <w:sz w:val="21"/>
          <w:szCs w:val="21"/>
          <w:color w:val="auto"/>
        </w:rPr>
        <w:t xml:space="preserve">. The receipt of Shares subject to the RSUs that are eligible to vest pursuant to </w:t>
      </w:r>
      <w:r>
        <w:rPr>
          <w:rFonts w:ascii="Times New Roman" w:cs="Times New Roman" w:eastAsia="Times New Roman" w:hAnsi="Times New Roman"/>
          <w:sz w:val="21"/>
          <w:szCs w:val="21"/>
          <w:u w:val="single" w:color="auto"/>
          <w:color w:val="auto"/>
        </w:rPr>
        <w:t>Section 3(b)</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(c)</w:t>
      </w:r>
      <w:r>
        <w:rPr>
          <w:rFonts w:ascii="Times New Roman" w:cs="Times New Roman" w:eastAsia="Times New Roman" w:hAnsi="Times New Roman"/>
          <w:sz w:val="21"/>
          <w:szCs w:val="21"/>
          <w:color w:val="auto"/>
        </w:rPr>
        <w:t xml:space="preserve"> shall be subject to the execution and nonrevocation of a general release of claims in favor of the Company, in a form reasonably satisfactory to the Company.</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i w:val="1"/>
          <w:iCs w:val="1"/>
          <w:color w:val="auto"/>
        </w:rPr>
        <w:t>[Remainder of Page Intentionally Left Blank]</w:t>
      </w:r>
    </w:p>
    <w:p>
      <w:pPr>
        <w:sectPr>
          <w:pgSz w:w="11900" w:h="16838" w:orient="portrait"/>
          <w:cols w:equalWidth="0" w:num="1">
            <w:col w:w="11220"/>
          </w:cols>
          <w:pgMar w:left="340" w:top="1387" w:right="339" w:bottom="1440" w:gutter="0" w:footer="0" w:header="0"/>
        </w:sectPr>
      </w:pPr>
    </w:p>
    <w:bookmarkStart w:id="57" w:name="page58"/>
    <w:bookmarkEnd w:id="57"/>
    <w:p>
      <w:pPr>
        <w:ind w:firstLine="644"/>
        <w:spacing w:after="0" w:line="251" w:lineRule="auto"/>
        <w:rPr>
          <w:sz w:val="20"/>
          <w:szCs w:val="20"/>
          <w:color w:val="auto"/>
        </w:rPr>
      </w:pPr>
      <w:r>
        <w:rPr>
          <w:rFonts w:ascii="Times New Roman" w:cs="Times New Roman" w:eastAsia="Times New Roman" w:hAnsi="Times New Roman"/>
          <w:sz w:val="21"/>
          <w:szCs w:val="21"/>
          <w:color w:val="auto"/>
        </w:rPr>
        <w:t>By signing below, the Participant hereby acknowledges receipt of the RSUs issued on the Grant Date indicated above, which have been issued under the terms and conditions of the Plan and this Agreement.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WEATHERFORD INTERNATIONAL PLC</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-5715</wp:posOffset>
            </wp:positionV>
            <wp:extent cx="1365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6525" cy="8255"/>
                    </a:xfrm>
                    <a:prstGeom prst="rect">
                      <a:avLst/>
                    </a:prstGeom>
                    <a:noFill/>
                  </pic:spPr>
                </pic:pic>
              </a:graphicData>
            </a:graphic>
          </wp:anchor>
        </w:drawing>
      </w:r>
    </w:p>
    <w:p>
      <w:pPr>
        <w:spacing w:after="0" w:line="213" w:lineRule="auto"/>
        <w:rPr>
          <w:sz w:val="20"/>
          <w:szCs w:val="20"/>
          <w:color w:val="auto"/>
        </w:rPr>
      </w:pPr>
      <w:r>
        <w:rPr>
          <w:rFonts w:ascii="Times New Roman" w:cs="Times New Roman" w:eastAsia="Times New Roman" w:hAnsi="Times New Roman"/>
          <w:sz w:val="21"/>
          <w:szCs w:val="2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-5715</wp:posOffset>
            </wp:positionV>
            <wp:extent cx="1365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3652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1"/>
          <w:szCs w:val="2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329565</wp:posOffset>
            </wp:positionH>
            <wp:positionV relativeFrom="paragraph">
              <wp:posOffset>-22860</wp:posOffset>
            </wp:positionV>
            <wp:extent cx="1365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65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Accepted by:</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[Name of the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-140970</wp:posOffset>
            </wp:positionV>
            <wp:extent cx="1365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6525" cy="8255"/>
                    </a:xfrm>
                    <a:prstGeom prst="rect">
                      <a:avLst/>
                    </a:prstGeom>
                    <a:noFill/>
                  </pic:spPr>
                </pic:pic>
              </a:graphicData>
            </a:graphic>
          </wp:anchor>
        </w:drawing>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334010</wp:posOffset>
            </wp:positionH>
            <wp:positionV relativeFrom="paragraph">
              <wp:posOffset>-7620</wp:posOffset>
            </wp:positionV>
            <wp:extent cx="1365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6525" cy="8255"/>
                    </a:xfrm>
                    <a:prstGeom prst="rect">
                      <a:avLst/>
                    </a:prstGeom>
                    <a:noFill/>
                  </pic:spPr>
                </pic:pic>
              </a:graphicData>
            </a:graphic>
          </wp:anchor>
        </w:drawing>
      </w:r>
    </w:p>
    <w:sectPr>
      <w:pgSz w:w="11900" w:h="16838" w:orient="portrait"/>
      <w:cols w:equalWidth="0" w:num="1">
        <w:col w:w="11240"/>
      </w:cols>
      <w:pgMar w:left="320" w:top="13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F305DEF"/>
    <w:multiLevelType w:val="hybridMultilevel"/>
    <w:lvl w:ilvl="0">
      <w:lvlJc w:val="left"/>
      <w:lvlText w:val="☐"/>
      <w:numFmt w:val="bullet"/>
      <w:start w:val="1"/>
    </w:lvl>
  </w:abstractNum>
  <w:abstractNum w:abstractNumId="1">
    <w:nsid w:val="25A70BF7"/>
    <w:multiLevelType w:val="hybridMultilevel"/>
    <w:lvl w:ilvl="0">
      <w:lvlJc w:val="left"/>
      <w:lvlText w:val="1"/>
      <w:numFmt w:val="bullet"/>
      <w:start w:val="1"/>
    </w:lvl>
  </w:abstractNum>
  <w:abstractNum w:abstractNumId="2">
    <w:nsid w:val="1DBABF00"/>
    <w:multiLevelType w:val="hybridMultilevel"/>
    <w:lvl w:ilvl="0">
      <w:lvlJc w:val="left"/>
      <w:lvlText w:val="2"/>
      <w:numFmt w:val="bullet"/>
      <w:start w:val="1"/>
    </w:lvl>
  </w:abstractNum>
  <w:abstractNum w:abstractNumId="3">
    <w:nsid w:val="4AD084E9"/>
    <w:multiLevelType w:val="hybridMultilevel"/>
    <w:lvl w:ilvl="0">
      <w:lvlJc w:val="left"/>
      <w:lvlText w:val="(%1)"/>
      <w:numFmt w:val="lowerLetter"/>
      <w:start w:val="4"/>
    </w:lvl>
  </w:abstractNum>
  <w:abstractNum w:abstractNumId="4">
    <w:nsid w:val="1F48EAA1"/>
    <w:multiLevelType w:val="hybridMultilevel"/>
    <w:lvl w:ilvl="0">
      <w:lvlJc w:val="left"/>
      <w:lvlText w:val="*"/>
      <w:numFmt w:val="bullet"/>
      <w:start w:val="1"/>
    </w:lvl>
    <w:lvl w:ilvl="1">
      <w:lvlJc w:val="left"/>
      <w:lvlText w:val="%2"/>
      <w:numFmt w:val="decimal"/>
      <w:start w:val="104"/>
    </w:lvl>
  </w:abstractNum>
  <w:abstractNum w:abstractNumId="5">
    <w:nsid w:val="1381823A"/>
    <w:multiLevelType w:val="hybridMultilevel"/>
    <w:lvl w:ilvl="0">
      <w:lvlJc w:val="left"/>
      <w:lvlText w:val="(%1)"/>
      <w:numFmt w:val="lowerRoman"/>
      <w:start w:val="1"/>
    </w:lvl>
  </w:abstractNum>
  <w:abstractNum w:abstractNumId="6">
    <w:nsid w:val="5DB70AE5"/>
    <w:multiLevelType w:val="hybridMultilevel"/>
    <w:lvl w:ilvl="0">
      <w:lvlJc w:val="left"/>
      <w:lvlText w:val="(%1)"/>
      <w:numFmt w:val="lowerRoman"/>
      <w:start w:val="6"/>
    </w:lvl>
  </w:abstractNum>
  <w:abstractNum w:abstractNumId="7">
    <w:nsid w:val="100F8FCA"/>
    <w:multiLevelType w:val="hybridMultilevel"/>
    <w:lvl w:ilvl="0">
      <w:lvlJc w:val="left"/>
      <w:lvlText w:val="(%1)"/>
      <w:numFmt w:val="lowerRoman"/>
      <w:start w:val="8"/>
    </w:lvl>
  </w:abstractNum>
  <w:abstractNum w:abstractNumId="8">
    <w:nsid w:val="6590700B"/>
    <w:multiLevelType w:val="hybridMultilevel"/>
    <w:lvl w:ilvl="0">
      <w:lvlJc w:val="left"/>
      <w:lvlText w:val="(%1)"/>
      <w:numFmt w:val="lowerRoman"/>
      <w:start w:val="9"/>
    </w:lvl>
  </w:abstractNum>
  <w:abstractNum w:abstractNumId="9">
    <w:nsid w:val="15014ACB"/>
    <w:multiLevelType w:val="hybridMultilevel"/>
    <w:lvl w:ilvl="0">
      <w:lvlJc w:val="left"/>
      <w:lvlText w:val="(%1)"/>
      <w:numFmt w:val="lowerRoman"/>
      <w:start w:val="12"/>
    </w:lvl>
  </w:abstractNum>
  <w:abstractNum w:abstractNumId="10">
    <w:nsid w:val="5F5E7FD0"/>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1">
    <w:nsid w:val="98A3148"/>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12">
    <w:nsid w:val="799D0247"/>
    <w:multiLevelType w:val="hybridMultilevel"/>
    <w:lvl w:ilvl="0">
      <w:lvlJc w:val="left"/>
      <w:lvlText w:val="%1."/>
      <w:numFmt w:val="decimal"/>
      <w:start w:val="1"/>
    </w:lvl>
  </w:abstractNum>
  <w:abstractNum w:abstractNumId="13">
    <w:nsid w:val="6B94764"/>
    <w:multiLevelType w:val="hybridMultilevel"/>
    <w:lvl w:ilvl="0">
      <w:lvlJc w:val="left"/>
      <w:lvlText w:val="%1."/>
      <w:numFmt w:val="decimal"/>
      <w:start w:val="2"/>
    </w:lvl>
  </w:abstractNum>
  <w:abstractNum w:abstractNumId="14">
    <w:nsid w:val="42C296BD"/>
    <w:multiLevelType w:val="hybridMultilevel"/>
    <w:lvl w:ilvl="0">
      <w:lvlJc w:val="left"/>
      <w:lvlText w:val="(%1)"/>
      <w:numFmt w:val="lowerLetter"/>
      <w:start w:val="1"/>
    </w:lvl>
    <w:lvl w:ilvl="1">
      <w:lvlJc w:val="left"/>
      <w:lvlText w:val="(%2)"/>
      <w:numFmt w:val="lowerLetter"/>
      <w:start w:val="9"/>
    </w:lvl>
  </w:abstractNum>
  <w:abstractNum w:abstractNumId="15">
    <w:nsid w:val="168E121F"/>
    <w:multiLevelType w:val="hybridMultilevel"/>
    <w:lvl w:ilvl="0">
      <w:lvlJc w:val="left"/>
      <w:lvlText w:val="%1"/>
      <w:numFmt w:val="lowerLetter"/>
      <w:start w:val="1"/>
    </w:lvl>
    <w:lvl w:ilvl="1">
      <w:lvlJc w:val="left"/>
      <w:lvlText w:val="(%2)"/>
      <w:numFmt w:val="lowerRoman"/>
      <w:start w:val="2"/>
    </w:lvl>
  </w:abstractNum>
  <w:abstractNum w:abstractNumId="16">
    <w:nsid w:val="1EBA5D23"/>
    <w:multiLevelType w:val="hybridMultilevel"/>
    <w:lvl w:ilvl="0">
      <w:lvlJc w:val="left"/>
      <w:lvlText w:val="(%1)"/>
      <w:numFmt w:val="lowerLetter"/>
      <w:start w:val="6"/>
    </w:lvl>
    <w:lvl w:ilvl="1">
      <w:lvlJc w:val="left"/>
      <w:lvlText w:val="%2"/>
      <w:numFmt w:val="lowerRoman"/>
      <w:start w:val="1"/>
    </w:lvl>
  </w:abstractNum>
  <w:abstractNum w:abstractNumId="17">
    <w:nsid w:val="661E3F1E"/>
    <w:multiLevelType w:val="hybridMultilevel"/>
    <w:lvl w:ilvl="0">
      <w:lvlJc w:val="left"/>
      <w:lvlText w:val="(%1)"/>
      <w:numFmt w:val="lowerLetter"/>
      <w:start w:val="12"/>
    </w:lvl>
    <w:lvl w:ilvl="1">
      <w:lvlJc w:val="left"/>
      <w:lvlText w:val="(%2)"/>
      <w:numFmt w:val="lowerRoman"/>
      <w:start w:val="1"/>
    </w:lvl>
  </w:abstractNum>
  <w:abstractNum w:abstractNumId="18">
    <w:nsid w:val="5DC79EA8"/>
    <w:multiLevelType w:val="hybridMultilevel"/>
    <w:lvl w:ilvl="0">
      <w:lvlJc w:val="left"/>
      <w:lvlText w:val="(%1)"/>
      <w:numFmt w:val="lowerRoman"/>
      <w:start w:val="2"/>
    </w:lvl>
  </w:abstractNum>
  <w:abstractNum w:abstractNumId="19">
    <w:nsid w:val="540A471C"/>
    <w:multiLevelType w:val="hybridMultilevel"/>
    <w:lvl w:ilvl="0">
      <w:lvlJc w:val="left"/>
      <w:lvlText w:val="(%1)"/>
      <w:numFmt w:val="lowerLetter"/>
      <w:start w:val="13"/>
    </w:lvl>
  </w:abstractNum>
  <w:abstractNum w:abstractNumId="20">
    <w:nsid w:val="7BD3EE7B"/>
    <w:multiLevelType w:val="hybridMultilevel"/>
    <w:lvl w:ilvl="0">
      <w:lvlJc w:val="left"/>
      <w:lvlText w:val="(%1)"/>
      <w:numFmt w:val="lowerLetter"/>
      <w:start w:val="18"/>
    </w:lvl>
  </w:abstractNum>
  <w:abstractNum w:abstractNumId="21">
    <w:nsid w:val="51D9C564"/>
    <w:multiLevelType w:val="hybridMultilevel"/>
    <w:lvl w:ilvl="0">
      <w:lvlJc w:val="left"/>
      <w:lvlText w:val="(%1)"/>
      <w:numFmt w:val="lowerLetter"/>
      <w:start w:val="26"/>
    </w:lvl>
  </w:abstractNum>
  <w:abstractNum w:abstractNumId="22">
    <w:nsid w:val="613EFDC5"/>
    <w:multiLevelType w:val="hybridMultilevel"/>
    <w:lvl w:ilvl="0">
      <w:lvlJc w:val="left"/>
      <w:lvlText w:val="(%1)"/>
      <w:numFmt w:val="lowerLetter"/>
      <w:start w:val="27"/>
    </w:lvl>
  </w:abstractNum>
  <w:abstractNum w:abstractNumId="23">
    <w:nsid w:val="BF72B14"/>
    <w:multiLevelType w:val="hybridMultilevel"/>
    <w:lvl w:ilvl="0">
      <w:lvlJc w:val="left"/>
      <w:lvlText w:val="(%1)"/>
      <w:numFmt w:val="lowerRoman"/>
      <w:start w:val="10"/>
    </w:lvl>
  </w:abstractNum>
  <w:abstractNum w:abstractNumId="24">
    <w:nsid w:val="11447B73"/>
    <w:multiLevelType w:val="hybridMultilevel"/>
    <w:lvl w:ilvl="0">
      <w:lvlJc w:val="left"/>
      <w:lvlText w:val="(%1)"/>
      <w:numFmt w:val="lowerRoman"/>
      <w:start w:val="13"/>
    </w:lvl>
  </w:abstractNum>
  <w:abstractNum w:abstractNumId="25">
    <w:nsid w:val="42963E5A"/>
    <w:multiLevelType w:val="hybridMultilevel"/>
    <w:lvl w:ilvl="0">
      <w:lvlJc w:val="left"/>
      <w:lvlText w:val="(%1)"/>
      <w:numFmt w:val="lowerRoman"/>
      <w:start w:val="17"/>
    </w:lvl>
  </w:abstractNum>
  <w:abstractNum w:abstractNumId="26">
    <w:nsid w:val="A0382C5"/>
    <w:multiLevelType w:val="hybridMultilevel"/>
    <w:lvl w:ilvl="0">
      <w:lvlJc w:val="left"/>
      <w:lvlText w:val="%1."/>
      <w:numFmt w:val="decimal"/>
      <w:start w:val="3"/>
    </w:lvl>
    <w:lvl w:ilvl="1">
      <w:lvlJc w:val="left"/>
      <w:lvlText w:val="(%2)"/>
      <w:numFmt w:val="lowerLetter"/>
      <w:start w:val="1"/>
    </w:lvl>
  </w:abstractNum>
  <w:abstractNum w:abstractNumId="27">
    <w:nsid w:val="8F2B15E"/>
    <w:multiLevelType w:val="hybridMultilevel"/>
    <w:lvl w:ilvl="0">
      <w:lvlJc w:val="left"/>
      <w:lvlText w:val="(%1)"/>
      <w:numFmt w:val="lowerLetter"/>
      <w:start w:val="2"/>
    </w:lvl>
  </w:abstractNum>
  <w:abstractNum w:abstractNumId="28">
    <w:nsid w:val="1A32234B"/>
    <w:multiLevelType w:val="hybridMultilevel"/>
    <w:lvl w:ilvl="0">
      <w:lvlJc w:val="left"/>
      <w:lvlText w:val="(%1)"/>
      <w:numFmt w:val="lowerLetter"/>
      <w:start w:val="3"/>
    </w:lvl>
  </w:abstractNum>
  <w:abstractNum w:abstractNumId="29">
    <w:nsid w:val="3B0FD379"/>
    <w:multiLevelType w:val="hybridMultilevel"/>
    <w:lvl w:ilvl="0">
      <w:lvlJc w:val="left"/>
      <w:lvlText w:val="(%1)"/>
      <w:numFmt w:val="lowerLetter"/>
      <w:start w:val="61"/>
    </w:lvl>
    <w:lvl w:ilvl="1">
      <w:lvlJc w:val="left"/>
      <w:lvlText w:val="(%2)"/>
      <w:numFmt w:val="lowerLetter"/>
      <w:start w:val="4"/>
    </w:lvl>
  </w:abstractNum>
  <w:abstractNum w:abstractNumId="30">
    <w:nsid w:val="68EB2F63"/>
    <w:multiLevelType w:val="hybridMultilevel"/>
    <w:lvl w:ilvl="0">
      <w:lvlJc w:val="left"/>
      <w:lvlText w:val="(%1)"/>
      <w:numFmt w:val="lowerLetter"/>
      <w:start w:val="5"/>
    </w:lvl>
  </w:abstractNum>
  <w:abstractNum w:abstractNumId="31">
    <w:nsid w:val="4962813B"/>
    <w:multiLevelType w:val="hybridMultilevel"/>
    <w:lvl w:ilvl="0">
      <w:lvlJc w:val="left"/>
      <w:lvlText w:val="%1."/>
      <w:numFmt w:val="decimal"/>
      <w:start w:val="4"/>
    </w:lvl>
    <w:lvl w:ilvl="1">
      <w:lvlJc w:val="left"/>
      <w:lvlText w:val="(%2)"/>
      <w:numFmt w:val="lowerLetter"/>
      <w:start w:val="1"/>
    </w:lvl>
  </w:abstractNum>
  <w:abstractNum w:abstractNumId="32">
    <w:nsid w:val="60B6DF70"/>
    <w:multiLevelType w:val="hybridMultilevel"/>
    <w:lvl w:ilvl="0">
      <w:lvlJc w:val="left"/>
      <w:lvlText w:val="(%1)"/>
      <w:numFmt w:val="lowerLetter"/>
      <w:start w:val="2"/>
    </w:lvl>
  </w:abstractNum>
  <w:abstractNum w:abstractNumId="33">
    <w:nsid w:val="6A5EE64"/>
    <w:multiLevelType w:val="hybridMultilevel"/>
    <w:lvl w:ilvl="0">
      <w:lvlJc w:val="left"/>
      <w:lvlText w:val="%1"/>
      <w:numFmt w:val="lowerLetter"/>
      <w:start w:val="1"/>
    </w:lvl>
    <w:lvl w:ilvl="1">
      <w:lvlJc w:val="left"/>
      <w:lvlText w:val="(%2)"/>
      <w:numFmt w:val="lowerRoman"/>
      <w:start w:val="1"/>
    </w:lvl>
  </w:abstractNum>
  <w:abstractNum w:abstractNumId="34">
    <w:nsid w:val="14330624"/>
    <w:multiLevelType w:val="hybridMultilevel"/>
    <w:lvl w:ilvl="0">
      <w:lvlJc w:val="left"/>
      <w:lvlText w:val="(%1)"/>
      <w:numFmt w:val="lowerLetter"/>
      <w:start w:val="3"/>
    </w:lvl>
    <w:lvl w:ilvl="1">
      <w:lvlJc w:val="left"/>
      <w:lvlText w:val="%2"/>
      <w:numFmt w:val="lowerRoman"/>
      <w:start w:val="1"/>
    </w:lvl>
  </w:abstractNum>
  <w:abstractNum w:abstractNumId="35">
    <w:nsid w:val="7FFFCA11"/>
    <w:multiLevelType w:val="hybridMultilevel"/>
    <w:lvl w:ilvl="0">
      <w:lvlJc w:val="left"/>
      <w:lvlText w:val="(%1)"/>
      <w:numFmt w:val="lowerLetter"/>
      <w:start w:val="4"/>
    </w:lvl>
  </w:abstractNum>
  <w:abstractNum w:abstractNumId="36">
    <w:nsid w:val="1A27709E"/>
    <w:multiLevelType w:val="hybridMultilevel"/>
    <w:lvl w:ilvl="0">
      <w:lvlJc w:val="left"/>
      <w:lvlText w:val="(%1)"/>
      <w:numFmt w:val="lowerLetter"/>
      <w:start w:val="5"/>
    </w:lvl>
  </w:abstractNum>
  <w:abstractNum w:abstractNumId="37">
    <w:nsid w:val="71EA1109"/>
    <w:multiLevelType w:val="hybridMultilevel"/>
    <w:lvl w:ilvl="0">
      <w:lvlJc w:val="left"/>
      <w:lvlText w:val="%1."/>
      <w:numFmt w:val="decimal"/>
      <w:start w:val="5"/>
    </w:lvl>
    <w:lvl w:ilvl="1">
      <w:lvlJc w:val="left"/>
      <w:lvlText w:val="(%2)"/>
      <w:numFmt w:val="lowerLetter"/>
      <w:start w:val="1"/>
    </w:lvl>
  </w:abstractNum>
  <w:abstractNum w:abstractNumId="38">
    <w:nsid w:val="100F59DC"/>
    <w:multiLevelType w:val="hybridMultilevel"/>
    <w:lvl w:ilvl="0">
      <w:lvlJc w:val="left"/>
      <w:lvlText w:val="(%1)"/>
      <w:numFmt w:val="lowerLetter"/>
      <w:start w:val="2"/>
    </w:lvl>
  </w:abstractNum>
  <w:abstractNum w:abstractNumId="39">
    <w:nsid w:val="7FB7E0AA"/>
    <w:multiLevelType w:val="hybridMultilevel"/>
    <w:lvl w:ilvl="0">
      <w:lvlJc w:val="left"/>
      <w:lvlText w:val="(%1)"/>
      <w:numFmt w:val="lowerLetter"/>
      <w:start w:val="3"/>
    </w:lvl>
  </w:abstractNum>
  <w:abstractNum w:abstractNumId="40">
    <w:nsid w:val="6EB5BD4"/>
    <w:multiLevelType w:val="hybridMultilevel"/>
    <w:lvl w:ilvl="0">
      <w:lvlJc w:val="left"/>
      <w:lvlText w:val="(%1)"/>
      <w:numFmt w:val="lowerLetter"/>
      <w:start w:val="4"/>
    </w:lvl>
  </w:abstractNum>
  <w:abstractNum w:abstractNumId="41">
    <w:nsid w:val="6F6DD9AC"/>
    <w:multiLevelType w:val="hybridMultilevel"/>
    <w:lvl w:ilvl="0">
      <w:lvlJc w:val="left"/>
      <w:lvlText w:val="(%1)"/>
      <w:numFmt w:val="lowerLetter"/>
      <w:start w:val="5"/>
    </w:lvl>
  </w:abstractNum>
  <w:abstractNum w:abstractNumId="42">
    <w:nsid w:val="94211F2"/>
    <w:multiLevelType w:val="hybridMultilevel"/>
    <w:lvl w:ilvl="0">
      <w:lvlJc w:val="left"/>
      <w:lvlText w:val="%1."/>
      <w:numFmt w:val="decimal"/>
      <w:start w:val="6"/>
    </w:lvl>
    <w:lvl w:ilvl="1">
      <w:lvlJc w:val="left"/>
      <w:lvlText w:val="(%2)"/>
      <w:numFmt w:val="lowerLetter"/>
      <w:start w:val="1"/>
    </w:lvl>
  </w:abstractNum>
  <w:abstractNum w:abstractNumId="43">
    <w:nsid w:val="885E1B"/>
    <w:multiLevelType w:val="hybridMultilevel"/>
    <w:lvl w:ilvl="0">
      <w:lvlJc w:val="left"/>
      <w:lvlText w:val="(%1)"/>
      <w:numFmt w:val="lowerLetter"/>
      <w:start w:val="2"/>
    </w:lvl>
  </w:abstractNum>
  <w:abstractNum w:abstractNumId="44">
    <w:nsid w:val="76272110"/>
    <w:multiLevelType w:val="hybridMultilevel"/>
    <w:lvl w:ilvl="0">
      <w:lvlJc w:val="left"/>
      <w:lvlText w:val="(%1)"/>
      <w:numFmt w:val="lowerLetter"/>
      <w:start w:val="3"/>
    </w:lvl>
  </w:abstractNum>
  <w:abstractNum w:abstractNumId="45">
    <w:nsid w:val="4C04A8AF"/>
    <w:multiLevelType w:val="hybridMultilevel"/>
    <w:lvl w:ilvl="0">
      <w:lvlJc w:val="left"/>
      <w:lvlText w:val="(%1)"/>
      <w:numFmt w:val="lowerLetter"/>
      <w:start w:val="4"/>
    </w:lvl>
  </w:abstractNum>
  <w:abstractNum w:abstractNumId="46">
    <w:nsid w:val="1716703B"/>
    <w:multiLevelType w:val="hybridMultilevel"/>
    <w:lvl w:ilvl="0">
      <w:lvlJc w:val="left"/>
      <w:lvlText w:val="(%1)"/>
      <w:numFmt w:val="lowerLetter"/>
      <w:start w:val="5"/>
    </w:lvl>
  </w:abstractNum>
  <w:abstractNum w:abstractNumId="47">
    <w:nsid w:val="14E17E33"/>
    <w:multiLevelType w:val="hybridMultilevel"/>
    <w:lvl w:ilvl="0">
      <w:lvlJc w:val="left"/>
      <w:lvlText w:val="(%1)"/>
      <w:numFmt w:val="lowerLetter"/>
      <w:start w:val="6"/>
    </w:lvl>
  </w:abstractNum>
  <w:abstractNum w:abstractNumId="48">
    <w:nsid w:val="3222E7CD"/>
    <w:multiLevelType w:val="hybridMultilevel"/>
    <w:lvl w:ilvl="0">
      <w:lvlJc w:val="left"/>
      <w:lvlText w:val="%1."/>
      <w:numFmt w:val="decimal"/>
      <w:start w:val="7"/>
    </w:lvl>
    <w:lvl w:ilvl="1">
      <w:lvlJc w:val="left"/>
      <w:lvlText w:val="(%2)"/>
      <w:numFmt w:val="lowerLetter"/>
      <w:start w:val="1"/>
    </w:lvl>
  </w:abstractNum>
  <w:abstractNum w:abstractNumId="49">
    <w:nsid w:val="74DE0EE3"/>
    <w:multiLevelType w:val="hybridMultilevel"/>
    <w:lvl w:ilvl="0">
      <w:lvlJc w:val="left"/>
      <w:lvlText w:val="(%1)"/>
      <w:numFmt w:val="lowerLetter"/>
      <w:start w:val="2"/>
    </w:lvl>
  </w:abstractNum>
  <w:abstractNum w:abstractNumId="50">
    <w:nsid w:val="68EBC550"/>
    <w:multiLevelType w:val="hybridMultilevel"/>
    <w:lvl w:ilvl="0">
      <w:lvlJc w:val="left"/>
      <w:lvlText w:val="(%1)"/>
      <w:numFmt w:val="lowerLetter"/>
      <w:start w:val="3"/>
    </w:lvl>
  </w:abstractNum>
  <w:abstractNum w:abstractNumId="51">
    <w:nsid w:val="2DF6D648"/>
    <w:multiLevelType w:val="hybridMultilevel"/>
    <w:lvl w:ilvl="0">
      <w:lvlJc w:val="left"/>
      <w:lvlText w:val="(%1)"/>
      <w:numFmt w:val="lowerLetter"/>
      <w:start w:val="4"/>
    </w:lvl>
  </w:abstractNum>
  <w:abstractNum w:abstractNumId="52">
    <w:nsid w:val="46B7D447"/>
    <w:multiLevelType w:val="hybridMultilevel"/>
    <w:lvl w:ilvl="0">
      <w:lvlJc w:val="left"/>
      <w:lvlText w:val="(%1)"/>
      <w:numFmt w:val="lowerLetter"/>
      <w:start w:val="5"/>
    </w:lvl>
  </w:abstractNum>
  <w:abstractNum w:abstractNumId="53">
    <w:nsid w:val="4A2AC315"/>
    <w:multiLevelType w:val="hybridMultilevel"/>
    <w:lvl w:ilvl="0">
      <w:lvlJc w:val="left"/>
      <w:lvlText w:val="(%1)"/>
      <w:numFmt w:val="lowerLetter"/>
      <w:start w:val="6"/>
    </w:lvl>
  </w:abstractNum>
  <w:abstractNum w:abstractNumId="54">
    <w:nsid w:val="39EE015C"/>
    <w:multiLevelType w:val="hybridMultilevel"/>
    <w:lvl w:ilvl="0">
      <w:lvlJc w:val="left"/>
      <w:lvlText w:val="%1."/>
      <w:numFmt w:val="decimal"/>
      <w:start w:val="8"/>
    </w:lvl>
    <w:lvl w:ilvl="1">
      <w:lvlJc w:val="left"/>
      <w:lvlText w:val="(%2)"/>
      <w:numFmt w:val="lowerLetter"/>
      <w:start w:val="1"/>
    </w:lvl>
  </w:abstractNum>
  <w:abstractNum w:abstractNumId="55">
    <w:nsid w:val="57FC4FBB"/>
    <w:multiLevelType w:val="hybridMultilevel"/>
    <w:lvl w:ilvl="0">
      <w:lvlJc w:val="left"/>
      <w:lvlText w:val="(%1)"/>
      <w:numFmt w:val="lowerLetter"/>
      <w:start w:val="2"/>
    </w:lvl>
  </w:abstractNum>
  <w:abstractNum w:abstractNumId="56">
    <w:nsid w:val="CC1016F"/>
    <w:multiLevelType w:val="hybridMultilevel"/>
    <w:lvl w:ilvl="0">
      <w:lvlJc w:val="left"/>
      <w:lvlText w:val="(%1)"/>
      <w:numFmt w:val="lowerLetter"/>
      <w:start w:val="3"/>
    </w:lvl>
  </w:abstractNum>
  <w:abstractNum w:abstractNumId="57">
    <w:nsid w:val="43F18422"/>
    <w:multiLevelType w:val="hybridMultilevel"/>
    <w:lvl w:ilvl="0">
      <w:lvlJc w:val="left"/>
      <w:lvlText w:val="%1."/>
      <w:numFmt w:val="decimal"/>
      <w:start w:val="9"/>
    </w:lvl>
    <w:lvl w:ilvl="1">
      <w:lvlJc w:val="left"/>
      <w:lvlText w:val="(%2)"/>
      <w:numFmt w:val="lowerLetter"/>
      <w:start w:val="1"/>
    </w:lvl>
  </w:abstractNum>
  <w:abstractNum w:abstractNumId="58">
    <w:nsid w:val="60EF0119"/>
    <w:multiLevelType w:val="hybridMultilevel"/>
    <w:lvl w:ilvl="0">
      <w:lvlJc w:val="left"/>
      <w:lvlText w:val="(%1)"/>
      <w:numFmt w:val="lowerLetter"/>
      <w:start w:val="2"/>
    </w:lvl>
  </w:abstractNum>
  <w:abstractNum w:abstractNumId="59">
    <w:nsid w:val="26F324BA"/>
    <w:multiLevelType w:val="hybridMultilevel"/>
    <w:lvl w:ilvl="0">
      <w:lvlJc w:val="left"/>
      <w:lvlText w:val="(%1)"/>
      <w:numFmt w:val="lowerLetter"/>
      <w:start w:val="3"/>
    </w:lvl>
  </w:abstractNum>
  <w:abstractNum w:abstractNumId="60">
    <w:nsid w:val="7F01579B"/>
    <w:multiLevelType w:val="hybridMultilevel"/>
    <w:lvl w:ilvl="0">
      <w:lvlJc w:val="left"/>
      <w:lvlText w:val="(%1)"/>
      <w:numFmt w:val="lowerLetter"/>
      <w:start w:val="4"/>
    </w:lvl>
  </w:abstractNum>
  <w:abstractNum w:abstractNumId="61">
    <w:nsid w:val="49DA307D"/>
    <w:multiLevelType w:val="hybridMultilevel"/>
    <w:lvl w:ilvl="0">
      <w:lvlJc w:val="left"/>
      <w:lvlText w:val="%1."/>
      <w:numFmt w:val="decimal"/>
      <w:start w:val="10"/>
    </w:lvl>
    <w:lvl w:ilvl="1">
      <w:lvlJc w:val="left"/>
      <w:lvlText w:val="(%2)"/>
      <w:numFmt w:val="lowerLetter"/>
      <w:start w:val="1"/>
    </w:lvl>
  </w:abstractNum>
  <w:abstractNum w:abstractNumId="62">
    <w:nsid w:val="7055A5F5"/>
    <w:multiLevelType w:val="hybridMultilevel"/>
    <w:lvl w:ilvl="0">
      <w:lvlJc w:val="left"/>
      <w:lvlText w:val="(%1)"/>
      <w:numFmt w:val="lowerLetter"/>
      <w:start w:val="2"/>
    </w:lvl>
    <w:lvl w:ilvl="1">
      <w:lvlJc w:val="left"/>
      <w:lvlText w:val="(%2)"/>
      <w:numFmt w:val="lowerRoman"/>
      <w:start w:val="1"/>
    </w:lvl>
  </w:abstractNum>
  <w:abstractNum w:abstractNumId="63">
    <w:nsid w:val="5FB8370B"/>
    <w:multiLevelType w:val="hybridMultilevel"/>
    <w:lvl w:ilvl="0">
      <w:lvlJc w:val="left"/>
      <w:lvlText w:val="(%1)"/>
      <w:numFmt w:val="lowerLetter"/>
      <w:start w:val="9"/>
    </w:lvl>
    <w:lvl w:ilvl="1">
      <w:lvlJc w:val="left"/>
      <w:lvlText w:val="%2"/>
      <w:numFmt w:val="lowerRoman"/>
      <w:start w:val="1"/>
    </w:lvl>
  </w:abstractNum>
  <w:abstractNum w:abstractNumId="64">
    <w:nsid w:val="50801EE1"/>
    <w:multiLevelType w:val="hybridMultilevel"/>
    <w:lvl w:ilvl="0">
      <w:lvlJc w:val="left"/>
      <w:lvlText w:val="(%1)"/>
      <w:numFmt w:val="lowerLetter"/>
      <w:start w:val="3"/>
    </w:lvl>
    <w:lvl w:ilvl="1">
      <w:lvlJc w:val="left"/>
      <w:lvlText w:val="%2"/>
      <w:numFmt w:val="lowerRoman"/>
      <w:start w:val="1"/>
    </w:lvl>
  </w:abstractNum>
  <w:abstractNum w:abstractNumId="65">
    <w:nsid w:val="488AC1A"/>
    <w:multiLevelType w:val="hybridMultilevel"/>
    <w:lvl w:ilvl="0">
      <w:lvlJc w:val="left"/>
      <w:lvlText w:val="(%1)"/>
      <w:numFmt w:val="lowerLetter"/>
      <w:start w:val="4"/>
    </w:lvl>
  </w:abstractNum>
  <w:abstractNum w:abstractNumId="66">
    <w:nsid w:val="5FB8011C"/>
    <w:multiLevelType w:val="hybridMultilevel"/>
    <w:lvl w:ilvl="0">
      <w:lvlJc w:val="left"/>
      <w:lvlText w:val="(%1)"/>
      <w:numFmt w:val="lowerLetter"/>
      <w:start w:val="5"/>
    </w:lvl>
  </w:abstractNum>
  <w:abstractNum w:abstractNumId="67">
    <w:nsid w:val="6AA78F7F"/>
    <w:multiLevelType w:val="hybridMultilevel"/>
    <w:lvl w:ilvl="0">
      <w:lvlJc w:val="left"/>
      <w:lvlText w:val="(%1)"/>
      <w:numFmt w:val="lowerLetter"/>
      <w:start w:val="6"/>
    </w:lvl>
  </w:abstractNum>
  <w:abstractNum w:abstractNumId="68">
    <w:nsid w:val="7672BD23"/>
    <w:multiLevelType w:val="hybridMultilevel"/>
    <w:lvl w:ilvl="0">
      <w:lvlJc w:val="left"/>
      <w:lvlText w:val="(%1)"/>
      <w:numFmt w:val="lowerLetter"/>
      <w:start w:val="7"/>
    </w:lvl>
  </w:abstractNum>
  <w:abstractNum w:abstractNumId="69">
    <w:nsid w:val="6FC75AF8"/>
    <w:multiLevelType w:val="hybridMultilevel"/>
    <w:lvl w:ilvl="0">
      <w:lvlJc w:val="left"/>
      <w:lvlText w:val="(%1)"/>
      <w:numFmt w:val="lowerLetter"/>
      <w:start w:val="8"/>
    </w:lvl>
  </w:abstractNum>
  <w:abstractNum w:abstractNumId="70">
    <w:nsid w:val="6A5F7029"/>
    <w:multiLevelType w:val="hybridMultilevel"/>
    <w:lvl w:ilvl="0">
      <w:lvlJc w:val="left"/>
      <w:lvlText w:val="(%1)"/>
      <w:numFmt w:val="lowerRoman"/>
      <w:start w:val="1"/>
    </w:lvl>
  </w:abstractNum>
  <w:abstractNum w:abstractNumId="71">
    <w:nsid w:val="7D5E18F8"/>
    <w:multiLevelType w:val="hybridMultilevel"/>
    <w:lvl w:ilvl="0">
      <w:lvlJc w:val="left"/>
      <w:lvlText w:val="(%1)"/>
      <w:numFmt w:val="lowerLetter"/>
      <w:start w:val="10"/>
    </w:lvl>
  </w:abstractNum>
  <w:abstractNum w:abstractNumId="72">
    <w:nsid w:val="5F3534A4"/>
    <w:multiLevelType w:val="hybridMultilevel"/>
    <w:lvl w:ilvl="0">
      <w:lvlJc w:val="left"/>
      <w:lvlText w:val="(%1)"/>
      <w:numFmt w:val="lowerLetter"/>
      <w:start w:val="11"/>
    </w:lvl>
  </w:abstractNum>
  <w:abstractNum w:abstractNumId="73">
    <w:nsid w:val="73A1821B"/>
    <w:multiLevelType w:val="hybridMultilevel"/>
    <w:lvl w:ilvl="0">
      <w:lvlJc w:val="left"/>
      <w:lvlText w:val="(%1)"/>
      <w:numFmt w:val="lowerLetter"/>
      <w:start w:val="12"/>
    </w:lvl>
  </w:abstractNum>
  <w:abstractNum w:abstractNumId="74">
    <w:nsid w:val="7DE67713"/>
    <w:multiLevelType w:val="hybridMultilevel"/>
    <w:lvl w:ilvl="0">
      <w:lvlJc w:val="left"/>
      <w:lvlText w:val="(%1)"/>
      <w:numFmt w:val="lowerLetter"/>
      <w:start w:val="13"/>
    </w:lvl>
  </w:abstractNum>
  <w:abstractNum w:abstractNumId="75">
    <w:nsid w:val="555C55B5"/>
    <w:multiLevelType w:val="hybridMultilevel"/>
    <w:lvl w:ilvl="0">
      <w:lvlJc w:val="left"/>
      <w:lvlText w:val="%1"/>
      <w:numFmt w:val="lowerRoman"/>
      <w:start w:val="1"/>
    </w:lvl>
    <w:lvl w:ilvl="1">
      <w:lvlJc w:val="left"/>
      <w:lvlText w:val="(%2)"/>
      <w:numFmt w:val="lowerRoman"/>
      <w:start w:val="1"/>
    </w:lvl>
  </w:abstractNum>
  <w:abstractNum w:abstractNumId="76">
    <w:nsid w:val="3FA62ACA"/>
    <w:multiLevelType w:val="hybridMultilevel"/>
    <w:lvl w:ilvl="0">
      <w:lvlJc w:val="left"/>
      <w:lvlText w:val="(%1)"/>
      <w:numFmt w:val="lowerRoman"/>
      <w:start w:val="2"/>
    </w:lvl>
    <w:lvl w:ilvl="1">
      <w:lvlJc w:val="left"/>
      <w:lvlText w:val="%2"/>
      <w:numFmt w:val="lowerRoman"/>
      <w:start w:val="1"/>
    </w:lvl>
  </w:abstractNum>
  <w:abstractNum w:abstractNumId="77">
    <w:nsid w:val="14FCE74E"/>
    <w:multiLevelType w:val="hybridMultilevel"/>
    <w:lvl w:ilvl="0">
      <w:lvlJc w:val="left"/>
      <w:lvlText w:val="(%1)"/>
      <w:numFmt w:val="lowerLetter"/>
      <w:start w:val="14"/>
    </w:lvl>
  </w:abstractNum>
  <w:abstractNum w:abstractNumId="78">
    <w:nsid w:val="6A3DD3E8"/>
    <w:multiLevelType w:val="hybridMultilevel"/>
    <w:lvl w:ilvl="0">
      <w:lvlJc w:val="left"/>
      <w:lvlText w:val="(%1)"/>
      <w:numFmt w:val="lowerLetter"/>
      <w:start w:val="15"/>
    </w:lvl>
  </w:abstractNum>
  <w:abstractNum w:abstractNumId="79">
    <w:nsid w:val="71C91298"/>
    <w:multiLevelType w:val="hybridMultilevel"/>
    <w:lvl w:ilvl="0">
      <w:lvlJc w:val="left"/>
      <w:lvlText w:val="(%1)"/>
      <w:numFmt w:val="lowerLetter"/>
      <w:start w:val="16"/>
    </w:lvl>
  </w:abstractNum>
  <w:abstractNum w:abstractNumId="80">
    <w:nsid w:val="9DAF632"/>
    <w:multiLevelType w:val="hybridMultilevel"/>
    <w:lvl w:ilvl="0">
      <w:lvlJc w:val="left"/>
      <w:lvlText w:val="%1."/>
      <w:numFmt w:val="decimal"/>
      <w:start w:val="11"/>
    </w:lvl>
  </w:abstractNum>
  <w:abstractNum w:abstractNumId="81">
    <w:nsid w:val="53299938"/>
    <w:multiLevelType w:val="hybridMultilevel"/>
    <w:lvl w:ilvl="0">
      <w:lvlJc w:val="left"/>
      <w:lvlText w:val="(%1)"/>
      <w:numFmt w:val="lowerLetter"/>
      <w:start w:val="1"/>
    </w:lvl>
  </w:abstractNum>
  <w:abstractNum w:abstractNumId="82">
    <w:nsid w:val="1FBFE8E0"/>
    <w:multiLevelType w:val="hybridMultilevel"/>
    <w:lvl w:ilvl="0">
      <w:lvlJc w:val="left"/>
      <w:lvlText w:val="(%1)"/>
      <w:numFmt w:val="lowerLetter"/>
      <w:start w:val="2"/>
    </w:lvl>
  </w:abstractNum>
  <w:abstractNum w:abstractNumId="83">
    <w:nsid w:val="5092CA79"/>
    <w:multiLevelType w:val="hybridMultilevel"/>
    <w:lvl w:ilvl="0">
      <w:lvlJc w:val="left"/>
      <w:lvlText w:val="(%1)"/>
      <w:numFmt w:val="lowerRoman"/>
      <w:start w:val="1"/>
    </w:lvl>
  </w:abstractNum>
  <w:abstractNum w:abstractNumId="84">
    <w:nsid w:val="1D545C4D"/>
    <w:multiLevelType w:val="hybridMultilevel"/>
    <w:lvl w:ilvl="0">
      <w:lvlJc w:val="left"/>
      <w:lvlText w:val="(%1)"/>
      <w:numFmt w:val="lowerLetter"/>
      <w:start w:val="3"/>
    </w:lvl>
  </w:abstractNum>
  <w:abstractNum w:abstractNumId="85">
    <w:nsid w:val="59ADEA3D"/>
    <w:multiLevelType w:val="hybridMultilevel"/>
    <w:lvl w:ilvl="0">
      <w:lvlJc w:val="left"/>
      <w:lvlText w:val="(%1)"/>
      <w:numFmt w:val="lowerLetter"/>
      <w:start w:val="4"/>
    </w:lvl>
  </w:abstractNum>
  <w:abstractNum w:abstractNumId="86">
    <w:nsid w:val="288F1A34"/>
    <w:multiLevelType w:val="hybridMultilevel"/>
    <w:lvl w:ilvl="0">
      <w:lvlJc w:val="left"/>
      <w:lvlText w:val="(%1)"/>
      <w:numFmt w:val="lowerLetter"/>
      <w:start w:val="5"/>
    </w:lvl>
  </w:abstractNum>
  <w:abstractNum w:abstractNumId="87">
    <w:nsid w:val="2A155DBC"/>
    <w:multiLevelType w:val="hybridMultilevel"/>
    <w:lvl w:ilvl="0">
      <w:lvlJc w:val="left"/>
      <w:lvlText w:val="%1."/>
      <w:numFmt w:val="decimal"/>
      <w:start w:val="12"/>
    </w:lvl>
  </w:abstractNum>
  <w:abstractNum w:abstractNumId="88">
    <w:nsid w:val="1D9F6E5F"/>
    <w:multiLevelType w:val="hybridMultilevel"/>
    <w:lvl w:ilvl="0">
      <w:lvlJc w:val="left"/>
      <w:lvlText w:val="%1."/>
      <w:numFmt w:val="decimal"/>
      <w:start w:val="13"/>
    </w:lvl>
  </w:abstractNum>
  <w:abstractNum w:abstractNumId="89">
    <w:nsid w:val="97E1B4E"/>
    <w:multiLevelType w:val="hybridMultilevel"/>
    <w:lvl w:ilvl="0">
      <w:lvlJc w:val="left"/>
      <w:lvlText w:val="%1."/>
      <w:numFmt w:val="decimal"/>
      <w:start w:val="14"/>
    </w:lvl>
    <w:lvl w:ilvl="1">
      <w:lvlJc w:val="left"/>
      <w:lvlText w:val="(%2)"/>
      <w:numFmt w:val="lowerLetter"/>
      <w:start w:val="1"/>
    </w:lvl>
  </w:abstractNum>
  <w:abstractNum w:abstractNumId="90">
    <w:nsid w:val="51088277"/>
    <w:multiLevelType w:val="hybridMultilevel"/>
    <w:lvl w:ilvl="0">
      <w:lvlJc w:val="left"/>
      <w:lvlText w:val="(%1)"/>
      <w:numFmt w:val="lowerLetter"/>
      <w:start w:val="2"/>
    </w:lvl>
  </w:abstractNum>
  <w:abstractNum w:abstractNumId="91">
    <w:nsid w:val="1CA0C5FA"/>
    <w:multiLevelType w:val="hybridMultilevel"/>
    <w:lvl w:ilvl="0">
      <w:lvlJc w:val="left"/>
      <w:lvlText w:val="(%1)"/>
      <w:numFmt w:val="lowerLetter"/>
      <w:start w:val="3"/>
    </w:lvl>
  </w:abstractNum>
  <w:abstractNum w:abstractNumId="92">
    <w:nsid w:val="53584BCB"/>
    <w:multiLevelType w:val="hybridMultilevel"/>
    <w:lvl w:ilvl="0">
      <w:lvlJc w:val="left"/>
      <w:lvlText w:val="%1."/>
      <w:numFmt w:val="decimal"/>
      <w:start w:val="15"/>
    </w:lvl>
  </w:abstractNum>
  <w:abstractNum w:abstractNumId="93">
    <w:nsid w:val="415E286C"/>
    <w:multiLevelType w:val="hybridMultilevel"/>
    <w:lvl w:ilvl="0">
      <w:lvlJc w:val="left"/>
      <w:lvlText w:val="%1."/>
      <w:numFmt w:val="decimal"/>
      <w:start w:val="16"/>
    </w:lvl>
  </w:abstractNum>
  <w:abstractNum w:abstractNumId="94">
    <w:nsid w:val="7C58FD05"/>
    <w:multiLevelType w:val="hybridMultilevel"/>
    <w:lvl w:ilvl="0">
      <w:lvlJc w:val="left"/>
      <w:lvlText w:val="%1."/>
      <w:numFmt w:val="decimal"/>
      <w:start w:val="17"/>
    </w:lvl>
  </w:abstractNum>
  <w:abstractNum w:abstractNumId="95">
    <w:nsid w:val="23D86AAC"/>
    <w:multiLevelType w:val="hybridMultilevel"/>
    <w:lvl w:ilvl="0">
      <w:lvlJc w:val="left"/>
      <w:lvlText w:val="%1."/>
      <w:numFmt w:val="decimal"/>
      <w:start w:val="18"/>
    </w:lvl>
  </w:abstractNum>
  <w:abstractNum w:abstractNumId="96">
    <w:nsid w:val="45E6D486"/>
    <w:multiLevelType w:val="hybridMultilevel"/>
    <w:lvl w:ilvl="0">
      <w:lvlJc w:val="left"/>
      <w:lvlText w:val="%1."/>
      <w:numFmt w:val="decimal"/>
      <w:start w:val="19"/>
    </w:lvl>
  </w:abstractNum>
  <w:abstractNum w:abstractNumId="97">
    <w:nsid w:val="5C10FE21"/>
    <w:multiLevelType w:val="hybridMultilevel"/>
    <w:lvl w:ilvl="0">
      <w:lvlJc w:val="left"/>
      <w:lvlText w:val="%1."/>
      <w:numFmt w:val="decimal"/>
      <w:start w:val="20"/>
    </w:lvl>
  </w:abstractNum>
  <w:abstractNum w:abstractNumId="98">
    <w:nsid w:val="E7FFA2B"/>
    <w:multiLevelType w:val="hybridMultilevel"/>
    <w:lvl w:ilvl="0">
      <w:lvlJc w:val="left"/>
      <w:lvlText w:val="%1."/>
      <w:numFmt w:val="decimal"/>
      <w:start w:val="21"/>
    </w:lvl>
  </w:abstractNum>
  <w:abstractNum w:abstractNumId="99">
    <w:nsid w:val="3C5991AA"/>
    <w:multiLevelType w:val="hybridMultilevel"/>
    <w:lvl w:ilvl="0">
      <w:lvlJc w:val="left"/>
      <w:lvlText w:val="%1."/>
      <w:numFmt w:val="decimal"/>
      <w:start w:val="22"/>
    </w:lvl>
  </w:abstractNum>
  <w:abstractNum w:abstractNumId="100">
    <w:nsid w:val="4BD8591A"/>
    <w:multiLevelType w:val="hybridMultilevel"/>
    <w:lvl w:ilvl="0">
      <w:lvlJc w:val="left"/>
      <w:lvlText w:val="%1."/>
      <w:numFmt w:val="decimal"/>
      <w:start w:val="23"/>
    </w:lvl>
  </w:abstractNum>
  <w:abstractNum w:abstractNumId="101">
    <w:nsid w:val="78DF6A55"/>
    <w:multiLevelType w:val="hybridMultilevel"/>
    <w:lvl w:ilvl="0">
      <w:lvlJc w:val="left"/>
      <w:lvlText w:val="%1."/>
      <w:numFmt w:val="decimal"/>
      <w:start w:val="24"/>
    </w:lvl>
  </w:abstractNum>
  <w:abstractNum w:abstractNumId="102">
    <w:nsid w:val="39B7AAA2"/>
    <w:multiLevelType w:val="hybridMultilevel"/>
    <w:lvl w:ilvl="0">
      <w:lvlJc w:val="left"/>
      <w:lvlText w:val="%1."/>
      <w:numFmt w:val="decimal"/>
      <w:start w:val="25"/>
    </w:lvl>
  </w:abstractNum>
  <w:abstractNum w:abstractNumId="103">
    <w:nsid w:val="2B0D8DBE"/>
    <w:multiLevelType w:val="hybridMultilevel"/>
    <w:lvl w:ilvl="0">
      <w:lvlJc w:val="left"/>
      <w:lvlText w:val="%1."/>
      <w:numFmt w:val="decimal"/>
      <w:start w:val="26"/>
    </w:lvl>
  </w:abstractNum>
  <w:abstractNum w:abstractNumId="104">
    <w:nsid w:val="6C80EC70"/>
    <w:multiLevelType w:val="hybridMultilevel"/>
    <w:lvl w:ilvl="0">
      <w:lvlJc w:val="left"/>
      <w:lvlText w:val="%1."/>
      <w:numFmt w:val="decimal"/>
      <w:start w:val="27"/>
    </w:lvl>
  </w:abstractNum>
  <w:abstractNum w:abstractNumId="105">
    <w:nsid w:val="379E21B5"/>
    <w:multiLevelType w:val="hybridMultilevel"/>
    <w:lvl w:ilvl="0">
      <w:lvlJc w:val="left"/>
      <w:lvlText w:val="%1."/>
      <w:numFmt w:val="decimal"/>
      <w:start w:val="28"/>
    </w:lvl>
  </w:abstractNum>
  <w:abstractNum w:abstractNumId="106">
    <w:nsid w:val="69E373"/>
    <w:multiLevelType w:val="hybridMultilevel"/>
    <w:lvl w:ilvl="0">
      <w:lvlJc w:val="left"/>
      <w:lvlText w:val="%1."/>
      <w:numFmt w:val="decimal"/>
      <w:start w:val="29"/>
    </w:lvl>
  </w:abstractNum>
  <w:abstractNum w:abstractNumId="107">
    <w:nsid w:val="2C27173B"/>
    <w:multiLevelType w:val="hybridMultilevel"/>
    <w:lvl w:ilvl="0">
      <w:lvlJc w:val="left"/>
      <w:lvlText w:val="%1."/>
      <w:numFmt w:val="decimal"/>
      <w:start w:val="30"/>
    </w:lvl>
  </w:abstractNum>
  <w:abstractNum w:abstractNumId="108">
    <w:nsid w:val="4C9B0904"/>
    <w:multiLevelType w:val="hybridMultilevel"/>
    <w:lvl w:ilvl="0">
      <w:lvlJc w:val="left"/>
      <w:lvlText w:val="%1."/>
      <w:numFmt w:val="decimal"/>
      <w:start w:val="31"/>
    </w:lvl>
  </w:abstractNum>
  <w:abstractNum w:abstractNumId="109">
    <w:nsid w:val="6AA7B75C"/>
    <w:multiLevelType w:val="hybridMultilevel"/>
    <w:lvl w:ilvl="0">
      <w:lvlJc w:val="left"/>
      <w:lvlText w:val="%1."/>
      <w:numFmt w:val="decimal"/>
      <w:start w:val="32"/>
    </w:lvl>
  </w:abstractNum>
  <w:abstractNum w:abstractNumId="110">
    <w:nsid w:val="1DF029D3"/>
    <w:multiLevelType w:val="hybridMultilevel"/>
    <w:lvl w:ilvl="0">
      <w:lvlJc w:val="left"/>
      <w:lvlText w:val="%1."/>
      <w:numFmt w:val="decimal"/>
      <w:start w:val="1"/>
    </w:lvl>
  </w:abstractNum>
  <w:abstractNum w:abstractNumId="111">
    <w:nsid w:val="5675FF36"/>
    <w:multiLevelType w:val="hybridMultilevel"/>
    <w:lvl w:ilvl="0">
      <w:lvlJc w:val="left"/>
      <w:lvlText w:val="%1."/>
      <w:numFmt w:val="decimal"/>
      <w:start w:val="2"/>
    </w:lvl>
  </w:abstractNum>
  <w:abstractNum w:abstractNumId="112">
    <w:nsid w:val="3DD15094"/>
    <w:multiLevelType w:val="hybridMultilevel"/>
    <w:lvl w:ilvl="0">
      <w:lvlJc w:val="left"/>
      <w:lvlText w:val="(%1)"/>
      <w:numFmt w:val="lowerLetter"/>
      <w:start w:val="1"/>
    </w:lvl>
  </w:abstractNum>
  <w:abstractNum w:abstractNumId="113">
    <w:nsid w:val="3DB012B3"/>
    <w:multiLevelType w:val="hybridMultilevel"/>
    <w:lvl w:ilvl="0">
      <w:lvlJc w:val="left"/>
      <w:lvlText w:val="(%1)"/>
      <w:numFmt w:val="lowerLetter"/>
      <w:start w:val="2"/>
    </w:lvl>
  </w:abstractNum>
  <w:abstractNum w:abstractNumId="114">
    <w:nsid w:val="2708C9AF"/>
    <w:multiLevelType w:val="hybridMultilevel"/>
    <w:lvl w:ilvl="0">
      <w:lvlJc w:val="left"/>
      <w:lvlText w:val="(%1)"/>
      <w:numFmt w:val="lowerLetter"/>
      <w:start w:val="4"/>
    </w:lvl>
  </w:abstractNum>
  <w:abstractNum w:abstractNumId="115">
    <w:nsid w:val="5B25ACE2"/>
    <w:multiLevelType w:val="hybridMultilevel"/>
    <w:lvl w:ilvl="0">
      <w:lvlJc w:val="left"/>
      <w:lvlText w:val="%1."/>
      <w:numFmt w:val="decimal"/>
      <w:start w:val="4"/>
    </w:lvl>
  </w:abstractNum>
  <w:abstractNum w:abstractNumId="116">
    <w:nsid w:val="175DFCF0"/>
    <w:multiLevelType w:val="hybridMultilevel"/>
    <w:lvl w:ilvl="0">
      <w:lvlJc w:val="left"/>
      <w:lvlText w:val="(%1)"/>
      <w:numFmt w:val="lowerLetter"/>
      <w:start w:val="1"/>
    </w:lvl>
  </w:abstractNum>
  <w:abstractNum w:abstractNumId="117">
    <w:nsid w:val="4F97E3E4"/>
    <w:multiLevelType w:val="hybridMultilevel"/>
    <w:lvl w:ilvl="0">
      <w:lvlJc w:val="left"/>
      <w:lvlText w:val="%1."/>
      <w:numFmt w:val="decimal"/>
      <w:start w:val="1"/>
    </w:lvl>
  </w:abstractNum>
  <w:abstractNum w:abstractNumId="118">
    <w:nsid w:val="53B0A9E"/>
    <w:multiLevelType w:val="hybridMultilevel"/>
    <w:lvl w:ilvl="0">
      <w:lvlJc w:val="left"/>
      <w:lvlText w:val="%1."/>
      <w:numFmt w:val="decimal"/>
      <w:start w:val="3"/>
    </w:lvl>
  </w:abstractNum>
  <w:abstractNum w:abstractNumId="119">
    <w:nsid w:val="34FD6B4F"/>
    <w:multiLevelType w:val="hybridMultilevel"/>
    <w:lvl w:ilvl="0">
      <w:lvlJc w:val="left"/>
      <w:lvlText w:val="(%1)"/>
      <w:numFmt w:val="lowerLetter"/>
      <w:start w:val="1"/>
    </w:lvl>
    <w:lvl w:ilvl="1">
      <w:lvlJc w:val="left"/>
      <w:lvlText w:val="(%2)"/>
      <w:numFmt w:val="lowerRoman"/>
      <w:start w:val="1"/>
    </w:lvl>
  </w:abstractNum>
  <w:abstractNum w:abstractNumId="120">
    <w:nsid w:val="5915FF32"/>
    <w:multiLevelType w:val="hybridMultilevel"/>
    <w:lvl w:ilvl="0">
      <w:lvlJc w:val="left"/>
      <w:lvlText w:val="%1."/>
      <w:numFmt w:val="decimal"/>
      <w:start w:val="4"/>
    </w:lvl>
  </w:abstractNum>
  <w:abstractNum w:abstractNumId="121">
    <w:nsid w:val="56438D15"/>
    <w:multiLevelType w:val="hybridMultilevel"/>
    <w:lvl w:ilvl="0">
      <w:lvlJc w:val="left"/>
      <w:lvlText w:val="(%1)"/>
      <w:numFmt w:val="lowerLetter"/>
      <w:start w:val="1"/>
    </w:lvl>
  </w:abstractNum>
  <w:abstractNum w:abstractNumId="122">
    <w:nsid w:val="519E3149"/>
    <w:multiLevelType w:val="hybridMultilevel"/>
    <w:lvl w:ilvl="0">
      <w:lvlJc w:val="left"/>
      <w:lvlText w:val="%1."/>
      <w:numFmt w:val="decimal"/>
      <w:start w:val="1"/>
    </w:lvl>
  </w:abstractNum>
  <w:abstractNum w:abstractNumId="123">
    <w:nsid w:val="2C6E4AFD"/>
    <w:multiLevelType w:val="hybridMultilevel"/>
    <w:lvl w:ilvl="0">
      <w:lvlJc w:val="left"/>
      <w:lvlText w:val="%1."/>
      <w:numFmt w:val="decimal"/>
      <w:start w:val="3"/>
    </w:lvl>
  </w:abstractNum>
  <w:abstractNum w:abstractNumId="124">
    <w:nsid w:val="17A1B582"/>
    <w:multiLevelType w:val="hybridMultilevel"/>
    <w:lvl w:ilvl="0">
      <w:lvlJc w:val="left"/>
      <w:lvlText w:val="(%1)"/>
      <w:numFmt w:val="lowerLetter"/>
      <w:start w:val="1"/>
    </w:lvl>
  </w:abstractNum>
  <w:abstractNum w:abstractNumId="125">
    <w:nsid w:val="4DF72E4E"/>
    <w:multiLevelType w:val="hybridMultilevel"/>
    <w:lvl w:ilvl="0">
      <w:lvlJc w:val="left"/>
      <w:lvlText w:val="(%1)"/>
      <w:numFmt w:val="lowerLetter"/>
      <w:start w:val="2"/>
    </w:lvl>
  </w:abstractNum>
  <w:abstractNum w:abstractNumId="126">
    <w:nsid w:val="5046B5A9"/>
    <w:multiLevelType w:val="hybridMultilevel"/>
    <w:lvl w:ilvl="0">
      <w:lvlJc w:val="left"/>
      <w:lvlText w:val="%1."/>
      <w:numFmt w:val="decimal"/>
      <w:start w:val="4"/>
    </w:lvl>
  </w:abstractNum>
  <w:abstractNum w:abstractNumId="127">
    <w:nsid w:val="5D888A08"/>
    <w:multiLevelType w:val="hybridMultilevel"/>
    <w:lvl w:ilvl="0">
      <w:lvlJc w:val="left"/>
      <w:lvlText w:val="(%1)"/>
      <w:numFmt w:val="lowerLetter"/>
      <w:start w:val="1"/>
    </w:lvl>
  </w:abstractNum>
  <w:abstractNum w:abstractNumId="128">
    <w:nsid w:val="2A082C70"/>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2023-01-23T16:31:56Z</dcterms:created>
  <dcterms:modified xsi:type="dcterms:W3CDTF">2023-01-23T16:31:56Z</dcterms:modified>
</cp:coreProperties>
</file>