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9549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Ruzicka Kristin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03/07/2025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0000FF"/>
        </w:rPr>
        <w:t>EVP Chief HR &amp; Sustainability</w:t>
      </w:r>
    </w:p>
    <w:p>
      <w:pPr>
        <w:spacing w:after="0" w:line="312" w:lineRule="exact"/>
        <w:rPr>
          <w:sz w:val="24"/>
          <w:szCs w:val="24"/>
          <w:color w:val="auto"/>
        </w:rPr>
      </w:pPr>
    </w:p>
    <w:p>
      <w:pPr>
        <w:sectPr>
          <w:pgSz w:w="11900" w:h="16838" w:orient="portrait"/>
          <w:cols w:equalWidth="0" w:num="3">
            <w:col w:w="3200" w:space="720"/>
            <w:col w:w="3200" w:space="6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0000FF"/>
              </w:rPr>
              <w:t>TX</w:t>
            </w:r>
          </w:p>
        </w:tc>
        <w:tc>
          <w:tcPr>
            <w:tcW w:w="860" w:type="dxa"/>
            <w:vAlign w:val="bottom"/>
          </w:tcPr>
          <w:p>
            <w:pPr>
              <w:spacing w:after="0"/>
              <w:rPr>
                <w:sz w:val="19"/>
                <w:szCs w:val="19"/>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77056</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800" w:type="dxa"/>
            <w:vAlign w:val="bottom"/>
            <w:tcBorders>
              <w:bottom w:val="single" w:sz="8" w:color="2C2C2C"/>
            </w:tcBorders>
            <w:gridSpan w:val="7"/>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4"/>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ind w:left="84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8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94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560" w:type="dxa"/>
            <w:vAlign w:val="bottom"/>
            <w:gridSpan w:val="11"/>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28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Price of</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Security</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3,914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Restricted</w:t>
            </w:r>
          </w:p>
        </w:tc>
        <w:tc>
          <w:tcPr>
            <w:tcW w:w="5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03/07/2025</w:t>
            </w:r>
          </w:p>
        </w:tc>
        <w:tc>
          <w:tcPr>
            <w:tcW w:w="1280" w:type="dxa"/>
            <w:vAlign w:val="bottom"/>
          </w:tcPr>
          <w:p>
            <w:pPr>
              <w:spacing w:after="0"/>
              <w:rPr>
                <w:sz w:val="11"/>
                <w:szCs w:val="11"/>
                <w:color w:val="auto"/>
              </w:rPr>
            </w:pPr>
          </w:p>
        </w:tc>
        <w:tc>
          <w:tcPr>
            <w:tcW w:w="6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3,914</w:t>
            </w:r>
          </w:p>
        </w:tc>
        <w:tc>
          <w:tcPr>
            <w:tcW w:w="3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rPr>
              <w:t>3,914</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5,871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03/07/2025</w:t>
            </w:r>
          </w:p>
        </w:tc>
        <w:tc>
          <w:tcPr>
            <w:tcW w:w="1280" w:type="dxa"/>
            <w:vAlign w:val="bottom"/>
          </w:tcPr>
          <w:p>
            <w:pPr>
              <w:spacing w:after="0"/>
              <w:rPr>
                <w:sz w:val="11"/>
                <w:szCs w:val="11"/>
                <w:color w:val="auto"/>
              </w:rPr>
            </w:pPr>
          </w:p>
        </w:tc>
        <w:tc>
          <w:tcPr>
            <w:tcW w:w="6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5,871</w:t>
            </w:r>
          </w:p>
        </w:tc>
        <w:tc>
          <w:tcPr>
            <w:tcW w:w="3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rPr>
              <w:t>5,871</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-2444115</wp:posOffset>
            </wp:positionV>
            <wp:extent cx="29210" cy="2449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491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("RSUs") granted on March 7, 2025 pursuant to the Issuer's 2019 Equity Incentive Plan, as amended and restated (the "2019 EIP"). The RSUs vest in three equal annual installments over the three-year period following the grant date</w:t>
      </w:r>
    </w:p>
    <w:p>
      <w:pPr>
        <w:spacing w:after="0" w:line="17"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March 7, 2025 under the 2019 EIP. The number of PSUs reported is the target award and may be subject to a payout ranging from 0% to 200% of the target award depending on the actual achievement of the performance goals at the end of the performance period. The PSUs vest based on actual performance during the Issuer's three fiscal years beginning on January 1, 2025 and ending December 31, 2027.</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Kathy Medford by Power of</w:t>
            </w:r>
          </w:p>
        </w:tc>
        <w:tc>
          <w:tcPr>
            <w:tcW w:w="3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03/11/2025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3554"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2025-03-11T15:44:57Z</dcterms:created>
  <dcterms:modified xsi:type="dcterms:W3CDTF">2025-03-11T15:44:57Z</dcterms:modified>
</cp:coreProperties>
</file>