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Dhruv Anuj Hasit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720" w:type="dxa"/>
            <w:vAlign w:val="bottom"/>
            <w:tcBorders>
              <w:top w:val="single" w:sz="8" w:color="0000EE"/>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04/21/2025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Weatherford International plc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WFRD</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80" w:type="dxa"/>
            <w:vAlign w:val="bottom"/>
          </w:tcPr>
          <w:p>
            <w:pPr>
              <w:ind w:left="280"/>
              <w:spacing w:after="0"/>
              <w:rPr>
                <w:sz w:val="20"/>
                <w:szCs w:val="20"/>
                <w:color w:val="auto"/>
              </w:rPr>
            </w:pPr>
            <w:r>
              <w:rPr>
                <w:rFonts w:ascii="Arial" w:cs="Arial" w:eastAsia="Arial" w:hAnsi="Arial"/>
                <w:sz w:val="15"/>
                <w:szCs w:val="15"/>
                <w:color w:val="auto"/>
              </w:rPr>
              <w:t>(First)</w:t>
            </w:r>
          </w:p>
        </w:tc>
        <w:tc>
          <w:tcPr>
            <w:tcW w:w="1040" w:type="dxa"/>
            <w:vAlign w:val="bottom"/>
          </w:tcPr>
          <w:p>
            <w:pPr>
              <w:ind w:left="40"/>
              <w:spacing w:after="0"/>
              <w:rPr>
                <w:sz w:val="20"/>
                <w:szCs w:val="20"/>
                <w:color w:val="auto"/>
              </w:rPr>
            </w:pPr>
            <w:r>
              <w:rPr>
                <w:rFonts w:ascii="Arial" w:cs="Arial" w:eastAsia="Arial" w:hAnsi="Arial"/>
                <w:sz w:val="15"/>
                <w:szCs w:val="15"/>
                <w:color w:val="auto"/>
              </w:rPr>
              <w:t>(Middle)</w:t>
            </w:r>
          </w:p>
        </w:tc>
      </w:tr>
      <w:tr>
        <w:trPr>
          <w:trHeight w:val="310"/>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7"/>
              </w:rPr>
              <w:t>2000 ST JAMES PLACE</w:t>
            </w:r>
          </w:p>
        </w:tc>
        <w:tc>
          <w:tcPr>
            <w:tcW w:w="104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5"/>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77056</w:t>
            </w:r>
          </w:p>
        </w:tc>
      </w:tr>
      <w:tr>
        <w:trPr>
          <w:trHeight w:val="177"/>
        </w:trPr>
        <w:tc>
          <w:tcPr>
            <w:tcW w:w="78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80" w:type="dxa"/>
            <w:vAlign w:val="bottom"/>
          </w:tcPr>
          <w:p>
            <w:pPr>
              <w:ind w:left="280"/>
              <w:spacing w:after="0"/>
              <w:rPr>
                <w:sz w:val="20"/>
                <w:szCs w:val="20"/>
                <w:color w:val="auto"/>
              </w:rPr>
            </w:pPr>
            <w:r>
              <w:rPr>
                <w:rFonts w:ascii="Arial" w:cs="Arial" w:eastAsia="Arial" w:hAnsi="Arial"/>
                <w:sz w:val="15"/>
                <w:szCs w:val="15"/>
                <w:color w:val="auto"/>
              </w:rPr>
              <w:t>(State)</w:t>
            </w:r>
          </w:p>
        </w:tc>
        <w:tc>
          <w:tcPr>
            <w:tcW w:w="1040" w:type="dxa"/>
            <w:vAlign w:val="bottom"/>
          </w:tcPr>
          <w:p>
            <w:pPr>
              <w:ind w:left="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03"/>
        <w:spacing w:after="0"/>
        <w:rPr>
          <w:sz w:val="20"/>
          <w:szCs w:val="20"/>
          <w:color w:val="auto"/>
        </w:rPr>
      </w:pPr>
      <w:r>
        <w:rPr>
          <w:rFonts w:ascii="Times New Roman" w:cs="Times New Roman" w:eastAsia="Times New Roman" w:hAnsi="Times New Roman"/>
          <w:sz w:val="20"/>
          <w:szCs w:val="20"/>
          <w:color w:val="0000FF"/>
        </w:rPr>
        <w:t>EVP and CFO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Kathy Medford by Power</w:t>
            </w:r>
          </w:p>
        </w:tc>
        <w:tc>
          <w:tcPr>
            <w:tcW w:w="1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04/24/2025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90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4"/>
              </w:rPr>
              <w:t>of Attorney</w:t>
            </w:r>
          </w:p>
        </w:tc>
        <w:tc>
          <w:tcPr>
            <w:tcW w:w="128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91" w:lineRule="exact"/>
        <w:rPr>
          <w:sz w:val="20"/>
          <w:szCs w:val="20"/>
          <w:color w:val="auto"/>
        </w:rPr>
      </w:pPr>
    </w:p>
    <w:p>
      <w:pPr>
        <w:jc w:val="both"/>
        <w:ind w:firstLine="345"/>
        <w:spacing w:after="0" w:line="264"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Scott C. Weatherholt, Beth Ann Dranguet and Katherine Witty Medford, and if such person ceases to serve in such capacity, his or her successor, or any of them signing singly, and with full power of substitution, as the undersigned’s true and lawful attorney in fact to:</w:t>
      </w:r>
    </w:p>
    <w:p>
      <w:pPr>
        <w:spacing w:after="0" w:line="231" w:lineRule="exact"/>
        <w:rPr>
          <w:sz w:val="20"/>
          <w:szCs w:val="20"/>
          <w:color w:val="auto"/>
        </w:rPr>
      </w:pPr>
    </w:p>
    <w:p>
      <w:pPr>
        <w:jc w:val="both"/>
        <w:ind w:left="700" w:hanging="355"/>
        <w:spacing w:after="0" w:line="263" w:lineRule="auto"/>
        <w:tabs>
          <w:tab w:leader="none" w:pos="7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credentials (including codes or passwords) to enable the undersigned to submit and file documents, forms and information required by Section 16(a) of the Securities Exchange Act of 1934, as amended (the “Exchange Act”) or any rule or regulation thereunder or by the U.S. Securities and Exchange Commission (“SEC”) via the Electronic Data Gathering and Retrieval (“EDGAR”)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purposes of the Form ID or such other documents; and (ii) enrolling the undersigned in EDGAR Next or any successor filing system;</w:t>
      </w:r>
    </w:p>
    <w:p>
      <w:pPr>
        <w:spacing w:after="0" w:line="4" w:lineRule="exact"/>
        <w:rPr>
          <w:rFonts w:ascii="Times New Roman" w:cs="Times New Roman" w:eastAsia="Times New Roman" w:hAnsi="Times New Roman"/>
          <w:sz w:val="22"/>
          <w:szCs w:val="22"/>
          <w:color w:val="auto"/>
        </w:rPr>
      </w:pPr>
    </w:p>
    <w:p>
      <w:pPr>
        <w:jc w:val="both"/>
        <w:ind w:left="700" w:hanging="355"/>
        <w:spacing w:after="0" w:line="259" w:lineRule="auto"/>
        <w:tabs>
          <w:tab w:leader="none" w:pos="7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 as an account administrator for the undersigned’s EDGAR account, including: (i) appointing, removing and replacing account administrators, technical administrators, account users, and delegated entities; (ii) maintaining the security of filer’s EDGAR account, including modification of access codes; (iii) maintaining, modifying and certifying the accuracy of information on the undersigned’s EDGAR account dashboard; and (iv) taking any other actions contemplated by Rule 10 of Regulation S-T;</w:t>
      </w:r>
    </w:p>
    <w:p>
      <w:pPr>
        <w:jc w:val="both"/>
        <w:ind w:left="700" w:hanging="355"/>
        <w:spacing w:after="0" w:line="261" w:lineRule="auto"/>
        <w:tabs>
          <w:tab w:leader="none" w:pos="7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Weatherford International plc (the “Company”) to accept a delegation of authority from the undersigned’s EDGAR account administrators and authorize the Company’s EDGAR account administrators pursuant to that delegated entity designation to appoint, remove or replace users for the undersigned’s EDGAR account;</w:t>
      </w:r>
    </w:p>
    <w:p>
      <w:pPr>
        <w:jc w:val="both"/>
        <w:ind w:left="700" w:hanging="355"/>
        <w:spacing w:after="0" w:line="263" w:lineRule="auto"/>
        <w:tabs>
          <w:tab w:leader="none" w:pos="7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or director of the Company, Forms 3, 4, and 5 (including any successor forms thereto) in accordance with Section 16(a) of the Exchange Act and the rules thereunder, as well as any Forms 144 (including any successor forms thereto), and any amendments to any of the foregoing;</w:t>
      </w:r>
    </w:p>
    <w:p>
      <w:pPr>
        <w:spacing w:after="0" w:line="1" w:lineRule="exact"/>
        <w:rPr>
          <w:rFonts w:ascii="Times New Roman" w:cs="Times New Roman" w:eastAsia="Times New Roman" w:hAnsi="Times New Roman"/>
          <w:sz w:val="22"/>
          <w:szCs w:val="22"/>
          <w:color w:val="auto"/>
        </w:rPr>
      </w:pPr>
    </w:p>
    <w:p>
      <w:pPr>
        <w:jc w:val="both"/>
        <w:ind w:left="700" w:hanging="355"/>
        <w:spacing w:after="0" w:line="261" w:lineRule="auto"/>
        <w:tabs>
          <w:tab w:leader="none" w:pos="7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jc w:val="both"/>
        <w:ind w:left="700" w:hanging="355"/>
        <w:spacing w:after="0" w:line="263" w:lineRule="auto"/>
        <w:tabs>
          <w:tab w:leader="none" w:pos="7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114" w:lineRule="exact"/>
        <w:rPr>
          <w:sz w:val="20"/>
          <w:szCs w:val="20"/>
          <w:color w:val="auto"/>
        </w:rPr>
      </w:pPr>
    </w:p>
    <w:p>
      <w:pPr>
        <w:jc w:val="both"/>
        <w:ind w:firstLine="345"/>
        <w:spacing w:after="0" w:line="256" w:lineRule="auto"/>
        <w:rPr>
          <w:sz w:val="20"/>
          <w:szCs w:val="20"/>
          <w:color w:val="auto"/>
        </w:rPr>
      </w:pPr>
      <w:r>
        <w:rPr>
          <w:rFonts w:ascii="Times New Roman" w:cs="Times New Roman" w:eastAsia="Times New Roman" w:hAnsi="Times New Roman"/>
          <w:sz w:val="22"/>
          <w:szCs w:val="22"/>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w:t>
      </w:r>
    </w:p>
    <w:p>
      <w:pPr>
        <w:sectPr>
          <w:pgSz w:w="11900" w:h="16838" w:orient="portrait"/>
          <w:cols w:equalWidth="0" w:num="1">
            <w:col w:w="10940"/>
          </w:cols>
          <w:pgMar w:left="480" w:top="1440" w:right="479" w:bottom="1440" w:gutter="0" w:footer="0" w:header="0"/>
        </w:sectPr>
      </w:pPr>
    </w:p>
    <w:bookmarkStart w:id="2" w:name="page3"/>
    <w:bookmarkEnd w:id="2"/>
    <w:p>
      <w:pPr>
        <w:spacing w:after="0" w:line="1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2"/>
          <w:szCs w:val="22"/>
          <w:color w:val="auto"/>
        </w:rPr>
        <w:t>of the undersigned, are not assuming, nor is the Company assuming, any of the undersigned's responsibilities to comply with Section 16 of the Exchange Act.</w:t>
      </w:r>
    </w:p>
    <w:p>
      <w:pPr>
        <w:spacing w:after="0" w:line="190" w:lineRule="exact"/>
        <w:rPr>
          <w:sz w:val="20"/>
          <w:szCs w:val="20"/>
          <w:color w:val="auto"/>
        </w:rPr>
      </w:pPr>
    </w:p>
    <w:p>
      <w:pPr>
        <w:jc w:val="both"/>
        <w:ind w:firstLine="345"/>
        <w:spacing w:after="0" w:line="256"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spacing w:after="0" w:line="2" w:lineRule="exact"/>
        <w:rPr>
          <w:sz w:val="20"/>
          <w:szCs w:val="20"/>
          <w:color w:val="auto"/>
        </w:rPr>
      </w:pPr>
    </w:p>
    <w:p>
      <w:pPr>
        <w:jc w:val="both"/>
        <w:ind w:right="20" w:firstLine="345"/>
        <w:spacing w:after="0" w:line="225" w:lineRule="auto"/>
        <w:rPr>
          <w:sz w:val="20"/>
          <w:szCs w:val="20"/>
          <w:color w:val="auto"/>
        </w:rPr>
      </w:pPr>
      <w:r>
        <w:rPr>
          <w:rFonts w:ascii="Times New Roman" w:cs="Times New Roman" w:eastAsia="Times New Roman" w:hAnsi="Times New Roman"/>
          <w:sz w:val="22"/>
          <w:szCs w:val="22"/>
          <w:color w:val="auto"/>
        </w:rPr>
        <w:t xml:space="preserve">IN WITNESS WHEREOF, the undersigned has caused this Power of Attorney to be executed as of this </w:t>
      </w:r>
      <w:r>
        <w:rPr>
          <w:rFonts w:ascii="Times New Roman" w:cs="Times New Roman" w:eastAsia="Times New Roman" w:hAnsi="Times New Roman"/>
          <w:sz w:val="22"/>
          <w:szCs w:val="22"/>
          <w:u w:val="single" w:color="auto"/>
          <w:color w:val="auto"/>
        </w:rPr>
        <w:t>15</w:t>
      </w:r>
      <w:r>
        <w:rPr>
          <w:rFonts w:ascii="Times New Roman" w:cs="Times New Roman" w:eastAsia="Times New Roman" w:hAnsi="Times New Roman"/>
          <w:sz w:val="28"/>
          <w:szCs w:val="28"/>
          <w:u w:val="single" w:color="auto"/>
          <w:color w:val="auto"/>
          <w:vertAlign w:val="superscript"/>
        </w:rPr>
        <w:t>th</w:t>
      </w:r>
      <w:r>
        <w:rPr>
          <w:rFonts w:ascii="Times New Roman" w:cs="Times New Roman" w:eastAsia="Times New Roman" w:hAnsi="Times New Roman"/>
          <w:sz w:val="22"/>
          <w:szCs w:val="22"/>
          <w:color w:val="auto"/>
        </w:rPr>
        <w:t xml:space="preserve"> day of April, 2025.</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Anuj Hasit Dhruv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72656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726565" cy="952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Anuj Hasit Dhruv</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Name of Notary: Ramon Benavides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-12700</wp:posOffset>
            </wp:positionV>
            <wp:extent cx="126619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66190" cy="9525"/>
                    </a:xfrm>
                    <a:prstGeom prst="rect">
                      <a:avLst/>
                    </a:prstGeom>
                    <a:noFill/>
                  </pic:spPr>
                </pic:pic>
              </a:graphicData>
            </a:graphic>
          </wp:anchor>
        </w:drawing>
      </w:r>
    </w:p>
    <w:p>
      <w:pPr>
        <w:spacing w:after="0" w:line="1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4"/>
          <w:szCs w:val="24"/>
          <w:color w:val="auto"/>
        </w:rPr>
        <w:t>Date:</w:t>
        <w:tab/>
        <w:t>04-15-2025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-29210</wp:posOffset>
            </wp:positionV>
            <wp:extent cx="147383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73835" cy="952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Notary Signature and Seal:</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 Ramon Benavides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175323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7532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4"/>
          <w:szCs w:val="24"/>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125349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53490" cy="9525"/>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2065599" TargetMode="External"/><Relationship Id="rId11"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2025-04-24T15:44:42Z</dcterms:created>
  <dcterms:modified xsi:type="dcterms:W3CDTF">2025-04-24T15:44:42Z</dcterms:modified>
</cp:coreProperties>
</file>