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-627380</wp:posOffset>
            </wp:positionV>
            <wp:extent cx="58420" cy="640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828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828030"/>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260" w:space="300"/>
            <w:col w:w="8520"/>
          </w:cols>
          <w:pgMar w:left="460" w:top="218" w:right="359" w:bottom="77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Mongrain Joseph H</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Weatherford International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WFRD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04/15/2022</w:t>
      </w:r>
    </w:p>
    <w:p>
      <w:pPr>
        <w:spacing w:after="0" w:line="20" w:lineRule="exact"/>
        <w:rPr>
          <w:sz w:val="24"/>
          <w:szCs w:val="24"/>
          <w:color w:val="auto"/>
        </w:rPr>
      </w:pPr>
      <w:r>
        <w:rPr>
          <w:sz w:val="24"/>
          <w:szCs w:val="24"/>
          <w:color w:val="auto"/>
        </w:rPr>
        <w:br w:type="column"/>
      </w:r>
    </w:p>
    <w:p>
      <w:pPr>
        <w:ind w:left="8" w:right="620" w:hanging="8"/>
        <w:spacing w:after="0" w:line="259"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8"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628"/>
        <w:spacing w:after="0"/>
        <w:rPr>
          <w:sz w:val="20"/>
          <w:szCs w:val="20"/>
          <w:color w:val="auto"/>
        </w:rPr>
      </w:pPr>
      <w:r>
        <w:rPr>
          <w:rFonts w:ascii="Times New Roman" w:cs="Times New Roman" w:eastAsia="Times New Roman" w:hAnsi="Times New Roman"/>
          <w:sz w:val="17"/>
          <w:szCs w:val="17"/>
          <w:color w:val="0000FF"/>
        </w:rPr>
        <w:t>EVP &amp; Chief People Officer</w:t>
      </w:r>
    </w:p>
    <w:p>
      <w:pPr>
        <w:spacing w:after="0" w:line="308" w:lineRule="exact"/>
        <w:rPr>
          <w:sz w:val="24"/>
          <w:szCs w:val="24"/>
          <w:color w:val="auto"/>
        </w:rPr>
      </w:pPr>
    </w:p>
    <w:p>
      <w:pPr>
        <w:sectPr>
          <w:pgSz w:w="11900" w:h="16838" w:orient="portrait"/>
          <w:cols w:equalWidth="0" w:num="3">
            <w:col w:w="3180" w:space="720"/>
            <w:col w:w="3220" w:space="612"/>
            <w:col w:w="3348"/>
          </w:cols>
          <w:pgMar w:left="460" w:top="218" w:right="359" w:bottom="772" w:gutter="0" w:footer="0" w:header="0"/>
          <w:type w:val="continuous"/>
        </w:sectPr>
      </w:pP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77056</w:t>
            </w:r>
          </w:p>
        </w:tc>
      </w:tr>
      <w:tr>
        <w:trPr>
          <w:trHeight w:val="150"/>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31"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03" w:lineRule="exact"/>
        <w:rPr>
          <w:sz w:val="24"/>
          <w:szCs w:val="24"/>
          <w:color w:val="auto"/>
        </w:rPr>
      </w:pPr>
    </w:p>
    <w:p>
      <w:pPr>
        <w:sectPr>
          <w:pgSz w:w="11900" w:h="16838" w:orient="portrait"/>
          <w:cols w:equalWidth="0" w:num="2">
            <w:col w:w="3760" w:space="140"/>
            <w:col w:w="7180"/>
          </w:cols>
          <w:pgMar w:left="460" w:top="218" w:right="359" w:bottom="77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9"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jc w:val="center"/>
              <w:ind w:left="45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50"/>
              <w:spacing w:after="0"/>
              <w:rPr>
                <w:sz w:val="20"/>
                <w:szCs w:val="20"/>
                <w:color w:val="auto"/>
              </w:rPr>
            </w:pPr>
            <w:r>
              <w:rPr>
                <w:rFonts w:ascii="Times New Roman" w:cs="Times New Roman" w:eastAsia="Times New Roman" w:hAnsi="Times New Roman"/>
                <w:sz w:val="17"/>
                <w:szCs w:val="17"/>
                <w:color w:val="0000FF"/>
              </w:rPr>
              <w:t>04/15/2022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22,566</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22,566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50"/>
              <w:spacing w:after="0"/>
              <w:rPr>
                <w:sz w:val="20"/>
                <w:szCs w:val="20"/>
                <w:color w:val="auto"/>
              </w:rPr>
            </w:pPr>
            <w:r>
              <w:rPr>
                <w:rFonts w:ascii="Times New Roman" w:cs="Times New Roman" w:eastAsia="Times New Roman" w:hAnsi="Times New Roman"/>
                <w:sz w:val="17"/>
                <w:szCs w:val="17"/>
                <w:color w:val="0000FF"/>
              </w:rPr>
              <w:t>04/15/2022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F</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5,495</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38.4</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17,071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50"/>
              <w:spacing w:after="0"/>
              <w:rPr>
                <w:sz w:val="20"/>
                <w:szCs w:val="20"/>
                <w:color w:val="auto"/>
              </w:rPr>
            </w:pPr>
            <w:r>
              <w:rPr>
                <w:rFonts w:ascii="Times New Roman" w:cs="Times New Roman" w:eastAsia="Times New Roman" w:hAnsi="Times New Roman"/>
                <w:sz w:val="17"/>
                <w:szCs w:val="17"/>
                <w:color w:val="0000FF"/>
              </w:rPr>
              <w:t>04/15/2022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(3)</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11,144</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28,215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50"/>
              <w:spacing w:after="0"/>
              <w:rPr>
                <w:sz w:val="20"/>
                <w:szCs w:val="20"/>
                <w:color w:val="auto"/>
              </w:rPr>
            </w:pPr>
            <w:r>
              <w:rPr>
                <w:rFonts w:ascii="Times New Roman" w:cs="Times New Roman" w:eastAsia="Times New Roman" w:hAnsi="Times New Roman"/>
                <w:sz w:val="17"/>
                <w:szCs w:val="17"/>
                <w:color w:val="0000FF"/>
              </w:rPr>
              <w:t>04/15/2022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(4)</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11,144</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34.0965</w:t>
            </w:r>
            <w:r>
              <w:rPr>
                <w:rFonts w:ascii="Times New Roman" w:cs="Times New Roman" w:eastAsia="Times New Roman" w:hAnsi="Times New Roman"/>
                <w:sz w:val="21"/>
                <w:szCs w:val="21"/>
                <w:color w:val="008000"/>
                <w:w w:val="93"/>
                <w:vertAlign w:val="superscript"/>
              </w:rPr>
              <w:t>(5)</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17,071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8"/>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Expiration</w:t>
            </w:r>
          </w:p>
        </w:tc>
        <w:tc>
          <w:tcPr>
            <w:tcW w:w="54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400"/>
              <w:spacing w:after="0"/>
              <w:rPr>
                <w:sz w:val="20"/>
                <w:szCs w:val="20"/>
                <w:color w:val="auto"/>
              </w:rPr>
            </w:pP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(1)</w:t>
            </w:r>
          </w:p>
        </w:tc>
        <w:tc>
          <w:tcPr>
            <w:tcW w:w="5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3"/>
              </w:rPr>
              <w:t>Ordinary</w:t>
            </w: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22,566</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11"/>
                <w:szCs w:val="11"/>
                <w:color w:val="auto"/>
              </w:rPr>
            </w:pPr>
          </w:p>
        </w:tc>
        <w:tc>
          <w:tcPr>
            <w:tcW w:w="1040" w:type="dxa"/>
            <w:vAlign w:val="bottom"/>
          </w:tcPr>
          <w:p>
            <w:pPr>
              <w:jc w:val="right"/>
              <w:ind w:right="139"/>
              <w:spacing w:after="0" w:line="129" w:lineRule="exact"/>
              <w:rPr>
                <w:sz w:val="20"/>
                <w:szCs w:val="20"/>
                <w:color w:val="auto"/>
              </w:rPr>
            </w:pPr>
            <w:r>
              <w:rPr>
                <w:rFonts w:ascii="Times New Roman" w:cs="Times New Roman" w:eastAsia="Times New Roman" w:hAnsi="Times New Roman"/>
                <w:sz w:val="13"/>
                <w:szCs w:val="13"/>
                <w:color w:val="0000FF"/>
              </w:rPr>
              <w:t>04/15/2022</w:t>
            </w:r>
          </w:p>
        </w:tc>
        <w:tc>
          <w:tcPr>
            <w:tcW w:w="1140" w:type="dxa"/>
            <w:vAlign w:val="bottom"/>
          </w:tcPr>
          <w:p>
            <w:pPr>
              <w:spacing w:after="0"/>
              <w:rPr>
                <w:sz w:val="11"/>
                <w:szCs w:val="11"/>
                <w:color w:val="auto"/>
              </w:rPr>
            </w:pPr>
          </w:p>
        </w:tc>
        <w:tc>
          <w:tcPr>
            <w:tcW w:w="44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1"/>
                <w:szCs w:val="11"/>
                <w:color w:val="auto"/>
              </w:rPr>
            </w:pPr>
          </w:p>
        </w:tc>
        <w:tc>
          <w:tcPr>
            <w:tcW w:w="68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w w:val="94"/>
              </w:rPr>
              <w:t>22,566</w:t>
            </w: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ind w:left="10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0000FF"/>
              </w:rPr>
              <w:t>22,565</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Shares</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04/15/2022</w:t>
            </w:r>
          </w:p>
        </w:tc>
        <w:tc>
          <w:tcPr>
            <w:tcW w:w="1140" w:type="dxa"/>
            <w:vAlign w:val="bottom"/>
          </w:tcPr>
          <w:p>
            <w:pPr>
              <w:spacing w:after="0"/>
              <w:rPr>
                <w:sz w:val="16"/>
                <w:szCs w:val="16"/>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w w:val="94"/>
              </w:rPr>
              <w:t>11,144</w:t>
            </w:r>
          </w:p>
        </w:tc>
        <w:tc>
          <w:tcPr>
            <w:tcW w:w="800" w:type="dxa"/>
            <w:vAlign w:val="bottom"/>
          </w:tcPr>
          <w:p>
            <w:pPr>
              <w:ind w:left="40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rPr>
              <w:t>(6)</w:t>
            </w:r>
          </w:p>
        </w:tc>
        <w:tc>
          <w:tcPr>
            <w:tcW w:w="54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3"/>
              </w:rPr>
              <w:t>Ordinary</w:t>
            </w:r>
          </w:p>
        </w:tc>
        <w:tc>
          <w:tcPr>
            <w:tcW w:w="660" w:type="dxa"/>
            <w:vAlign w:val="bottom"/>
          </w:tcPr>
          <w:p>
            <w:pPr>
              <w:ind w:left="140"/>
              <w:spacing w:after="0" w:line="194" w:lineRule="exact"/>
              <w:rPr>
                <w:sz w:val="20"/>
                <w:szCs w:val="20"/>
                <w:color w:val="auto"/>
              </w:rPr>
            </w:pPr>
            <w:r>
              <w:rPr>
                <w:rFonts w:ascii="Times New Roman" w:cs="Times New Roman" w:eastAsia="Times New Roman" w:hAnsi="Times New Roman"/>
                <w:sz w:val="17"/>
                <w:szCs w:val="17"/>
                <w:color w:val="0000FF"/>
              </w:rPr>
              <w:t>11,144</w:t>
            </w:r>
          </w:p>
        </w:tc>
        <w:tc>
          <w:tcPr>
            <w:tcW w:w="18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right"/>
              <w:ind w:right="101"/>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Share</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ind w:left="140"/>
              <w:spacing w:after="0" w:line="105" w:lineRule="exact"/>
              <w:rPr>
                <w:sz w:val="20"/>
                <w:szCs w:val="20"/>
                <w:color w:val="auto"/>
              </w:rPr>
            </w:pPr>
            <w:r>
              <w:rPr>
                <w:rFonts w:ascii="Times New Roman" w:cs="Times New Roman" w:eastAsia="Times New Roman" w:hAnsi="Times New Roman"/>
                <w:sz w:val="12"/>
                <w:szCs w:val="12"/>
                <w:color w:val="0000FF"/>
              </w:rPr>
              <w:t>Shares</w:t>
            </w: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the first installment of restricted share units ("RSUs") granted on April 15, 2021 pursuant to Issuer's Second Amended and Restated 2019 Equity Incentive Plan (the "2019 EIP"). The RSUs vest in two equal installments over the two-year period from the date of grant.</w:t>
      </w:r>
    </w:p>
    <w:p>
      <w:pPr>
        <w:spacing w:after="0" w:line="17" w:lineRule="exact"/>
        <w:rPr>
          <w:rFonts w:ascii="Times New Roman" w:cs="Times New Roman" w:eastAsia="Times New Roman" w:hAnsi="Times New Roman"/>
          <w:sz w:val="13"/>
          <w:szCs w:val="13"/>
          <w:color w:val="008000"/>
        </w:rPr>
      </w:pPr>
    </w:p>
    <w:p>
      <w:pPr>
        <w:ind w:left="40" w:right="1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a withholding of a portion of vested RSUs to satisfy the reporting person's tax withholding obligations upon vesting, pursuant to the award agreement and the 2019 EIP under which the award was granted.</w:t>
      </w:r>
    </w:p>
    <w:p>
      <w:pPr>
        <w:spacing w:after="0" w:line="17" w:lineRule="exact"/>
        <w:rPr>
          <w:rFonts w:ascii="Times New Roman" w:cs="Times New Roman" w:eastAsia="Times New Roman" w:hAnsi="Times New Roman"/>
          <w:sz w:val="13"/>
          <w:szCs w:val="13"/>
          <w:color w:val="008000"/>
        </w:rPr>
      </w:pPr>
    </w:p>
    <w:p>
      <w:pPr>
        <w:ind w:left="40" w:right="1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deemed acquisition of the ordinary shares underlying the vested portion of phantom restricted share units ("Phantom RSUs") as a result of the election by the Committee administering the 2019 EIP to settle the 2021 Phantom RSU awards entirely in cash (see footnote 6 below).</w:t>
      </w:r>
    </w:p>
    <w:p>
      <w:pPr>
        <w:spacing w:after="0" w:line="17" w:lineRule="exact"/>
        <w:rPr>
          <w:rFonts w:ascii="Times New Roman" w:cs="Times New Roman" w:eastAsia="Times New Roman" w:hAnsi="Times New Roman"/>
          <w:sz w:val="13"/>
          <w:szCs w:val="13"/>
          <w:color w:val="008000"/>
        </w:rPr>
      </w:pPr>
    </w:p>
    <w:p>
      <w:pPr>
        <w:ind w:left="40" w:right="4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deemed disposition to the issuer of the ordinary shares underlying the vested portion of Phantom RSUs as a result of the election by the Committee administering the 2019 EIP to settle the 2021 Phantom RSU awards entirely in cash (see footnote 6 below).</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represents the volume weighted price of the Company's ordinary shares averaged for the thirty trading days immediately preceding the vesting date.</w:t>
      </w:r>
    </w:p>
    <w:p>
      <w:pPr>
        <w:spacing w:after="0" w:line="44" w:lineRule="exact"/>
        <w:rPr>
          <w:rFonts w:ascii="Times New Roman" w:cs="Times New Roman" w:eastAsia="Times New Roman" w:hAnsi="Times New Roman"/>
          <w:sz w:val="13"/>
          <w:szCs w:val="13"/>
          <w:color w:val="008000"/>
        </w:rPr>
      </w:pPr>
    </w:p>
    <w:p>
      <w:pPr>
        <w:ind w:left="40" w:right="200" w:firstLine="2"/>
        <w:spacing w:after="0" w:line="23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the Phantom RSUs granted on April 15, 2021 pursuant to the 2019 EIP. These Phantom RSUs vest in two equal installments over the two-year period from the date of grant and may be settled in cash, ordinary shares or any combination of cash and ordinary shares; provided that if settled in cash, the cumulative cash payout may not exceed a predetermined amount specified in the Reporting Person's offer letter (the "Maximum Cash Payout"). At the election of the Committee administering the 2019 EIP, it was determined that the 2021 Phantom RSU awards would be settled entirely in cash. As a result of the Maximum Cash Payout, the Reporting Person is reporting the vesting, deemed acquisition and deemed disposition of 11,144 ordinary shares. As a result of the Maximum Cash Payout having been satisfied, the remaining 21,957 ordinary shares underlying the 33,101 Phantom RSUs previously reported will not vest and have been cancelled.</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Jonathan B. Wolens by Power</w:t>
            </w:r>
          </w:p>
        </w:tc>
        <w:tc>
          <w:tcPr>
            <w:tcW w:w="18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04/19/2022</w:t>
            </w:r>
          </w:p>
        </w:tc>
        <w:tc>
          <w:tcPr>
            <w:tcW w:w="0" w:type="dxa"/>
            <w:vAlign w:val="bottom"/>
          </w:tcPr>
          <w:p>
            <w:pPr>
              <w:spacing w:after="0"/>
              <w:rPr>
                <w:sz w:val="1"/>
                <w:szCs w:val="1"/>
                <w:color w:val="auto"/>
              </w:rPr>
            </w:pPr>
          </w:p>
        </w:tc>
      </w:tr>
      <w:tr>
        <w:trPr>
          <w:trHeight w:val="88"/>
        </w:trPr>
        <w:tc>
          <w:tcPr>
            <w:tcW w:w="78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6"/>
              </w:rPr>
              <w:t>of Attorney</w:t>
            </w:r>
          </w:p>
        </w:tc>
        <w:tc>
          <w:tcPr>
            <w:tcW w:w="14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780" w:type="dxa"/>
            <w:vAlign w:val="bottom"/>
            <w:tcBorders>
              <w:bottom w:val="single" w:sz="8" w:color="auto"/>
            </w:tcBorders>
            <w:vMerge w:val="continue"/>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7"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77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65840"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2022-04-19T16:12:04Z</dcterms:created>
  <dcterms:modified xsi:type="dcterms:W3CDTF">2022-04-19T16:12:04Z</dcterms:modified>
</cp:coreProperties>
</file>