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475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504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Mitra Arunava</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202"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02"/>
        <w:spacing w:after="0"/>
        <w:rPr>
          <w:sz w:val="20"/>
          <w:szCs w:val="20"/>
          <w:color w:val="auto"/>
        </w:rPr>
      </w:pPr>
      <w:r>
        <w:rPr>
          <w:rFonts w:ascii="Times New Roman" w:cs="Times New Roman" w:eastAsia="Times New Roman" w:hAnsi="Times New Roman"/>
          <w:sz w:val="17"/>
          <w:szCs w:val="17"/>
          <w:color w:val="0000FF"/>
        </w:rPr>
        <w:t>EVP and CFO</w:t>
      </w:r>
    </w:p>
    <w:p>
      <w:pPr>
        <w:spacing w:after="0" w:line="304"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7"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0000FF"/>
              </w:rPr>
              <w:t>01/18/2023</w:t>
            </w:r>
          </w:p>
        </w:tc>
        <w:tc>
          <w:tcPr>
            <w:tcW w:w="106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12,918</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12,918</w:t>
            </w:r>
          </w:p>
        </w:tc>
        <w:tc>
          <w:tcPr>
            <w:tcW w:w="6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12,918</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2023 Annual</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19,377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continue"/>
          </w:tcPr>
          <w:p>
            <w:pPr>
              <w:spacing w:after="0"/>
              <w:rPr>
                <w:sz w:val="11"/>
                <w:szCs w:val="11"/>
                <w:color w:val="auto"/>
              </w:rPr>
            </w:pPr>
          </w:p>
        </w:tc>
        <w:tc>
          <w:tcPr>
            <w:tcW w:w="1080" w:type="dxa"/>
            <w:vAlign w:val="bottom"/>
          </w:tcPr>
          <w:p>
            <w:pPr>
              <w:jc w:val="right"/>
              <w:ind w:right="200"/>
              <w:spacing w:after="0" w:line="128" w:lineRule="exact"/>
              <w:rPr>
                <w:sz w:val="20"/>
                <w:szCs w:val="20"/>
                <w:color w:val="auto"/>
              </w:rPr>
            </w:pPr>
            <w:r>
              <w:rPr>
                <w:rFonts w:ascii="Times New Roman" w:cs="Times New Roman" w:eastAsia="Times New Roman" w:hAnsi="Times New Roman"/>
                <w:sz w:val="13"/>
                <w:szCs w:val="13"/>
                <w:color w:val="0000FF"/>
              </w:rPr>
              <w:t>01/18/2023</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19,377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19,377</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January 18, 2023 pursuant to the Issuer's 2019 Equity Incentive Plan, as amended and restated (the "2019 EIP"). The RSUs vest in three equal installments annually over the three-year period from the date of grant.</w:t>
      </w:r>
    </w:p>
    <w:p>
      <w:pPr>
        <w:spacing w:after="0" w:line="19" w:lineRule="exact"/>
        <w:rPr>
          <w:rFonts w:ascii="Times New Roman" w:cs="Times New Roman" w:eastAsia="Times New Roman" w:hAnsi="Times New Roman"/>
          <w:sz w:val="13"/>
          <w:szCs w:val="13"/>
          <w:color w:val="008000"/>
        </w:rPr>
      </w:pPr>
    </w:p>
    <w:p>
      <w:pPr>
        <w:jc w:val="both"/>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2023 under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2023 and ending December 31, 2025.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Jonathan B. Wolens by Power</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01/18/2023</w:t>
            </w:r>
          </w:p>
        </w:tc>
        <w:tc>
          <w:tcPr>
            <w:tcW w:w="0" w:type="dxa"/>
            <w:vAlign w:val="bottom"/>
          </w:tcPr>
          <w:p>
            <w:pPr>
              <w:spacing w:after="0"/>
              <w:rPr>
                <w:sz w:val="1"/>
                <w:szCs w:val="1"/>
                <w:color w:val="auto"/>
              </w:rPr>
            </w:pPr>
          </w:p>
        </w:tc>
      </w:tr>
      <w:tr>
        <w:trPr>
          <w:trHeight w:val="82"/>
        </w:trPr>
        <w:tc>
          <w:tcPr>
            <w:tcW w:w="7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8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924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2023-01-20T20:46:22Z</dcterms:created>
  <dcterms:modified xsi:type="dcterms:W3CDTF">2023-01-20T20:46:22Z</dcterms:modified>
</cp:coreProperties>
</file>