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-615315</wp:posOffset>
            </wp:positionV>
            <wp:extent cx="57785" cy="628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20955</wp:posOffset>
            </wp:positionV>
            <wp:extent cx="6995795" cy="5605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560514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Mitra Arunava</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40" w:type="dxa"/>
            <w:vAlign w:val="bottom"/>
          </w:tcPr>
          <w:p>
            <w:pPr>
              <w:ind w:left="40"/>
              <w:spacing w:after="0"/>
              <w:rPr>
                <w:sz w:val="20"/>
                <w:szCs w:val="20"/>
                <w:color w:val="auto"/>
              </w:rPr>
            </w:pPr>
            <w:r>
              <w:rPr>
                <w:rFonts w:ascii="Arial" w:cs="Arial" w:eastAsia="Arial" w:hAnsi="Arial"/>
                <w:sz w:val="13"/>
                <w:szCs w:val="13"/>
                <w:color w:val="auto"/>
              </w:rPr>
              <w:t>(Last)</w:t>
            </w:r>
          </w:p>
        </w:tc>
        <w:tc>
          <w:tcPr>
            <w:tcW w:w="1080" w:type="dxa"/>
            <w:vAlign w:val="bottom"/>
          </w:tcPr>
          <w:p>
            <w:pPr>
              <w:ind w:left="220"/>
              <w:spacing w:after="0"/>
              <w:rPr>
                <w:sz w:val="20"/>
                <w:szCs w:val="20"/>
                <w:color w:val="auto"/>
              </w:rPr>
            </w:pPr>
            <w:r>
              <w:rPr>
                <w:rFonts w:ascii="Arial" w:cs="Arial" w:eastAsia="Arial" w:hAnsi="Arial"/>
                <w:sz w:val="13"/>
                <w:szCs w:val="13"/>
                <w:color w:val="auto"/>
              </w:rPr>
              <w:t>(First)</w:t>
            </w:r>
          </w:p>
        </w:tc>
        <w:tc>
          <w:tcPr>
            <w:tcW w:w="820" w:type="dxa"/>
            <w:vAlign w:val="bottom"/>
          </w:tcPr>
          <w:p>
            <w:pPr>
              <w:ind w:left="360"/>
              <w:spacing w:after="0"/>
              <w:rPr>
                <w:sz w:val="20"/>
                <w:szCs w:val="20"/>
                <w:color w:val="auto"/>
              </w:rPr>
            </w:pPr>
            <w:r>
              <w:rPr>
                <w:rFonts w:ascii="Arial" w:cs="Arial" w:eastAsia="Arial" w:hAnsi="Arial"/>
                <w:sz w:val="13"/>
                <w:szCs w:val="13"/>
                <w:color w:val="auto"/>
                <w:w w:val="93"/>
              </w:rPr>
              <w:t>(Middle)</w:t>
            </w:r>
          </w:p>
        </w:tc>
      </w:tr>
      <w:tr>
        <w:trPr>
          <w:trHeight w:val="263"/>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2000 ST. JAMES PLACE</w:t>
            </w:r>
          </w:p>
        </w:tc>
        <w:tc>
          <w:tcPr>
            <w:tcW w:w="820" w:type="dxa"/>
            <w:vAlign w:val="bottom"/>
          </w:tcPr>
          <w:p>
            <w:pPr>
              <w:spacing w:after="0"/>
              <w:rPr>
                <w:sz w:val="22"/>
                <w:szCs w:val="22"/>
                <w:color w:val="auto"/>
              </w:rPr>
            </w:pPr>
          </w:p>
        </w:tc>
      </w:tr>
      <w:tr>
        <w:trPr>
          <w:trHeight w:val="471"/>
        </w:trPr>
        <w:tc>
          <w:tcPr>
            <w:tcW w:w="1040" w:type="dxa"/>
            <w:vAlign w:val="bottom"/>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5"/>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HOUSTON</w:t>
            </w:r>
          </w:p>
        </w:tc>
        <w:tc>
          <w:tcPr>
            <w:tcW w:w="10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TX</w:t>
            </w:r>
          </w:p>
        </w:tc>
        <w:tc>
          <w:tcPr>
            <w:tcW w:w="82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77056</w:t>
            </w:r>
          </w:p>
        </w:tc>
      </w:tr>
      <w:tr>
        <w:trPr>
          <w:trHeight w:val="458"/>
        </w:trPr>
        <w:tc>
          <w:tcPr>
            <w:tcW w:w="1040" w:type="dxa"/>
            <w:vAlign w:val="bottom"/>
          </w:tcPr>
          <w:p>
            <w:pPr>
              <w:ind w:left="40"/>
              <w:spacing w:after="0"/>
              <w:rPr>
                <w:sz w:val="20"/>
                <w:szCs w:val="20"/>
                <w:color w:val="auto"/>
              </w:rPr>
            </w:pPr>
            <w:r>
              <w:rPr>
                <w:rFonts w:ascii="Arial" w:cs="Arial" w:eastAsia="Arial" w:hAnsi="Arial"/>
                <w:sz w:val="13"/>
                <w:szCs w:val="13"/>
                <w:color w:val="auto"/>
              </w:rPr>
              <w:t>(City)</w:t>
            </w:r>
          </w:p>
        </w:tc>
        <w:tc>
          <w:tcPr>
            <w:tcW w:w="1080" w:type="dxa"/>
            <w:vAlign w:val="bottom"/>
          </w:tcPr>
          <w:p>
            <w:pPr>
              <w:ind w:left="220"/>
              <w:spacing w:after="0"/>
              <w:rPr>
                <w:sz w:val="20"/>
                <w:szCs w:val="20"/>
                <w:color w:val="auto"/>
              </w:rPr>
            </w:pPr>
            <w:r>
              <w:rPr>
                <w:rFonts w:ascii="Arial" w:cs="Arial" w:eastAsia="Arial" w:hAnsi="Arial"/>
                <w:sz w:val="13"/>
                <w:szCs w:val="13"/>
                <w:color w:val="auto"/>
              </w:rPr>
              <w:t>(State)</w:t>
            </w:r>
          </w:p>
        </w:tc>
        <w:tc>
          <w:tcPr>
            <w:tcW w:w="8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6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Weatherford International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WFRD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14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2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640" w:type="dxa"/>
            <w:vAlign w:val="bottom"/>
          </w:tcPr>
          <w:p>
            <w:pPr>
              <w:ind w:left="100"/>
              <w:spacing w:after="0" w:line="119"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01/18/2024</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vMerge w:val="restart"/>
          </w:tcPr>
          <w:p>
            <w:pPr>
              <w:ind w:left="680"/>
              <w:spacing w:after="0"/>
              <w:rPr>
                <w:sz w:val="20"/>
                <w:szCs w:val="20"/>
                <w:color w:val="auto"/>
              </w:rPr>
            </w:pPr>
            <w:r>
              <w:rPr>
                <w:rFonts w:ascii="Times New Roman" w:cs="Times New Roman" w:eastAsia="Times New Roman" w:hAnsi="Times New Roman"/>
                <w:sz w:val="16"/>
                <w:szCs w:val="16"/>
                <w:color w:val="0000FF"/>
              </w:rPr>
              <w:t>EVP and CFO</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7"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9"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5" w:lineRule="exact"/>
        <w:rPr>
          <w:sz w:val="24"/>
          <w:szCs w:val="24"/>
          <w:color w:val="auto"/>
        </w:rPr>
      </w:pPr>
    </w:p>
    <w:p>
      <w:pPr>
        <w:ind w:left="320" w:right="420"/>
        <w:spacing w:after="0" w:line="28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6"/>
                <w:szCs w:val="16"/>
                <w:color w:val="0000FF"/>
              </w:rPr>
              <w:t>01/18/2024</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4,306</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right="5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4,306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6"/>
                <w:szCs w:val="16"/>
                <w:color w:val="0000FF"/>
              </w:rPr>
              <w:t>01/18/2024</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1,782</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94.5</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2,524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1"/>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00" w:type="dxa"/>
            <w:vAlign w:val="bottom"/>
            <w:gridSpan w:val="9"/>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7"/>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01/18/2024</w:t>
            </w:r>
          </w:p>
        </w:tc>
        <w:tc>
          <w:tcPr>
            <w:tcW w:w="1120" w:type="dxa"/>
            <w:vAlign w:val="bottom"/>
          </w:tcPr>
          <w:p>
            <w:pPr>
              <w:spacing w:after="0"/>
              <w:rPr>
                <w:sz w:val="15"/>
                <w:szCs w:val="15"/>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4,306</w:t>
            </w: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4,306</w:t>
            </w:r>
          </w:p>
        </w:tc>
        <w:tc>
          <w:tcPr>
            <w:tcW w:w="40" w:type="dxa"/>
            <w:vAlign w:val="bottom"/>
          </w:tcPr>
          <w:p>
            <w:pPr>
              <w:spacing w:after="0"/>
              <w:rPr>
                <w:sz w:val="15"/>
                <w:szCs w:val="15"/>
                <w:color w:val="auto"/>
              </w:rPr>
            </w:pPr>
          </w:p>
        </w:tc>
        <w:tc>
          <w:tcPr>
            <w:tcW w:w="680" w:type="dxa"/>
            <w:vAlign w:val="bottom"/>
            <w:gridSpan w:val="2"/>
            <w:vMerge w:val="restart"/>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rPr>
              <w:t>8,612</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2024 Annual</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13,386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continue"/>
          </w:tcPr>
          <w:p>
            <w:pPr>
              <w:spacing w:after="0"/>
              <w:rPr>
                <w:sz w:val="11"/>
                <w:szCs w:val="11"/>
                <w:color w:val="auto"/>
              </w:rPr>
            </w:pPr>
          </w:p>
        </w:tc>
        <w:tc>
          <w:tcPr>
            <w:tcW w:w="100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01/18/2024</w:t>
            </w:r>
          </w:p>
        </w:tc>
        <w:tc>
          <w:tcPr>
            <w:tcW w:w="1120" w:type="dxa"/>
            <w:vAlign w:val="bottom"/>
          </w:tcPr>
          <w:p>
            <w:pPr>
              <w:spacing w:after="0"/>
              <w:rPr>
                <w:sz w:val="11"/>
                <w:szCs w:val="11"/>
                <w:color w:val="auto"/>
              </w:rPr>
            </w:pPr>
          </w:p>
        </w:tc>
        <w:tc>
          <w:tcPr>
            <w:tcW w:w="720" w:type="dxa"/>
            <w:vAlign w:val="bottom"/>
          </w:tcPr>
          <w:p>
            <w:pPr>
              <w:ind w:left="160"/>
              <w:spacing w:after="0" w:line="127"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jc w:val="right"/>
              <w:ind w:right="42"/>
              <w:spacing w:after="0" w:line="127" w:lineRule="exact"/>
              <w:rPr>
                <w:sz w:val="20"/>
                <w:szCs w:val="20"/>
                <w:color w:val="auto"/>
              </w:rPr>
            </w:pPr>
            <w:r>
              <w:rPr>
                <w:rFonts w:ascii="Times New Roman" w:cs="Times New Roman" w:eastAsia="Times New Roman" w:hAnsi="Times New Roman"/>
                <w:sz w:val="13"/>
                <w:szCs w:val="13"/>
                <w:color w:val="0000FF"/>
              </w:rPr>
              <w:t>13,386</w:t>
            </w:r>
          </w:p>
        </w:tc>
        <w:tc>
          <w:tcPr>
            <w:tcW w:w="4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13,386</w:t>
            </w:r>
          </w:p>
        </w:tc>
        <w:tc>
          <w:tcPr>
            <w:tcW w:w="64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01/18/2024</w:t>
            </w:r>
          </w:p>
        </w:tc>
        <w:tc>
          <w:tcPr>
            <w:tcW w:w="1120" w:type="dxa"/>
            <w:vAlign w:val="bottom"/>
          </w:tcPr>
          <w:p>
            <w:pPr>
              <w:spacing w:after="0"/>
              <w:rPr>
                <w:sz w:val="15"/>
                <w:szCs w:val="15"/>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right"/>
              <w:ind w:right="82"/>
              <w:spacing w:after="0"/>
              <w:rPr>
                <w:sz w:val="20"/>
                <w:szCs w:val="20"/>
                <w:color w:val="auto"/>
              </w:rPr>
            </w:pPr>
            <w:r>
              <w:rPr>
                <w:rFonts w:ascii="Times New Roman" w:cs="Times New Roman" w:eastAsia="Times New Roman" w:hAnsi="Times New Roman"/>
                <w:sz w:val="13"/>
                <w:szCs w:val="13"/>
                <w:color w:val="0000FF"/>
              </w:rPr>
              <w:t>8,924</w:t>
            </w:r>
          </w:p>
        </w:tc>
        <w:tc>
          <w:tcPr>
            <w:tcW w:w="42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8,924</w:t>
            </w:r>
          </w:p>
        </w:tc>
        <w:tc>
          <w:tcPr>
            <w:tcW w:w="40" w:type="dxa"/>
            <w:vAlign w:val="bottom"/>
          </w:tcPr>
          <w:p>
            <w:pPr>
              <w:spacing w:after="0"/>
              <w:rPr>
                <w:sz w:val="15"/>
                <w:szCs w:val="15"/>
                <w:color w:val="auto"/>
              </w:rPr>
            </w:pPr>
          </w:p>
        </w:tc>
        <w:tc>
          <w:tcPr>
            <w:tcW w:w="680" w:type="dxa"/>
            <w:vAlign w:val="bottom"/>
            <w:gridSpan w:val="2"/>
            <w:vMerge w:val="restart"/>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rPr>
              <w:t>8,924</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-2327275</wp:posOffset>
            </wp:positionV>
            <wp:extent cx="28575" cy="233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3329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4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2023 pursuant to the Issuer's 2019 Equity Incentive Plan, as amended and restated (the "2019 EIP"). The RSUs vest in three equal installments annually over the three-year period from the date of grant.</w:t>
      </w:r>
    </w:p>
    <w:p>
      <w:pPr>
        <w:spacing w:after="0" w:line="20" w:lineRule="exact"/>
        <w:rPr>
          <w:rFonts w:ascii="Times New Roman" w:cs="Times New Roman" w:eastAsia="Times New Roman" w:hAnsi="Times New Roman"/>
          <w:sz w:val="13"/>
          <w:szCs w:val="13"/>
          <w:color w:val="008000"/>
        </w:rPr>
      </w:pPr>
    </w:p>
    <w:p>
      <w:pPr>
        <w:ind w:left="40" w:right="30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RSUs to satisfy the reporting person's tax withholding obligations upon vesting, pursuant to the award agreement and associated equity incentive plan under which the award was granted.</w:t>
      </w:r>
    </w:p>
    <w:p>
      <w:pPr>
        <w:spacing w:after="0" w:line="20" w:lineRule="exact"/>
        <w:rPr>
          <w:rFonts w:ascii="Times New Roman" w:cs="Times New Roman" w:eastAsia="Times New Roman" w:hAnsi="Times New Roman"/>
          <w:sz w:val="13"/>
          <w:szCs w:val="13"/>
          <w:color w:val="008000"/>
        </w:rPr>
      </w:pPr>
    </w:p>
    <w:p>
      <w:pPr>
        <w:ind w:left="40" w:right="18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January 18, 2024 under the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2024 and ending December 31, 2026.</w:t>
      </w:r>
    </w:p>
    <w:p>
      <w:pPr>
        <w:spacing w:after="0" w:line="25"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January 18, 2024 pursuant to the 2019 EIP. The RSUs vest in three equal installments annually over the three-year period from the date of grant.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Christine M. Morrison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01/22/2024</w:t>
            </w:r>
          </w:p>
        </w:tc>
        <w:tc>
          <w:tcPr>
            <w:tcW w:w="0" w:type="dxa"/>
            <w:vAlign w:val="bottom"/>
          </w:tcPr>
          <w:p>
            <w:pPr>
              <w:spacing w:after="0"/>
              <w:rPr>
                <w:sz w:val="1"/>
                <w:szCs w:val="1"/>
                <w:color w:val="auto"/>
              </w:rPr>
            </w:pPr>
          </w:p>
        </w:tc>
      </w:tr>
      <w:tr>
        <w:trPr>
          <w:trHeight w:val="86"/>
        </w:trPr>
        <w:tc>
          <w:tcPr>
            <w:tcW w:w="1680" w:type="dxa"/>
            <w:vAlign w:val="bottom"/>
            <w:tcBorders>
              <w:top w:val="single" w:sz="8" w:color="auto"/>
              <w:bottom w:val="single" w:sz="8" w:color="auto"/>
            </w:tcBorders>
            <w:gridSpan w:val="2"/>
            <w:vMerge w:val="restart"/>
          </w:tcPr>
          <w:p>
            <w:pPr>
              <w:spacing w:after="0" w:line="183" w:lineRule="exact"/>
              <w:rPr>
                <w:sz w:val="20"/>
                <w:szCs w:val="20"/>
                <w:color w:val="auto"/>
              </w:rPr>
            </w:pPr>
            <w:r>
              <w:rPr>
                <w:rFonts w:ascii="Times New Roman" w:cs="Times New Roman" w:eastAsia="Times New Roman" w:hAnsi="Times New Roman"/>
                <w:sz w:val="16"/>
                <w:szCs w:val="16"/>
                <w:color w:val="0000FF"/>
              </w:rPr>
              <w:t>Power of Attorney</w:t>
            </w:r>
          </w:p>
        </w:tc>
        <w:tc>
          <w:tcPr>
            <w:tcW w:w="5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8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59243"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2024-01-22T15:45:25Z</dcterms:created>
  <dcterms:modified xsi:type="dcterms:W3CDTF">2024-01-22T15:45:25Z</dcterms:modified>
</cp:coreProperties>
</file>