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24637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Mongrain Joseph H</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01/18/2023</w:t>
      </w:r>
    </w:p>
    <w:p>
      <w:pPr>
        <w:spacing w:after="0" w:line="20" w:lineRule="exact"/>
        <w:rPr>
          <w:sz w:val="24"/>
          <w:szCs w:val="24"/>
          <w:color w:val="auto"/>
        </w:rPr>
      </w:pPr>
      <w:r>
        <w:rPr>
          <w:sz w:val="24"/>
          <w:szCs w:val="24"/>
          <w:color w:val="auto"/>
        </w:rPr>
        <w:br w:type="column"/>
      </w: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93"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33"/>
        <w:spacing w:after="0"/>
        <w:rPr>
          <w:sz w:val="20"/>
          <w:szCs w:val="20"/>
          <w:color w:val="auto"/>
        </w:rPr>
      </w:pPr>
      <w:r>
        <w:rPr>
          <w:rFonts w:ascii="Times New Roman" w:cs="Times New Roman" w:eastAsia="Times New Roman" w:hAnsi="Times New Roman"/>
          <w:sz w:val="17"/>
          <w:szCs w:val="17"/>
          <w:color w:val="0000FF"/>
        </w:rPr>
        <w:t>EVP &amp; Chief People Officer</w:t>
      </w:r>
    </w:p>
    <w:p>
      <w:pPr>
        <w:spacing w:after="0" w:line="301" w:lineRule="exact"/>
        <w:rPr>
          <w:sz w:val="24"/>
          <w:szCs w:val="24"/>
          <w:color w:val="auto"/>
        </w:rPr>
      </w:pPr>
    </w:p>
    <w:p>
      <w:pPr>
        <w:sectPr>
          <w:pgSz w:w="11900" w:h="16838" w:orient="portrait"/>
          <w:cols w:equalWidth="0" w:num="3">
            <w:col w:w="3180" w:space="720"/>
            <w:col w:w="3180" w:space="647"/>
            <w:col w:w="3353"/>
          </w:cols>
          <w:pgMar w:left="460" w:top="216" w:right="359" w:bottom="1440" w:gutter="0" w:footer="0" w:header="0"/>
          <w:type w:val="continuous"/>
        </w:sectPr>
      </w:pP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77056</w:t>
            </w:r>
          </w:p>
        </w:tc>
      </w:tr>
      <w:tr>
        <w:trPr>
          <w:trHeight w:val="147"/>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01/18/2023</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3,539</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00" w:type="dxa"/>
            <w:vAlign w:val="bottom"/>
            <w:tcBorders>
              <w:bottom w:val="single" w:sz="8" w:color="2C2C2C"/>
            </w:tcBorders>
          </w:tcPr>
          <w:p>
            <w:pPr>
              <w:jc w:val="center"/>
              <w:ind w:righ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20,610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01/18/2023</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(2)</w:t>
            </w:r>
          </w:p>
        </w:tc>
        <w:tc>
          <w:tcPr>
            <w:tcW w:w="660" w:type="dxa"/>
            <w:vAlign w:val="bottom"/>
            <w:tcBorders>
              <w:bottom w:val="single" w:sz="8" w:color="2C2C2C"/>
            </w:tcBorders>
          </w:tcPr>
          <w:p>
            <w:pPr>
              <w:jc w:val="right"/>
              <w:ind w:right="59"/>
              <w:spacing w:after="0"/>
              <w:rPr>
                <w:sz w:val="20"/>
                <w:szCs w:val="20"/>
                <w:color w:val="auto"/>
              </w:rPr>
            </w:pPr>
            <w:r>
              <w:rPr>
                <w:rFonts w:ascii="Times New Roman" w:cs="Times New Roman" w:eastAsia="Times New Roman" w:hAnsi="Times New Roman"/>
                <w:sz w:val="17"/>
                <w:szCs w:val="17"/>
                <w:color w:val="0000FF"/>
              </w:rPr>
              <w:t>998</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53.59</w:t>
            </w:r>
          </w:p>
        </w:tc>
        <w:tc>
          <w:tcPr>
            <w:tcW w:w="126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19,612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13"/>
          </w:tcPr>
          <w:p>
            <w:pPr>
              <w:jc w:val="right"/>
              <w:ind w:right="16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7. Title and</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Amount of</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01/18/2023</w:t>
            </w:r>
          </w:p>
        </w:tc>
        <w:tc>
          <w:tcPr>
            <w:tcW w:w="1080" w:type="dxa"/>
            <w:vAlign w:val="bottom"/>
          </w:tcPr>
          <w:p>
            <w:pPr>
              <w:spacing w:after="0"/>
              <w:rPr>
                <w:sz w:val="15"/>
                <w:szCs w:val="15"/>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3,539</w:t>
            </w: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3,539</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w w:val="95"/>
              </w:rPr>
              <w:t>7,076</w:t>
            </w:r>
          </w:p>
        </w:tc>
        <w:tc>
          <w:tcPr>
            <w:tcW w:w="28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01/18/2023</w:t>
            </w:r>
          </w:p>
        </w:tc>
        <w:tc>
          <w:tcPr>
            <w:tcW w:w="108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5"/>
                <w:szCs w:val="15"/>
                <w:color w:val="auto"/>
              </w:rPr>
            </w:pPr>
          </w:p>
        </w:tc>
        <w:tc>
          <w:tcPr>
            <w:tcW w:w="4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4,891</w:t>
            </w:r>
          </w:p>
        </w:tc>
        <w:tc>
          <w:tcPr>
            <w:tcW w:w="46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4,891</w:t>
            </w:r>
          </w:p>
        </w:tc>
        <w:tc>
          <w:tcPr>
            <w:tcW w:w="6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3"/>
              </w:rPr>
              <w:t>(3)</w:t>
            </w: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w w:val="95"/>
              </w:rPr>
              <w:t>4,891</w:t>
            </w:r>
          </w:p>
        </w:tc>
        <w:tc>
          <w:tcPr>
            <w:tcW w:w="28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2023 Annual</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7,337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continue"/>
          </w:tcPr>
          <w:p>
            <w:pPr>
              <w:spacing w:after="0"/>
              <w:rPr>
                <w:sz w:val="5"/>
                <w:szCs w:val="5"/>
                <w:color w:val="auto"/>
              </w:rPr>
            </w:pPr>
          </w:p>
        </w:tc>
        <w:tc>
          <w:tcPr>
            <w:tcW w:w="10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01/18/2023</w:t>
            </w:r>
          </w:p>
        </w:tc>
        <w:tc>
          <w:tcPr>
            <w:tcW w:w="1080" w:type="dxa"/>
            <w:vAlign w:val="bottom"/>
          </w:tcPr>
          <w:p>
            <w:pPr>
              <w:spacing w:after="0"/>
              <w:rPr>
                <w:sz w:val="5"/>
                <w:szCs w:val="5"/>
                <w:color w:val="auto"/>
              </w:rPr>
            </w:pPr>
          </w:p>
        </w:tc>
        <w:tc>
          <w:tcPr>
            <w:tcW w:w="62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5"/>
                <w:szCs w:val="5"/>
                <w:color w:val="auto"/>
              </w:rPr>
            </w:pPr>
          </w:p>
        </w:tc>
        <w:tc>
          <w:tcPr>
            <w:tcW w:w="44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7,337</w:t>
            </w:r>
          </w:p>
        </w:tc>
        <w:tc>
          <w:tcPr>
            <w:tcW w:w="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80"/>
              <w:spacing w:after="0" w:line="141" w:lineRule="exact"/>
              <w:rPr>
                <w:sz w:val="20"/>
                <w:szCs w:val="20"/>
                <w:color w:val="auto"/>
              </w:rPr>
            </w:pPr>
            <w:r>
              <w:rPr>
                <w:rFonts w:ascii="Times New Roman" w:cs="Times New Roman" w:eastAsia="Times New Roman" w:hAnsi="Times New Roman"/>
                <w:sz w:val="13"/>
                <w:szCs w:val="13"/>
                <w:color w:val="0000FF"/>
                <w:w w:val="95"/>
              </w:rPr>
              <w:t>7,337</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-2343150</wp:posOffset>
            </wp:positionV>
            <wp:extent cx="28575" cy="2348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3488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16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the first installment of restricted share units ("RSUs") granted on January 18, 2022 pursuant to Issuer's 2019 Equity Incentive Plan, as amended and restated (the "2019 EIP"). The RSUs vest in three equal installments over the three-year period from the date of grant.</w:t>
      </w:r>
    </w:p>
    <w:p>
      <w:pPr>
        <w:spacing w:after="0" w:line="20" w:lineRule="exact"/>
        <w:rPr>
          <w:rFonts w:ascii="Times New Roman" w:cs="Times New Roman" w:eastAsia="Times New Roman" w:hAnsi="Times New Roman"/>
          <w:sz w:val="13"/>
          <w:szCs w:val="13"/>
          <w:color w:val="008000"/>
        </w:rPr>
      </w:pPr>
    </w:p>
    <w:p>
      <w:pPr>
        <w:ind w:left="40" w:right="26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performance share units to satisfy the reporting person's tax withholding obligations upon vesting, pursuant to the award agreement and the 2019 EIP under which the award was granted.</w:t>
      </w:r>
    </w:p>
    <w:p>
      <w:pPr>
        <w:spacing w:after="0" w:line="20" w:lineRule="exact"/>
        <w:rPr>
          <w:rFonts w:ascii="Times New Roman" w:cs="Times New Roman" w:eastAsia="Times New Roman" w:hAnsi="Times New Roman"/>
          <w:sz w:val="13"/>
          <w:szCs w:val="13"/>
          <w:color w:val="008000"/>
        </w:rPr>
      </w:pPr>
    </w:p>
    <w:p>
      <w:pPr>
        <w:ind w:left="40" w:right="68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("RSUs") granted on January 18, 2023 pursuant to the Issuer's Third Amended and Restated 2019 Equity Incentive Plan (the "2019 EIP"). The RSUs vest in three equal installments annually over the three-year period from the date of grant.</w:t>
      </w:r>
    </w:p>
    <w:p>
      <w:pPr>
        <w:spacing w:after="0" w:line="20" w:lineRule="exact"/>
        <w:rPr>
          <w:rFonts w:ascii="Times New Roman" w:cs="Times New Roman" w:eastAsia="Times New Roman" w:hAnsi="Times New Roman"/>
          <w:sz w:val="13"/>
          <w:szCs w:val="13"/>
          <w:color w:val="008000"/>
        </w:rPr>
      </w:pPr>
    </w:p>
    <w:p>
      <w:pPr>
        <w:jc w:val="both"/>
        <w:ind w:left="40" w:right="30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January 18, 2023 under 2019 EIP. The number of PSUs reported is the target award and may be subject to a payout ranging from 0% to 200% of target award depending on the actual achievement of the performance goals at the end of the performance period. The PSUs vest based on actual performance at the end of the performance period, which is the Issuer's three fiscal years beginning on January 1, 2023 and ending December 31, 2025.</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Jonathan B. Wolens by Power</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01/20/2023</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of Attorney</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584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2023-01-20T20:46:21Z</dcterms:created>
  <dcterms:modified xsi:type="dcterms:W3CDTF">2023-01-20T20:46:21Z</dcterms:modified>
</cp:coreProperties>
</file>