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508000</wp:posOffset>
            </wp:positionH>
            <wp:positionV relativeFrom="page">
              <wp:posOffset>723265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23, 2024</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54" w:lineRule="exact"/>
        <w:rPr>
          <w:sz w:val="24"/>
          <w:szCs w:val="24"/>
          <w:color w:val="auto"/>
        </w:rPr>
      </w:pPr>
    </w:p>
    <w:tbl>
      <w:tblPr>
        <w:tblLayout w:type="fixed"/>
        <w:tblInd w:w="160" w:type="dxa"/>
        <w:tblCellMar>
          <w:top w:w="0" w:type="dxa"/>
          <w:left w:w="0" w:type="dxa"/>
          <w:bottom w:w="0" w:type="dxa"/>
          <w:right w:w="0" w:type="dxa"/>
        </w:tblCellMar>
      </w:tblPr>
      <w:tr>
        <w:trPr>
          <w:trHeight w:val="233"/>
        </w:trPr>
        <w:tc>
          <w:tcPr>
            <w:tcW w:w="800" w:type="dxa"/>
            <w:vAlign w:val="bottom"/>
          </w:tcPr>
          <w:p>
            <w:pPr>
              <w:spacing w:after="0"/>
              <w:rPr>
                <w:sz w:val="20"/>
                <w:szCs w:val="20"/>
                <w:color w:val="auto"/>
              </w:rPr>
            </w:pPr>
          </w:p>
        </w:tc>
        <w:tc>
          <w:tcPr>
            <w:tcW w:w="6820" w:type="dxa"/>
            <w:vAlign w:val="bottom"/>
            <w:gridSpan w:val="2"/>
          </w:tcPr>
          <w:p>
            <w:pPr>
              <w:jc w:val="center"/>
              <w:ind w:left="24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25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8"/>
        </w:trPr>
        <w:tc>
          <w:tcPr>
            <w:tcW w:w="8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338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2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98-0606750</w:t>
            </w:r>
          </w:p>
        </w:tc>
        <w:tc>
          <w:tcPr>
            <w:tcW w:w="820" w:type="dxa"/>
            <w:vAlign w:val="bottom"/>
            <w:tcBorders>
              <w:bottom w:val="single" w:sz="8" w:color="auto"/>
            </w:tcBorders>
          </w:tcPr>
          <w:p>
            <w:pPr>
              <w:spacing w:after="0"/>
              <w:rPr>
                <w:sz w:val="20"/>
                <w:szCs w:val="20"/>
                <w:color w:val="auto"/>
              </w:rPr>
            </w:pPr>
          </w:p>
        </w:tc>
      </w:tr>
      <w:tr>
        <w:trPr>
          <w:trHeight w:val="228"/>
        </w:trPr>
        <w:tc>
          <w:tcPr>
            <w:tcW w:w="4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8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46"/>
        </w:trPr>
        <w:tc>
          <w:tcPr>
            <w:tcW w:w="800" w:type="dxa"/>
            <w:vAlign w:val="bottom"/>
          </w:tcPr>
          <w:p>
            <w:pPr>
              <w:spacing w:after="0"/>
              <w:rPr>
                <w:sz w:val="24"/>
                <w:szCs w:val="24"/>
                <w:color w:val="auto"/>
              </w:rPr>
            </w:pPr>
          </w:p>
        </w:tc>
        <w:tc>
          <w:tcPr>
            <w:tcW w:w="34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2000 St. James Place ,  Houston,</w:t>
            </w:r>
          </w:p>
        </w:tc>
        <w:tc>
          <w:tcPr>
            <w:tcW w:w="33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2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77056</w:t>
            </w:r>
          </w:p>
        </w:tc>
        <w:tc>
          <w:tcPr>
            <w:tcW w:w="820" w:type="dxa"/>
            <w:vAlign w:val="bottom"/>
          </w:tcPr>
          <w:p>
            <w:pPr>
              <w:spacing w:after="0"/>
              <w:rPr>
                <w:sz w:val="24"/>
                <w:szCs w:val="24"/>
                <w:color w:val="auto"/>
              </w:rPr>
            </w:pPr>
          </w:p>
        </w:tc>
      </w:tr>
      <w:tr>
        <w:trPr>
          <w:trHeight w:val="228"/>
        </w:trPr>
        <w:tc>
          <w:tcPr>
            <w:tcW w:w="800" w:type="dxa"/>
            <w:vAlign w:val="bottom"/>
          </w:tcPr>
          <w:p>
            <w:pPr>
              <w:spacing w:after="0"/>
              <w:rPr>
                <w:sz w:val="19"/>
                <w:szCs w:val="19"/>
                <w:color w:val="auto"/>
              </w:rPr>
            </w:pPr>
          </w:p>
        </w:tc>
        <w:tc>
          <w:tcPr>
            <w:tcW w:w="68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50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rPr>
              <w:t>(Zip Code)</w:t>
            </w:r>
          </w:p>
        </w:tc>
        <w:tc>
          <w:tcPr>
            <w:tcW w:w="820" w:type="dxa"/>
            <w:vAlign w:val="bottom"/>
          </w:tcPr>
          <w:p>
            <w:pPr>
              <w:spacing w:after="0"/>
              <w:rPr>
                <w:sz w:val="19"/>
                <w:szCs w:val="19"/>
                <w:color w:val="auto"/>
              </w:rPr>
            </w:pP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3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467995</wp:posOffset>
            </wp:positionH>
            <wp:positionV relativeFrom="paragraph">
              <wp:posOffset>19685</wp:posOffset>
            </wp:positionV>
            <wp:extent cx="6197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97600" cy="825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04"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338"/>
        </w:trPr>
        <w:tc>
          <w:tcPr>
            <w:tcW w:w="80" w:type="dxa"/>
            <w:vAlign w:val="bottom"/>
          </w:tcPr>
          <w:p>
            <w:pPr>
              <w:spacing w:after="0"/>
              <w:rPr>
                <w:sz w:val="24"/>
                <w:szCs w:val="24"/>
                <w:color w:val="auto"/>
              </w:rPr>
            </w:pPr>
          </w:p>
        </w:tc>
        <w:tc>
          <w:tcPr>
            <w:tcW w:w="4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40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16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3" w:right="399" w:bottom="1440" w:gutter="0" w:footer="0" w:header="0"/>
        </w:sectPr>
      </w:pPr>
    </w:p>
    <w:bookmarkStart w:id="1" w:name="page2"/>
    <w:bookmarkEnd w:id="1"/>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35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July 23, 2024, Weatherford International plc (“Weatherford” and together with its subsidiaries, “we” or the “Company”) issued a news release announcing results for the second quarter ended June 30, 2024. A copy of the news release is furnished as Exhibit 99.1 and incorporated into this Item 2.02.</w:t>
      </w:r>
    </w:p>
    <w:p>
      <w:pPr>
        <w:spacing w:after="0" w:line="2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Weatherford will host a conference call on Wednesday, July 24, 2024, to discuss the Company’s results for the second quarter ended June 30, 2024.</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begin at 9:00 a.m. Eastern Time (8:00 a.m. Central Time).</w:t>
      </w:r>
    </w:p>
    <w:p>
      <w:pPr>
        <w:spacing w:after="0" w:line="23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Listeners are encouraged to download the accompanying presentation slides which will be available in the investor relations section of the Company’s website.</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19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 telephonic replay of the conference call will be available until August 7, 2024, at 5:00 p.m. Eastern Time. To access the replay, please dial +1 877-344-7529 (within the U.S.) or +1 412-317-0088 (outside of the U.S.) and reference conference number 1382600. A replay and transcript of the earnings call will also be available in the investor relations section of the Company’s website</w:t>
      </w:r>
    </w:p>
    <w:p>
      <w:pPr>
        <w:sectPr>
          <w:pgSz w:w="11900" w:h="16838" w:orient="portrait"/>
          <w:cols w:equalWidth="0" w:num="1">
            <w:col w:w="11240"/>
          </w:cols>
          <w:pgMar w:left="320" w:top="927" w:right="339" w:bottom="1440" w:gutter="0" w:footer="0" w:header="0"/>
        </w:sect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620"/>
        <w:spacing w:after="0" w:line="255"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1080" w:space="720"/>
            <w:col w:w="9440"/>
          </w:cols>
          <w:pgMar w:left="320" w:top="927" w:right="339" w:bottom="1440" w:gutter="0" w:footer="0" w:header="0"/>
          <w:type w:val="continuous"/>
        </w:sectPr>
      </w:pPr>
    </w:p>
    <w:p>
      <w:pPr>
        <w:spacing w:after="0" w:line="93" w:lineRule="exact"/>
        <w:rPr>
          <w:sz w:val="20"/>
          <w:szCs w:val="20"/>
          <w:color w:val="auto"/>
        </w:rPr>
      </w:pPr>
    </w:p>
    <w:p>
      <w:pPr>
        <w:ind w:right="460" w:firstLine="486"/>
        <w:spacing w:after="0" w:line="245" w:lineRule="auto"/>
        <w:rPr>
          <w:sz w:val="20"/>
          <w:szCs w:val="20"/>
          <w:color w:val="auto"/>
        </w:rPr>
      </w:pPr>
      <w:r>
        <w:rPr>
          <w:rFonts w:ascii="Times New Roman" w:cs="Times New Roman" w:eastAsia="Times New Roman" w:hAnsi="Times New Roman"/>
          <w:sz w:val="18"/>
          <w:szCs w:val="18"/>
          <w:color w:val="auto"/>
        </w:rPr>
        <w:t>On July 23, 2024, the Board increased the size of the Board to six directors and appointed Steven Beringhause to fill the resulting vacancy. Mr. Beringhause will serve a term expiring at the Company’s 2025 annual meeting of shareholders or upon his earlier death, disability, resignation, disqualification, or removal. Mr. Beringhause was appointed to the Compensation and Human Resources and Safety, Environment and Sustainability Committees of the Board.</w:t>
      </w:r>
    </w:p>
    <w:p>
      <w:pPr>
        <w:spacing w:after="0" w:line="208" w:lineRule="exact"/>
        <w:rPr>
          <w:sz w:val="20"/>
          <w:szCs w:val="20"/>
          <w:color w:val="auto"/>
        </w:rPr>
      </w:pPr>
    </w:p>
    <w:p>
      <w:pPr>
        <w:ind w:right="240" w:firstLine="486"/>
        <w:spacing w:after="0"/>
        <w:rPr>
          <w:sz w:val="20"/>
          <w:szCs w:val="20"/>
          <w:color w:val="auto"/>
        </w:rPr>
      </w:pPr>
      <w:r>
        <w:rPr>
          <w:rFonts w:ascii="Times New Roman" w:cs="Times New Roman" w:eastAsia="Times New Roman" w:hAnsi="Times New Roman"/>
          <w:sz w:val="18"/>
          <w:szCs w:val="18"/>
          <w:color w:val="auto"/>
        </w:rPr>
        <w:t>Mr. Beringhause will receive the same compensation as other non-employee directors of the Company as described in the Company’s 2024 Proxy Statement under “Director Compensation,” prorated for the portion of the year that he will serve. Mr. Beringhause and the Company entered into the Company’s standard director indemnification arrangement, whereby the Company agrees to indemnify, defend and hold its directors harmless from and against losses and expenses incurred as a result of their board service, subject to the terms and conditions provided in the arrangement.</w:t>
      </w:r>
    </w:p>
    <w:p>
      <w:pPr>
        <w:spacing w:after="0" w:line="262" w:lineRule="exact"/>
        <w:rPr>
          <w:sz w:val="20"/>
          <w:szCs w:val="20"/>
          <w:color w:val="auto"/>
        </w:rPr>
      </w:pPr>
    </w:p>
    <w:p>
      <w:pPr>
        <w:ind w:left="180"/>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35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July 23, 2024, Weatherford announced that the Board has declared a cash dividend of $0.25 per share on the Company’s ordinary shares, par value $0.001 per share, payable on September 12, 2024 to shareholders of record as of August 13, 2024 (the “Dividend”).</w:t>
      </w:r>
    </w:p>
    <w:p>
      <w:pPr>
        <w:spacing w:after="0" w:line="203"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Weatherford also announced that the Board has authorized a dividend program under which Weatherford intends to pay regular quarterly cash dividends. Subsequent dividend declarations and the record and payment dates for future dividend payments, if any, are subject to the Board’s continuing determination that the dividend program is in the best interest of the Company and complies with applicable legal requirements. The dividend program may be suspended or cancelled at the discretion of the Board at any time.</w:t>
      </w:r>
    </w:p>
    <w:p>
      <w:pPr>
        <w:spacing w:after="0" w:line="204"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Also on July 23, 2024, Weatherford announced that the Board has approved a share repurchase program (the “Program”) of up to $500 million through June 2027. The timing, manner, number, and value of shares repurchased, if any, will depend on a number of factors, including but not limited to the market price of the Company’s ordinary shares, market and economic conditions, applicable contractual, legal, regulatory or other requirements and other business considerations.</w:t>
      </w:r>
    </w:p>
    <w:p>
      <w:pPr>
        <w:spacing w:after="0" w:line="204"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Dividend and the Program is attached as Exhibit 99.1 to this Form 8-K and portions related to the Dividend and the Program are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821690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43" w:lineRule="exact"/>
        <w:rPr>
          <w:sz w:val="20"/>
          <w:szCs w:val="20"/>
          <w:color w:val="auto"/>
        </w:rPr>
      </w:pPr>
    </w:p>
    <w:p>
      <w:pPr>
        <w:jc w:val="both"/>
        <w:ind w:firstLine="486"/>
        <w:spacing w:after="0" w:line="24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All statements, other than statements of historical fact included in this Current Report on Form 8-K, concerning, among other things, the Company’s intent or ability to pay dividends or make share repurchases in the future are forward-looking statements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w:t>
      </w:r>
    </w:p>
    <w:p>
      <w:pPr>
        <w:spacing w:after="0" w:line="20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risks and uncertainties are more fully described in Weatherford’s reports and registration statements filed with the Securities and Exchange Commission, including the risk factors described in Weatherford’s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47" w:lineRule="exact"/>
        <w:rPr>
          <w:sz w:val="20"/>
          <w:szCs w:val="20"/>
          <w:color w:val="auto"/>
        </w:rPr>
      </w:pPr>
    </w:p>
    <w:p>
      <w:pPr>
        <w:ind w:left="180"/>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97" w:lineRule="exact"/>
        <w:rPr>
          <w:sz w:val="20"/>
          <w:szCs w:val="20"/>
          <w:color w:val="auto"/>
        </w:rPr>
      </w:pPr>
    </w:p>
    <w:p>
      <w:pPr>
        <w:ind w:left="1660" w:hanging="913"/>
        <w:spacing w:after="0"/>
        <w:tabs>
          <w:tab w:leader="none" w:pos="1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tcPr>
          <w:p>
            <w:pPr>
              <w:spacing w:after="0"/>
              <w:rPr>
                <w:sz w:val="20"/>
                <w:szCs w:val="20"/>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r>
      <w:tr>
        <w:trPr>
          <w:trHeight w:val="182"/>
        </w:trPr>
        <w:tc>
          <w:tcPr>
            <w:tcW w:w="1520" w:type="dxa"/>
            <w:vAlign w:val="bottom"/>
            <w:tcBorders>
              <w:top w:val="single" w:sz="8" w:color="auto"/>
            </w:tcBorders>
          </w:tcPr>
          <w:p>
            <w:pPr>
              <w:jc w:val="right"/>
              <w:ind w:right="510"/>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60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News Release dated July 23, 2024 announcing results for the second quarter ended June 30, 2024</w:t>
            </w:r>
            <w:r>
              <w:rPr>
                <w:rFonts w:ascii="Times New Roman" w:cs="Times New Roman" w:eastAsia="Times New Roman" w:hAnsi="Times New Roman"/>
                <w:sz w:val="18"/>
                <w:szCs w:val="18"/>
                <w:color w:val="000000"/>
              </w:rPr>
              <w:t>.</w:t>
            </w:r>
          </w:p>
        </w:tc>
      </w:tr>
      <w:tr>
        <w:trPr>
          <w:trHeight w:val="20"/>
        </w:trPr>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2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r>
      <w:tr>
        <w:trPr>
          <w:trHeight w:val="250"/>
        </w:trPr>
        <w:tc>
          <w:tcPr>
            <w:tcW w:w="15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965"/>
        </w:trPr>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Date: July 23, 2024</w:t>
      </w:r>
    </w:p>
    <w:p>
      <w:pPr>
        <w:spacing w:after="0" w:line="2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 Arunava Mitra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257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1"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8"/>
          <w:szCs w:val="18"/>
          <w:color w:val="auto"/>
        </w:rPr>
        <w:t>Arunava Mitra</w:t>
      </w:r>
    </w:p>
    <w:p>
      <w:pPr>
        <w:spacing w:after="0" w:line="2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00"/>
          </w:cols>
          <w:pgMar w:left="320" w:top="887"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62865</wp:posOffset>
            </wp:positionV>
            <wp:extent cx="1903095" cy="7886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0309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0140"/>
        <w:spacing w:after="0"/>
        <w:rPr>
          <w:sz w:val="20"/>
          <w:szCs w:val="20"/>
          <w:color w:val="auto"/>
        </w:rPr>
      </w:pPr>
      <w:r>
        <w:rPr>
          <w:rFonts w:ascii="Times New Roman" w:cs="Times New Roman" w:eastAsia="Times New Roman" w:hAnsi="Times New Roman"/>
          <w:sz w:val="18"/>
          <w:szCs w:val="18"/>
          <w:b w:val="1"/>
          <w:bCs w:val="1"/>
          <w:color w:val="auto"/>
        </w:rPr>
        <w:t>News Release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Weatherford Announces Second Quarter 2024 Results 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Shareholder Return Program</w:t>
      </w:r>
    </w:p>
    <w:p>
      <w:pPr>
        <w:spacing w:after="0" w:line="287" w:lineRule="exact"/>
        <w:rPr>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Revenues of $1,405 million increased 3.5% sequentially and 10% year-over-year, driven by international revenue growth of 6% sequentially and 14% year-over-year</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of $264 million increased 13% sequentially and 31% year-over-year</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of $125 million increased 12% sequentially and 52% year-over-year; net income margin of 8.9%</w:t>
      </w:r>
    </w:p>
    <w:p>
      <w:pPr>
        <w:spacing w:after="0" w:line="107"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of $365 million increased 9% sequentially and 25% year-over-year; adjusted EBITDA margin* of 26.0% increased by 124 basis points sequentially and by 314 basis points year-over-year</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provided by operating activities of $150 million; adjusted free cash flow* of $96 million</w:t>
      </w:r>
    </w:p>
    <w:p>
      <w:pPr>
        <w:spacing w:after="0" w:line="121" w:lineRule="exact"/>
        <w:rPr>
          <w:rFonts w:ascii="Times New Roman" w:cs="Times New Roman" w:eastAsia="Times New Roman" w:hAnsi="Times New Roman"/>
          <w:sz w:val="20"/>
          <w:szCs w:val="20"/>
          <w:color w:val="auto"/>
        </w:rPr>
      </w:pPr>
    </w:p>
    <w:p>
      <w:pPr>
        <w:ind w:left="660" w:hanging="328"/>
        <w:spacing w:after="0" w:line="359"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Introduced the Company’s first-ever shareholder return program with an annual dividend of $1 per share and authorized a three-year share repurchase program of $500 million</w:t>
      </w: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Initiating a regular quarterly cash dividend of $0.25 per share of ordinary shares, starting in September 2024</w:t>
      </w:r>
    </w:p>
    <w:p>
      <w:pPr>
        <w:spacing w:after="0" w:line="107"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 redeemed our 6.5% Senior Secured Notes; net leverage* at 0.5x, long-term debt at $1.6 billion</w:t>
      </w:r>
    </w:p>
    <w:p>
      <w:pPr>
        <w:spacing w:after="0" w:line="121"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Expanded the size of our Credit Facility to $720 million</w:t>
      </w:r>
    </w:p>
    <w:p>
      <w:pPr>
        <w:spacing w:after="0" w:line="107" w:lineRule="exact"/>
        <w:rPr>
          <w:rFonts w:ascii="Times New Roman" w:cs="Times New Roman" w:eastAsia="Times New Roman" w:hAnsi="Times New Roman"/>
          <w:sz w:val="20"/>
          <w:szCs w:val="20"/>
          <w:color w:val="auto"/>
        </w:rPr>
      </w:pPr>
    </w:p>
    <w:p>
      <w:pPr>
        <w:ind w:left="660" w:hanging="328"/>
        <w:spacing w:after="0" w:line="335"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Launched ForeSite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EDGE 2.0, our next-generation scalable IoT-enabled automation solution enhancing customers' advanced autonomous production optimization in real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ectPr>
          <w:pgSz w:w="11900" w:h="16838" w:orient="portrait"/>
          <w:cols w:equalWidth="0" w:num="1">
            <w:col w:w="11240"/>
          </w:cols>
          <w:pgMar w:left="320" w:top="1049" w:right="339" w:bottom="1440" w:gutter="0" w:footer="0" w:header="0"/>
        </w:sectPr>
      </w:pPr>
    </w:p>
    <w:bookmarkStart w:id="5" w:name="page6"/>
    <w:bookmarkEnd w:id="5"/>
    <w:p>
      <w:pPr>
        <w:ind w:right="60"/>
        <w:spacing w:after="0" w:line="400" w:lineRule="auto"/>
        <w:rPr>
          <w:sz w:val="20"/>
          <w:szCs w:val="20"/>
          <w:color w:val="auto"/>
        </w:rPr>
      </w:pPr>
      <w:r>
        <w:rPr>
          <w:rFonts w:ascii="Times New Roman" w:cs="Times New Roman" w:eastAsia="Times New Roman" w:hAnsi="Times New Roman"/>
          <w:sz w:val="20"/>
          <w:szCs w:val="20"/>
          <w:b w:val="1"/>
          <w:bCs w:val="1"/>
          <w:color w:val="auto"/>
        </w:rPr>
        <w:t xml:space="preserve">Houston, July 23, 2024 – </w:t>
      </w:r>
      <w:r>
        <w:rPr>
          <w:rFonts w:ascii="Times New Roman" w:cs="Times New Roman" w:eastAsia="Times New Roman" w:hAnsi="Times New Roman"/>
          <w:sz w:val="20"/>
          <w:szCs w:val="20"/>
          <w:color w:val="auto"/>
        </w:rPr>
        <w:t>Weatherford International plc (NASDAQ: WFRD) (“Weatherford” or the “Company”) announced today its results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second quarter of 2024.</w:t>
      </w:r>
    </w:p>
    <w:p>
      <w:pPr>
        <w:spacing w:after="0" w:line="88"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Revenues for the second quarter of 2024 were $1,405 million, an increase of 3.5% sequentially and an increase of 10% year-over-year. Operating income was $264 million in the second quarter of 2024, compared to $233 million in the first quarter of 2024 and $201 million in the second quarter of 2023. Net income in the second quarter of 2024 was $125 million, an 8.9% margin, an increase of 12% or 65 basis points sequentially, and an increase of 52% or 246 basis points year-over-year. Adjusted EBITDA* was $365 million, a 26.0% margin, an increase of 9% or 124 basis points sequentially, and an increase of 25% or 314 basis points year-over-year. Diluted income per share was $1.66 compared to $1.50 in the first quarter of 2024 and $1.12 in the second quarter of 2023.</w:t>
      </w:r>
    </w:p>
    <w:p>
      <w:pPr>
        <w:spacing w:after="0" w:line="123"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2024 cash flows provided by operating activities were $150 million, compared to $131 million in the first quarter of 2024 and $201 million in the second quarter of 2023. Adjusted free cash flow* was $96 million, an increase of $14 million sequentially and a decrease of $76 million year-over-year. Capital expenditures were $62 million in the second quarter of 2024, compared to $59 million in the first quarter of 2024 and $36 million in the second quarter of 2023.</w:t>
      </w:r>
    </w:p>
    <w:p>
      <w:pPr>
        <w:spacing w:after="0" w:line="117" w:lineRule="exact"/>
        <w:rPr>
          <w:sz w:val="20"/>
          <w:szCs w:val="20"/>
          <w:color w:val="auto"/>
        </w:rPr>
      </w:pPr>
    </w:p>
    <w:p>
      <w:pPr>
        <w:jc w:val="both"/>
        <w:spacing w:after="0" w:line="362" w:lineRule="auto"/>
        <w:rPr>
          <w:sz w:val="20"/>
          <w:szCs w:val="20"/>
          <w:color w:val="auto"/>
        </w:rPr>
      </w:pPr>
      <w:r>
        <w:rPr>
          <w:rFonts w:ascii="Times New Roman" w:cs="Times New Roman" w:eastAsia="Times New Roman" w:hAnsi="Times New Roman"/>
          <w:sz w:val="20"/>
          <w:szCs w:val="20"/>
          <w:color w:val="auto"/>
        </w:rPr>
        <w:t>Girish Saligram, President and Chief Executive Officer, commented, “The One Weatherford team once again delivered excellent results on margins and adjusted free cash flow. Beyond the usual seasonal effects, we faced some revenue headwinds driven by weather events, social unrest leading to reduced activity in Colombia, and timing shifts in activity in some regions. However, the strong margin performance demonstrates the operating intensity, portfolio differentiation and continued growth runway that we have in place. The second half of the year is poised to deliver mid-single digits sequential revenue growth over the first half, with total year adjusted EBITDA margins expected to be slightly north of 25%. Second half adjusted free cash flow is expected to be materially higher than the first, reaffirming our expectation of adjusted free cash flow of over $500 million for the year. These expectations are reflective of the continued strength in international and offshore activity, spearheaded by the Middle East/North Africa/Asia region, which demonstrated 9% sequential and 29% year-over-year growth in the second quarter.</w:t>
      </w:r>
    </w:p>
    <w:p>
      <w:pPr>
        <w:spacing w:after="0" w:line="226"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20"/>
          <w:szCs w:val="20"/>
          <w:color w:val="auto"/>
        </w:rPr>
        <w:t>Based on the Company’s operating performance over the past few years and with the confidence we have in our future, I am pleased to announce that our Board of Directors has approved the first-ever shareholder return program in Weatherford’s history. This is another significant milestone in our journey of creating shareholder value and comprises an annual dividend of $1.00 per share and a $500 million share buyback authorization program over three years. Our Board of Directors has declared our first quarterly dividend of $0.25 per share to be paid on September 12, 2024, to shareholders of record on August 13, 2024. Few would have predicted this scenario just a couple of years ago, but it is a testament to the dedication, commitment and passion of our 19,000 people across 75 countries and my utmost gratitude goes out to them for their relentless focus and execution.”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04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5"/>
          <w:szCs w:val="25"/>
          <w:b w:val="1"/>
          <w:bCs w:val="1"/>
          <w:u w:val="single" w:color="auto"/>
          <w:color w:val="auto"/>
        </w:rPr>
        <w:t>Operational Highlights</w:t>
      </w:r>
    </w:p>
    <w:p>
      <w:pPr>
        <w:spacing w:after="0" w:line="137" w:lineRule="exact"/>
        <w:rPr>
          <w:sz w:val="20"/>
          <w:szCs w:val="20"/>
          <w:color w:val="auto"/>
        </w:rPr>
      </w:pPr>
    </w:p>
    <w:p>
      <w:pPr>
        <w:ind w:left="340" w:hanging="332"/>
        <w:spacing w:after="0" w:line="39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Bapco Upstream, a subsidiary of Bapco Energies, awarded Weatherford a five-year contract to deliver Directional Drilling and Logging While Drilling Services in Bahrain.</w:t>
      </w:r>
    </w:p>
    <w:p>
      <w:pPr>
        <w:spacing w:after="0" w:line="12"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Equinor awarded Weatherford a two-year frame agreement extension for delivery of Completions, Liner-Hangers, and Slot-Recovery</w:t>
      </w:r>
    </w:p>
    <w:p>
      <w:pPr>
        <w:spacing w:after="0" w:line="121" w:lineRule="exact"/>
        <w:rPr>
          <w:rFonts w:ascii="Times New Roman" w:cs="Times New Roman" w:eastAsia="Times New Roman" w:hAnsi="Times New Roman"/>
          <w:sz w:val="20"/>
          <w:szCs w:val="20"/>
          <w:color w:val="auto"/>
        </w:rPr>
      </w:pPr>
    </w:p>
    <w:p>
      <w:pPr>
        <w:ind w:left="340"/>
        <w:spacing w:after="0" w:line="32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including the AlphaV</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next-generation whipstock system, and supported by Weatherford’s Accuview</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downhole monitoring solutions.</w:t>
      </w:r>
    </w:p>
    <w:p>
      <w:pPr>
        <w:spacing w:after="0" w:line="63" w:lineRule="exact"/>
        <w:rPr>
          <w:rFonts w:ascii="Times New Roman" w:cs="Times New Roman" w:eastAsia="Times New Roman" w:hAnsi="Times New Roman"/>
          <w:sz w:val="20"/>
          <w:szCs w:val="20"/>
          <w:color w:val="auto"/>
        </w:rPr>
      </w:pPr>
    </w:p>
    <w:p>
      <w:pPr>
        <w:ind w:left="340" w:right="20" w:hanging="332"/>
        <w:spacing w:after="0" w:line="39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CPOC (Carigali-PTTEPI Operating Company) awarded Weatherford a three-year contract for Tubular Running Services for the offshore Phase 6 Development project in the Malaysia-Thailand Joint Development Area.</w:t>
      </w:r>
    </w:p>
    <w:p>
      <w:pPr>
        <w:spacing w:after="0" w:line="12" w:lineRule="exact"/>
        <w:rPr>
          <w:rFonts w:ascii="Times New Roman" w:cs="Times New Roman" w:eastAsia="Times New Roman" w:hAnsi="Times New Roman"/>
          <w:sz w:val="20"/>
          <w:szCs w:val="20"/>
          <w:color w:val="auto"/>
        </w:rPr>
      </w:pPr>
    </w:p>
    <w:p>
      <w:pPr>
        <w:ind w:left="340" w:hanging="332"/>
        <w:spacing w:after="0" w:line="39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ENI awarded Weatherford three multi-year contracts for Tubular Running Services for onshore, offshore, and Carbon Capture &amp; Storage projects across Europe.</w:t>
      </w:r>
    </w:p>
    <w:p>
      <w:pPr>
        <w:spacing w:after="0" w:line="12" w:lineRule="exact"/>
        <w:rPr>
          <w:rFonts w:ascii="Times New Roman" w:cs="Times New Roman" w:eastAsia="Times New Roman" w:hAnsi="Times New Roman"/>
          <w:sz w:val="20"/>
          <w:szCs w:val="20"/>
          <w:color w:val="auto"/>
        </w:rPr>
      </w:pPr>
    </w:p>
    <w:p>
      <w:pPr>
        <w:ind w:left="34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in Europe awarded Weatherford a two-year contract to provide Wireline Services for a multi-well campaign in offshore Norway.</w:t>
      </w:r>
    </w:p>
    <w:p>
      <w:pPr>
        <w:spacing w:after="0" w:line="25" w:lineRule="exact"/>
        <w:rPr>
          <w:rFonts w:ascii="Times New Roman" w:cs="Times New Roman" w:eastAsia="Times New Roman" w:hAnsi="Times New Roman"/>
          <w:sz w:val="20"/>
          <w:szCs w:val="20"/>
          <w:color w:val="auto"/>
        </w:rPr>
      </w:pPr>
    </w:p>
    <w:p>
      <w:pPr>
        <w:jc w:val="both"/>
        <w:ind w:left="340" w:right="2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OMV Petrom awarded Weatherford a contract for the supply of Open Hole Zonal Isolation Equipment and related services for the Neptun Deep subsea development in the Romanian Black Sea, representing the first deep water development in this area, aiming to tap into substantial natural gas reserves.</w:t>
      </w:r>
    </w:p>
    <w:p>
      <w:pPr>
        <w:spacing w:after="0" w:line="25" w:lineRule="exact"/>
        <w:rPr>
          <w:rFonts w:ascii="Times New Roman" w:cs="Times New Roman" w:eastAsia="Times New Roman" w:hAnsi="Times New Roman"/>
          <w:sz w:val="20"/>
          <w:szCs w:val="20"/>
          <w:color w:val="auto"/>
        </w:rPr>
      </w:pPr>
    </w:p>
    <w:p>
      <w:pPr>
        <w:ind w:left="340" w:hanging="332"/>
        <w:spacing w:after="0" w:line="381"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European energy infrastructure company awarded Weatherford a one-year contract to provide integrated Plug and Abandonment services for offshore wells on an Underground Gas Storage Project.</w:t>
      </w:r>
    </w:p>
    <w:p>
      <w:pPr>
        <w:spacing w:after="0" w:line="25" w:lineRule="exact"/>
        <w:rPr>
          <w:rFonts w:ascii="Times New Roman" w:cs="Times New Roman" w:eastAsia="Times New Roman" w:hAnsi="Times New Roman"/>
          <w:sz w:val="20"/>
          <w:szCs w:val="20"/>
          <w:color w:val="auto"/>
        </w:rPr>
      </w:pPr>
    </w:p>
    <w:p>
      <w:pPr>
        <w:ind w:left="340" w:hanging="332"/>
        <w:spacing w:after="0" w:line="395" w:lineRule="auto"/>
        <w:tabs>
          <w:tab w:leader="none" w:pos="32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 operator awarded Weatherford a three-year contract for Drilling and Intervention Services for an Underground Sludge Storage Project to support its copper mining operations.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Technology Highlights</w:t>
      </w:r>
    </w:p>
    <w:p>
      <w:pPr>
        <w:spacing w:after="0" w:line="218" w:lineRule="exact"/>
        <w:rPr>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Drilling &amp; Evaluation (“DRE”)</w:t>
      </w:r>
    </w:p>
    <w:p>
      <w:pPr>
        <w:spacing w:after="0" w:line="163" w:lineRule="exact"/>
        <w:rPr>
          <w:rFonts w:ascii="Times New Roman" w:cs="Times New Roman" w:eastAsia="Times New Roman" w:hAnsi="Times New Roman"/>
          <w:sz w:val="20"/>
          <w:szCs w:val="20"/>
          <w:color w:val="auto"/>
        </w:rPr>
      </w:pPr>
    </w:p>
    <w:p>
      <w:pPr>
        <w:ind w:left="980" w:right="20" w:hanging="324"/>
        <w:spacing w:after="0" w:line="333" w:lineRule="auto"/>
        <w:tabs>
          <w:tab w:leader="none" w:pos="101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deployed our Victus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Intelligent Managed Pressure Drilling (MPD) solution for offshore Saudi Aramco. The system provided precise dynamic testing, enabling faster drilling speeds and reducing drilling fluid losses.</w:t>
      </w:r>
    </w:p>
    <w:p>
      <w:pPr>
        <w:spacing w:after="0" w:line="35" w:lineRule="exact"/>
        <w:rPr>
          <w:rFonts w:ascii="Times New Roman" w:cs="Times New Roman" w:eastAsia="Times New Roman" w:hAnsi="Times New Roman"/>
          <w:sz w:val="20"/>
          <w:szCs w:val="20"/>
          <w:color w:val="auto"/>
        </w:rPr>
      </w:pPr>
    </w:p>
    <w:p>
      <w:pPr>
        <w:ind w:left="980" w:hanging="324"/>
        <w:spacing w:after="0" w:line="335"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Kuwait, we deployed the Victus</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20"/>
          <w:szCs w:val="20"/>
          <w:color w:val="auto"/>
        </w:rPr>
        <w:t xml:space="preserve"> Intelligent MPD system to drill a well and cement a liner for KOC’s deepest well drilled in that field with complex reservoir conditions, where conventional methods would not have been feasible.</w:t>
      </w:r>
    </w:p>
    <w:p>
      <w:pPr>
        <w:spacing w:after="0" w:line="20"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Well Construction and Completions (“WCC”)</w:t>
      </w:r>
    </w:p>
    <w:p>
      <w:pPr>
        <w:spacing w:after="0" w:line="175" w:lineRule="exact"/>
        <w:rPr>
          <w:rFonts w:ascii="Times New Roman" w:cs="Times New Roman" w:eastAsia="Times New Roman" w:hAnsi="Times New Roman"/>
          <w:sz w:val="20"/>
          <w:szCs w:val="20"/>
          <w:color w:val="auto"/>
        </w:rPr>
      </w:pPr>
    </w:p>
    <w:p>
      <w:pPr>
        <w:jc w:val="both"/>
        <w:ind w:left="980" w:hanging="324"/>
        <w:spacing w:after="0" w:line="374" w:lineRule="auto"/>
        <w:tabs>
          <w:tab w:leader="none" w:pos="969"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successfully deployed our enhanced Expandable Sand Screen (ESS) for a major operator in Sub-Sahara Africa. The enhanced ESS enables deployment, expansion, and tool retrieval in a single trip, eliminating the need for intermediate completion and saving cost by reducing the time and complexity of completion programs.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258" w:right="339" w:bottom="1440" w:gutter="0" w:footer="0" w:header="0"/>
        </w:sectPr>
      </w:pPr>
    </w:p>
    <w:bookmarkStart w:id="7" w:name="page8"/>
    <w:bookmarkEnd w:id="7"/>
    <w:p>
      <w:pPr>
        <w:ind w:left="972" w:right="20" w:hanging="324"/>
        <w:spacing w:after="0" w:line="335" w:lineRule="auto"/>
        <w:tabs>
          <w:tab w:leader="none" w:pos="96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completed installation of our first ForeSite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Sense Fiber Optic monitoring system in a gas storage well for a major operator in the Middle East. The application will help ensure wellbore integrity, monitor for potential gas migration, and leak paths.</w:t>
      </w:r>
    </w:p>
    <w:p>
      <w:pPr>
        <w:spacing w:after="0" w:line="20" w:lineRule="exact"/>
        <w:rPr>
          <w:rFonts w:ascii="Times New Roman" w:cs="Times New Roman" w:eastAsia="Times New Roman" w:hAnsi="Times New Roman"/>
          <w:sz w:val="20"/>
          <w:szCs w:val="20"/>
          <w:color w:val="auto"/>
        </w:rPr>
      </w:pPr>
    </w:p>
    <w:p>
      <w:pPr>
        <w:ind w:left="312" w:hanging="312"/>
        <w:spacing w:after="0"/>
        <w:tabs>
          <w:tab w:leader="none" w:pos="312"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Production and Intervention (“PRI”)</w:t>
      </w:r>
    </w:p>
    <w:p>
      <w:pPr>
        <w:spacing w:after="0" w:line="175" w:lineRule="exact"/>
        <w:rPr>
          <w:rFonts w:ascii="Times New Roman" w:cs="Times New Roman" w:eastAsia="Times New Roman" w:hAnsi="Times New Roman"/>
          <w:sz w:val="20"/>
          <w:szCs w:val="20"/>
          <w:color w:val="auto"/>
        </w:rPr>
      </w:pPr>
    </w:p>
    <w:p>
      <w:pPr>
        <w:jc w:val="both"/>
        <w:ind w:left="972" w:hanging="324"/>
        <w:spacing w:after="0" w:line="374" w:lineRule="auto"/>
        <w:tabs>
          <w:tab w:leader="none" w:pos="975"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operator in the US awarded Weatherford a one-year contract for pumping units that included the supply of our Permanent Magnetic Motor (PMM) technology, which helps reduce energy costs and carbon footprint by utilizing more efficient electric motors.</w:t>
      </w:r>
    </w:p>
    <w:p>
      <w:pPr>
        <w:spacing w:after="0" w:line="18" w:lineRule="exact"/>
        <w:rPr>
          <w:rFonts w:ascii="Times New Roman" w:cs="Times New Roman" w:eastAsia="Times New Roman" w:hAnsi="Times New Roman"/>
          <w:sz w:val="20"/>
          <w:szCs w:val="20"/>
          <w:color w:val="auto"/>
        </w:rPr>
      </w:pPr>
    </w:p>
    <w:p>
      <w:pPr>
        <w:jc w:val="both"/>
        <w:ind w:left="972" w:hanging="324"/>
        <w:spacing w:after="0" w:line="342" w:lineRule="auto"/>
        <w:tabs>
          <w:tab w:leader="none" w:pos="961"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launched ForeSite</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20"/>
          <w:szCs w:val="20"/>
          <w:color w:val="auto"/>
        </w:rPr>
        <w:t xml:space="preserve"> EDGE 2.0, our next-generation scalable IoT-enabled automation solution enhancing customers' advanced autonomous production optimization in real time. This innovation harnesses high-frequency data processing and modeling at the well site to deliver autonomous production optimization in real-time, thereby enhancing well production, reducing total cost of ownership, and minimizing environmental impact and safety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32"/>
          </w:cols>
          <w:pgMar w:left="328" w:top="108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5"/>
          <w:szCs w:val="25"/>
          <w:b w:val="1"/>
          <w:bCs w:val="1"/>
          <w:u w:val="single" w:color="auto"/>
          <w:color w:val="auto"/>
        </w:rPr>
        <w:t>Shareholder Return</w:t>
      </w:r>
    </w:p>
    <w:p>
      <w:pPr>
        <w:spacing w:after="0" w:line="200" w:lineRule="exact"/>
        <w:rPr>
          <w:sz w:val="20"/>
          <w:szCs w:val="20"/>
          <w:color w:val="auto"/>
        </w:rPr>
      </w:pPr>
    </w:p>
    <w:p>
      <w:pPr>
        <w:spacing w:after="0" w:line="261"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On July 23, 2024, our Board declared a cash dividend of $0.25 per share of the Company’s ordinary shares, payable on September 12, 2024, to shareholders of record as of August 13, 2024. Our Board also authorized a dividend program under which we intend to pay regular quarterly cash dividends, subject to our Board’s discretion and continuing determination that it is in the best interest of the Company and complies with applicable legal requirements.</w:t>
      </w:r>
    </w:p>
    <w:p>
      <w:pPr>
        <w:spacing w:after="0" w:line="2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Our Board also approved a $500 million share repurchase program to be executed over the next three years. The actual timing, manner, number, and value of shares repurchased under the program will depend on a number of factors, including but not limited to the market price of the Company’s ordinary shares, market and economic conditions, applicable contractual, legal, regulatory or other requirements and other business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09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5"/>
          <w:szCs w:val="25"/>
          <w:b w:val="1"/>
          <w:bCs w:val="1"/>
          <w:u w:val="single" w:color="auto"/>
          <w:color w:val="auto"/>
        </w:rPr>
        <w:t>Results by Reportable Segment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Drilling and Evaluation (“DRE”)</w:t>
      </w:r>
    </w:p>
    <w:p>
      <w:pPr>
        <w:spacing w:after="0" w:line="192"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404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2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0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Seq.</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YoY</w:t>
            </w:r>
          </w:p>
        </w:tc>
        <w:tc>
          <w:tcPr>
            <w:tcW w:w="320" w:type="dxa"/>
            <w:vAlign w:val="bottom"/>
          </w:tcPr>
          <w:p>
            <w:pPr>
              <w:spacing w:after="0"/>
              <w:rPr>
                <w:sz w:val="19"/>
                <w:szCs w:val="19"/>
                <w:color w:val="auto"/>
              </w:rPr>
            </w:pPr>
          </w:p>
        </w:tc>
      </w:t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427</w:t>
            </w: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394</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106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26.9 %</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(36)bps</w:t>
            </w:r>
          </w:p>
        </w:tc>
        <w:tc>
          <w:tcPr>
            <w:tcW w:w="100" w:type="dxa"/>
            <w:vAlign w:val="bottom"/>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r>
    </w:tbl>
    <w:p>
      <w:pPr>
        <w:spacing w:after="0" w:line="20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2024 DRE revenue of $427 million increased by $5 million, or 1% sequentially, primarily from higher Managed Pressure Drilling activity partially offset by a decrease in Drilling-related services mainly due to project delays in Latin America and seasonality in Canada. Year-over-year DRE revenues increased by $33 million, or 8%, primarily from higher Wireline and Managed Pressure Drilling activity, partly offset by a decrease in Drilling-related services in Latin America.</w:t>
      </w:r>
    </w:p>
    <w:p>
      <w:pPr>
        <w:spacing w:after="0" w:line="96"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2024 DRE segment adjusted EBITDA of $130 million was essentially flat sequentially, as higher Managed Pressure Drilling activity was primarily offset by lower drilling-related services in Latin America due to project delays and seasonality in Canada. Year-over-year DRE segment adjusted EBITDA increased by $24 million, or 23%, primarily from higher Managed Pressure Drilling and Wireline activity, partly offset by lower Drilling-related services in Latin America due to project delays.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Well Construction and Completions (“WCC”)</w:t>
      </w:r>
    </w:p>
    <w:p>
      <w:pPr>
        <w:spacing w:after="0" w:line="179" w:lineRule="exact"/>
        <w:rPr>
          <w:sz w:val="20"/>
          <w:szCs w:val="20"/>
          <w:color w:val="auto"/>
        </w:rPr>
      </w:pPr>
    </w:p>
    <w:tbl>
      <w:tblPr>
        <w:tblLayout w:type="fixed"/>
        <w:tblInd w:w="240" w:type="dxa"/>
        <w:tblCellMar>
          <w:top w:w="0" w:type="dxa"/>
          <w:left w:w="0" w:type="dxa"/>
          <w:bottom w:w="0" w:type="dxa"/>
          <w:right w:w="0" w:type="dxa"/>
        </w:tblCellMar>
      </w:tblPr>
      <w:tr>
        <w:trPr>
          <w:trHeight w:val="243"/>
        </w:trPr>
        <w:tc>
          <w:tcPr>
            <w:tcW w:w="404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7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r>
      <w:tr>
        <w:trPr>
          <w:trHeight w:val="223"/>
        </w:trPr>
        <w:tc>
          <w:tcPr>
            <w:tcW w:w="4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Seq.</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9"/>
                <w:szCs w:val="19"/>
                <w:color w:val="auto"/>
              </w:rPr>
            </w:pPr>
          </w:p>
        </w:tc>
      </w:tr>
      <w:tr>
        <w:trPr>
          <w:trHeight w:val="223"/>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504</w:t>
            </w: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145</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28.8 %</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bps</w:t>
            </w:r>
          </w:p>
        </w:tc>
      </w:tr>
    </w:tbl>
    <w:p>
      <w:pPr>
        <w:spacing w:after="0" w:line="288"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2024 WCC revenue of $504 million increased by $46 million, or 10% sequentially, primarily due to higher Completions and Liner Hangers activity in the Middle East/North Africa/Asia and Europe/Sub-Sahara Africa. Year-over-year WCC revenues increased by $64 million, or 15%, primarily due to higher Completions, Liner Hangers, and Tubular Running Services activity in Middle East/North Africa/Asia, partly offset by a decrease in activity in North America.</w:t>
      </w:r>
    </w:p>
    <w:p>
      <w:pPr>
        <w:spacing w:after="0" w:line="136" w:lineRule="exact"/>
        <w:rPr>
          <w:sz w:val="20"/>
          <w:szCs w:val="20"/>
          <w:color w:val="auto"/>
        </w:rPr>
      </w:pPr>
    </w:p>
    <w:p>
      <w:pPr>
        <w:jc w:val="both"/>
        <w:spacing w:after="0" w:line="400" w:lineRule="auto"/>
        <w:rPr>
          <w:sz w:val="20"/>
          <w:szCs w:val="20"/>
          <w:color w:val="auto"/>
        </w:rPr>
      </w:pPr>
      <w:r>
        <w:rPr>
          <w:rFonts w:ascii="Times New Roman" w:cs="Times New Roman" w:eastAsia="Times New Roman" w:hAnsi="Times New Roman"/>
          <w:sz w:val="19"/>
          <w:szCs w:val="19"/>
          <w:color w:val="auto"/>
        </w:rPr>
        <w:t>Second quarter 2024 WCC segment adjusted EBITDA of $145 million increased by $25 million, or 21% sequentially, primarily due to higher activity in Middle East/North Africa/Asia and Europe/Sub-Sahara Africa. Year-over-year WCC segment adjusted EBITDA increased by $36 million, or 33%, primarily due to higher activity and fall through in Tubular Running Services, Cementation Products, and Completions.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258" w:right="339" w:bottom="1440" w:gutter="0" w:footer="0" w:header="0"/>
        </w:sectPr>
      </w:pPr>
    </w:p>
    <w:bookmarkStart w:id="10" w:name="page11"/>
    <w:bookmarkEnd w:id="10"/>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Production and Intervention (“PRI”)</w:t>
      </w:r>
    </w:p>
    <w:p>
      <w:pPr>
        <w:spacing w:after="0" w:line="260"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392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2640" w:type="dxa"/>
            <w:vAlign w:val="bottom"/>
            <w:tcBorders>
              <w:top w:val="single" w:sz="8" w:color="auto"/>
              <w:bottom w:val="single" w:sz="8" w:color="auto"/>
            </w:tcBorders>
            <w:gridSpan w:val="5"/>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14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68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5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Seq.</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Pr>
          <w:p>
            <w:pPr>
              <w:spacing w:after="0"/>
              <w:rPr>
                <w:sz w:val="19"/>
                <w:szCs w:val="19"/>
                <w:color w:val="auto"/>
              </w:rPr>
            </w:pPr>
          </w:p>
        </w:tc>
      </w:tr>
      <w:tr>
        <w:trPr>
          <w:trHeight w:val="223"/>
        </w:trPr>
        <w:tc>
          <w:tcPr>
            <w:tcW w:w="3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369</w:t>
            </w:r>
          </w:p>
        </w:tc>
        <w:tc>
          <w:tcPr>
            <w:tcW w:w="4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366</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Adjusted EBITDA</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85</w:t>
            </w:r>
          </w:p>
        </w:tc>
        <w:tc>
          <w:tcPr>
            <w:tcW w:w="4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81</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Adj EBITDA Margin</w:t>
            </w: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22.1 %</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20" w:type="dxa"/>
            <w:vAlign w:val="bottom"/>
            <w:gridSpan w:val="3"/>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bps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bps</w:t>
            </w:r>
          </w:p>
        </w:tc>
      </w:tr>
    </w:tbl>
    <w:p>
      <w:pPr>
        <w:spacing w:after="0" w:line="20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2024 PRI revenue of $369 million increased by $21 million, or 6%, mainly due to increased Intervention Services &amp; Drilling Tools and Artificial Lift activity in Middle East/North Africa/Asia and Pressure Pumping activity in Latin America. Year-over-year PRI revenue increased by $3 million or 1%, primarily from higher international Intervention Services and Drilling Tools activity offset by a decline in Artificial Lift activity.</w:t>
      </w:r>
    </w:p>
    <w:p>
      <w:pPr>
        <w:spacing w:after="0" w:line="117"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20"/>
          <w:szCs w:val="20"/>
          <w:color w:val="auto"/>
        </w:rPr>
        <w:t>Second quarter 2024 PRI segment adjusted EBITDA of $85 million, increased by $12 million, or 16% sequentially, primarily from higher overall activity and fall through in international Pressure Pumping. Year-over-year PRI segment adjusted EBITDA increased by $4 million, or 5% year-over-year, primarily due to higher fall through in Artificial Lift and Intervention Services and Drilling Tools partly offset by lower activity in Latin America.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Revenue by Geography</w:t>
      </w:r>
    </w:p>
    <w:p>
      <w:pPr>
        <w:spacing w:after="0" w:line="30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Variance</w:t>
            </w: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Seq.</w:t>
            </w: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0" w:type="dxa"/>
            <w:vAlign w:val="bottom"/>
          </w:tcPr>
          <w:p>
            <w:pPr>
              <w:spacing w:after="0"/>
              <w:rPr>
                <w:sz w:val="1"/>
                <w:szCs w:val="1"/>
                <w:color w:val="auto"/>
              </w:rPr>
            </w:pPr>
          </w:p>
        </w:tc>
      </w:tr>
      <w:tr>
        <w:trPr>
          <w:trHeight w:val="149"/>
        </w:trPr>
        <w:tc>
          <w:tcPr>
            <w:tcW w:w="4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12"/>
                <w:szCs w:val="12"/>
                <w:color w:val="auto"/>
              </w:rPr>
            </w:pPr>
          </w:p>
        </w:tc>
        <w:tc>
          <w:tcPr>
            <w:tcW w:w="10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360" w:type="dxa"/>
            <w:vAlign w:val="bottom"/>
            <w:gridSpan w:val="2"/>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4400" w:type="dxa"/>
            <w:vAlign w:val="bottom"/>
            <w:vMerge w:val="continue"/>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44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North America</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c>
          <w:tcPr>
            <w:tcW w:w="54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11"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540" w:type="dxa"/>
            <w:vAlign w:val="bottom"/>
          </w:tcPr>
          <w:p>
            <w:pPr>
              <w:jc w:val="center"/>
              <w:ind w:right="2370"/>
              <w:spacing w:after="0"/>
              <w:rPr>
                <w:sz w:val="20"/>
                <w:szCs w:val="20"/>
                <w:color w:val="auto"/>
              </w:rPr>
            </w:pPr>
            <w:r>
              <w:rPr>
                <w:rFonts w:ascii="Times New Roman" w:cs="Times New Roman" w:eastAsia="Times New Roman" w:hAnsi="Times New Roman"/>
                <w:sz w:val="18"/>
                <w:szCs w:val="18"/>
                <w:color w:val="auto"/>
                <w:w w:val="99"/>
              </w:rPr>
              <w:t>International</w:t>
            </w:r>
          </w:p>
        </w:tc>
        <w:tc>
          <w:tcPr>
            <w:tcW w:w="12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1,153</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1,091</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Latin America</w:t>
            </w:r>
          </w:p>
        </w:tc>
        <w:tc>
          <w:tcPr>
            <w:tcW w:w="12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4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3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Middle East/North Africa/Asia</w:t>
            </w:r>
          </w:p>
        </w:tc>
        <w:tc>
          <w:tcPr>
            <w:tcW w:w="124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542</w:t>
            </w:r>
          </w:p>
        </w:tc>
        <w:tc>
          <w:tcPr>
            <w:tcW w:w="460" w:type="dxa"/>
            <w:vAlign w:val="bottom"/>
          </w:tcPr>
          <w:p>
            <w:pPr>
              <w:spacing w:after="0"/>
              <w:rPr>
                <w:sz w:val="19"/>
                <w:szCs w:val="19"/>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34"/>
        </w:trPr>
        <w:tc>
          <w:tcPr>
            <w:tcW w:w="35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Europe/Sub-Sahara Africa/Russia</w:t>
            </w:r>
          </w:p>
        </w:tc>
        <w:tc>
          <w:tcPr>
            <w:tcW w:w="1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224</w:t>
            </w:r>
          </w:p>
        </w:tc>
        <w:tc>
          <w:tcPr>
            <w:tcW w:w="4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3"/>
        </w:trPr>
        <w:tc>
          <w:tcPr>
            <w:tcW w:w="3540" w:type="dxa"/>
            <w:vAlign w:val="bottom"/>
            <w:tcBorders>
              <w:bottom w:val="single" w:sz="8" w:color="auto"/>
            </w:tcBorders>
          </w:tcPr>
          <w:p>
            <w:pPr>
              <w:jc w:val="center"/>
              <w:ind w:right="2390"/>
              <w:spacing w:after="0"/>
              <w:rPr>
                <w:sz w:val="20"/>
                <w:szCs w:val="20"/>
                <w:color w:val="auto"/>
              </w:rPr>
            </w:pPr>
            <w:r>
              <w:rPr>
                <w:rFonts w:ascii="Times New Roman" w:cs="Times New Roman" w:eastAsia="Times New Roman" w:hAnsi="Times New Roman"/>
                <w:sz w:val="18"/>
                <w:szCs w:val="18"/>
                <w:color w:val="auto"/>
              </w:rPr>
              <w:t>Total Revenue</w:t>
            </w: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1,358</w:t>
            </w:r>
          </w:p>
        </w:tc>
        <w:tc>
          <w:tcPr>
            <w:tcW w:w="4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w:t>
            </w:r>
          </w:p>
        </w:tc>
      </w:tr>
      <w:tr>
        <w:trPr>
          <w:trHeight w:val="20"/>
        </w:trPr>
        <w:tc>
          <w:tcPr>
            <w:tcW w:w="35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-770890</wp:posOffset>
            </wp:positionV>
            <wp:extent cx="684911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49110" cy="1460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-479425</wp:posOffset>
            </wp:positionV>
            <wp:extent cx="684911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49110" cy="146050"/>
                    </a:xfrm>
                    <a:prstGeom prst="rect">
                      <a:avLst/>
                    </a:prstGeom>
                    <a:noFill/>
                  </pic:spPr>
                </pic:pic>
              </a:graphicData>
            </a:graphic>
          </wp:anchor>
        </w:drawing>
        <w:drawing>
          <wp:anchor simplePos="0" relativeHeight="251657728" behindDoc="1" locked="0" layoutInCell="0" allowOverlap="1">
            <wp:simplePos x="0" y="0"/>
            <wp:positionH relativeFrom="column">
              <wp:posOffset>150495</wp:posOffset>
            </wp:positionH>
            <wp:positionV relativeFrom="paragraph">
              <wp:posOffset>-187960</wp:posOffset>
            </wp:positionV>
            <wp:extent cx="684911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4911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6 %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0"/>
        </w:trPr>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17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4"/>
        </w:trPr>
        <w:tc>
          <w:tcPr>
            <w:tcW w:w="1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15 %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3"/>
        </w:trPr>
        <w:tc>
          <w:tcPr>
            <w:tcW w:w="1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3.5 %</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17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100"/>
            <w:col w:w="2880"/>
          </w:cols>
          <w:pgMar w:left="320" w:top="1440" w:right="339" w:bottom="1440" w:gutter="0" w:footer="0" w:header="0"/>
          <w:type w:val="continuous"/>
        </w:sectPr>
      </w:pP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North America</w:t>
      </w:r>
    </w:p>
    <w:p>
      <w:pPr>
        <w:spacing w:after="0" w:line="217"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2024 North America revenue of $252 million decreased by $15 million, or 6% sequentially, primarily due to a seasonal decline in activity in Canada, partly offset by higher Artificial Lift activity in the United States. Year-over-year, North America decreased by $13 million, or 5%, primarily from lower Intervention Services and Drilling Tools activity in the United States, partly offset by higher Wireline activity.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u w:val="single" w:color="auto"/>
          <w:color w:val="auto"/>
        </w:rPr>
        <w:t>International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Second quarter 2024 international revenue of $1,153 million increased 6% sequentially and 14% year-over-year.</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Second quarter 2024 Latin America revenue of $353 million decreased by $17 million, or 5% sequentially, primarily</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40"/>
          </w:cols>
          <w:pgMar w:left="320" w:top="1440" w:right="339" w:bottom="1440" w:gutter="0" w:footer="0" w:header="0"/>
          <w:type w:val="continuous"/>
        </w:sectPr>
      </w:pPr>
    </w:p>
    <w:bookmarkStart w:id="11" w:name="page12"/>
    <w:bookmarkEnd w:id="11"/>
    <w:p>
      <w:pPr>
        <w:jc w:val="both"/>
        <w:spacing w:after="0" w:line="374" w:lineRule="auto"/>
        <w:rPr>
          <w:sz w:val="20"/>
          <w:szCs w:val="20"/>
          <w:color w:val="auto"/>
        </w:rPr>
      </w:pPr>
      <w:r>
        <w:rPr>
          <w:rFonts w:ascii="Times New Roman" w:cs="Times New Roman" w:eastAsia="Times New Roman" w:hAnsi="Times New Roman"/>
          <w:sz w:val="20"/>
          <w:szCs w:val="20"/>
          <w:color w:val="auto"/>
        </w:rPr>
        <w:t>due to lower activity in Colombia as a consequence of social unrest, and Drilling-related services project delays in Mexico, partly offset by higher Pressure Pumping activity in Argentina. Year-over-year, Latin America revenue decreased by $18 million, or 5%, primarily due to lower activity in Colombia as a consequence of social unrest, partly offset by higher activity in Argentina and Mexico.</w:t>
      </w:r>
    </w:p>
    <w:p>
      <w:pPr>
        <w:spacing w:after="0" w:line="12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2024 Middle East/North Africa/Asia revenue of $542 million increased by $45 million, or 9%, mainly due to an increase in activity across all segments mainly driven by higher WCC activity in Saudi Arabia and Asia, partly offset by a decrease in Integrated Services and Projects activity. Year-over-year, the Middle East/North Africa/Asia revenue increased by $121 million, or 29%, due to an increase in activity across all segments, primarily in Saudi Arabia, Asia, Kuwait, and United Arab Emirates.</w:t>
      </w:r>
    </w:p>
    <w:p>
      <w:pPr>
        <w:spacing w:after="0" w:line="136" w:lineRule="exact"/>
        <w:rPr>
          <w:sz w:val="20"/>
          <w:szCs w:val="20"/>
          <w:color w:val="auto"/>
        </w:rPr>
      </w:pPr>
    </w:p>
    <w:p>
      <w:pPr>
        <w:jc w:val="both"/>
        <w:spacing w:after="0" w:line="366" w:lineRule="auto"/>
        <w:rPr>
          <w:sz w:val="20"/>
          <w:szCs w:val="20"/>
          <w:color w:val="auto"/>
        </w:rPr>
      </w:pPr>
      <w:r>
        <w:rPr>
          <w:rFonts w:ascii="Times New Roman" w:cs="Times New Roman" w:eastAsia="Times New Roman" w:hAnsi="Times New Roman"/>
          <w:sz w:val="20"/>
          <w:szCs w:val="20"/>
          <w:color w:val="auto"/>
        </w:rPr>
        <w:t>Second quarter 2024 Europe/Sub-Sahara Africa/Russia revenue of $258 million increased by $34 million or 15% sequentially, mainly driven by higher Managed Pressure Drilling and Completions activity, partly offset by lower Drilling-related services activity. Year-over-year Europe/Sub-Sahara Africa/Russia revenue increased by $41 million, or 19%, primarily due to increased activity across all segments, partly offset by a decline in Russia.</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8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5"/>
          <w:szCs w:val="25"/>
          <w:b w:val="1"/>
          <w:bCs w:val="1"/>
          <w:u w:val="single" w:color="auto"/>
          <w:color w:val="auto"/>
        </w:rPr>
        <w:t>About Weatherford</w:t>
      </w:r>
    </w:p>
    <w:p>
      <w:pPr>
        <w:spacing w:after="0" w:line="137" w:lineRule="exact"/>
        <w:rPr>
          <w:sz w:val="20"/>
          <w:szCs w:val="20"/>
          <w:color w:val="auto"/>
        </w:rPr>
      </w:pPr>
    </w:p>
    <w:p>
      <w:pPr>
        <w:jc w:val="both"/>
        <w:ind w:right="40"/>
        <w:spacing w:after="0" w:line="392" w:lineRule="auto"/>
        <w:rPr>
          <w:sz w:val="20"/>
          <w:szCs w:val="20"/>
          <w:color w:val="auto"/>
        </w:rPr>
      </w:pPr>
      <w:r>
        <w:rPr>
          <w:rFonts w:ascii="Times New Roman" w:cs="Times New Roman" w:eastAsia="Times New Roman" w:hAnsi="Times New Roman"/>
          <w:sz w:val="19"/>
          <w:szCs w:val="19"/>
          <w:color w:val="auto"/>
        </w:rPr>
        <w:t xml:space="preserve">Weatherford delivers innovative energy services that integrate proven technologies with advanced digitalization to create sustainable offerings for maximized value and return on investment. Our world-class experts partner with customers to optimize their resources and realize the full potential of their assets. Operators choose us for strategic solutions that add efficiency, flexibility, and responsibility to any energy operation. The Company conducts business in approximately 75 countries and has approximately 19,000 team members representing more than 110 nationalities and 330 operating locations. Visit </w:t>
      </w:r>
      <w:r>
        <w:rPr>
          <w:rFonts w:ascii="Times New Roman" w:cs="Times New Roman" w:eastAsia="Times New Roman" w:hAnsi="Times New Roman"/>
          <w:sz w:val="19"/>
          <w:szCs w:val="19"/>
          <w:u w:val="single" w:color="auto"/>
          <w:color w:val="3051F2"/>
        </w:rPr>
        <w:t>weatherford.com</w:t>
      </w:r>
      <w:r>
        <w:rPr>
          <w:rFonts w:ascii="Times New Roman" w:cs="Times New Roman" w:eastAsia="Times New Roman" w:hAnsi="Times New Roman"/>
          <w:sz w:val="19"/>
          <w:szCs w:val="19"/>
          <w:color w:val="auto"/>
        </w:rPr>
        <w:t xml:space="preserve"> for more information and connect with us on social media.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Conference Call Details</w:t>
      </w:r>
    </w:p>
    <w:p>
      <w:pPr>
        <w:spacing w:after="0" w:line="313" w:lineRule="exact"/>
        <w:rPr>
          <w:sz w:val="20"/>
          <w:szCs w:val="20"/>
          <w:color w:val="auto"/>
        </w:rPr>
      </w:pPr>
    </w:p>
    <w:p>
      <w:pPr>
        <w:jc w:val="both"/>
        <w:spacing w:after="0" w:line="381" w:lineRule="auto"/>
        <w:rPr>
          <w:sz w:val="20"/>
          <w:szCs w:val="20"/>
          <w:color w:val="auto"/>
        </w:rPr>
      </w:pPr>
      <w:r>
        <w:rPr>
          <w:rFonts w:ascii="Times New Roman" w:cs="Times New Roman" w:eastAsia="Times New Roman" w:hAnsi="Times New Roman"/>
          <w:sz w:val="20"/>
          <w:szCs w:val="20"/>
          <w:color w:val="auto"/>
        </w:rPr>
        <w:t>Weatherford will host a conference call on Wednesday, July 24, 2024, to discuss the Company’s results for the second quarter ended June 30, 2024. The conference call will begin at 9:00 a.m. Eastern Time (8:00 a.m. Central Time).</w:t>
      </w:r>
    </w:p>
    <w:p>
      <w:pPr>
        <w:spacing w:after="0" w:line="39" w:lineRule="exact"/>
        <w:rPr>
          <w:sz w:val="20"/>
          <w:szCs w:val="20"/>
          <w:color w:val="auto"/>
        </w:rPr>
      </w:pPr>
    </w:p>
    <w:p>
      <w:pPr>
        <w:jc w:val="both"/>
        <w:spacing w:after="0" w:line="395" w:lineRule="auto"/>
        <w:rPr>
          <w:sz w:val="20"/>
          <w:szCs w:val="20"/>
          <w:color w:val="auto"/>
        </w:rPr>
      </w:pPr>
      <w:r>
        <w:rPr>
          <w:rFonts w:ascii="Times New Roman" w:cs="Times New Roman" w:eastAsia="Times New Roman" w:hAnsi="Times New Roman"/>
          <w:sz w:val="20"/>
          <w:szCs w:val="20"/>
          <w:color w:val="auto"/>
        </w:rPr>
        <w:t>Listeners are encouraged to download the accompanying presentation slides which will be available in the investor relations section of the Company’s website.</w:t>
      </w:r>
    </w:p>
    <w:p>
      <w:pPr>
        <w:spacing w:after="0" w:line="26"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Listeners can participate in the conference call via a live webcast at https://www.weatherford.com/investor-relations/investor-news-and-events/events/ or by dialing +1 877-328-5344 (within the U.S.) or +1 412-902-6762 (outside of the U.S.) and asking for the Weatherford conference call. Participants should log in or dial in approximately 10 minutes prior to the start of the call.</w:t>
      </w:r>
    </w:p>
    <w:p>
      <w:pPr>
        <w:spacing w:after="0" w:line="45" w:lineRule="exact"/>
        <w:rPr>
          <w:sz w:val="20"/>
          <w:szCs w:val="20"/>
          <w:color w:val="auto"/>
        </w:rPr>
      </w:pPr>
    </w:p>
    <w:p>
      <w:pPr>
        <w:jc w:val="both"/>
        <w:spacing w:after="0" w:line="374" w:lineRule="auto"/>
        <w:rPr>
          <w:sz w:val="20"/>
          <w:szCs w:val="20"/>
          <w:color w:val="auto"/>
        </w:rPr>
      </w:pPr>
      <w:r>
        <w:rPr>
          <w:rFonts w:ascii="Times New Roman" w:cs="Times New Roman" w:eastAsia="Times New Roman" w:hAnsi="Times New Roman"/>
          <w:sz w:val="20"/>
          <w:szCs w:val="20"/>
          <w:color w:val="auto"/>
        </w:rPr>
        <w:t>A telephonic replay of the conference call will be available until August 7, 2024, at 5:00 p.m. Eastern Time. To access the replay, please dial +1 877-344-7529 (within the U.S.) or +1 412-317-0088 (outside of the U.S.) and reference conference number 1382600. A replay and transcript of the earnings call will also be available in the investor relations section of the Company’s website.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u w:val="single" w:color="auto"/>
          <w:color w:val="auto"/>
        </w:rPr>
        <w:t>Contacts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Mohammed Topiwala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Vice President, Investor Relations and M&amp;A</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+1 713-836-7777</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investor.relations@weatherford.com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Kelley Hughes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Senior Director, Communications &amp; Employee Engagement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+1 713-836-4193</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0E32E1"/>
        </w:rPr>
        <w:t>media@weatherford.com</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5"/>
          <w:szCs w:val="25"/>
          <w:b w:val="1"/>
          <w:bCs w:val="1"/>
          <w:u w:val="single" w:color="auto"/>
          <w:color w:val="auto"/>
        </w:rPr>
        <w:t>Forward-Looking Statements</w:t>
      </w:r>
    </w:p>
    <w:p>
      <w:pPr>
        <w:spacing w:after="0" w:line="340"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20"/>
          <w:szCs w:val="20"/>
          <w:color w:val="auto"/>
        </w:rPr>
        <w:t>This news release contains projections and forward-looking statements concerning, among other things, the Company’s quarterly and full-year revenues, adjusted EBITDA*, adjusted EBITDA margin*, adjusted free cash flow*, net leverage*, shareholder return program, forecasts or expectations regarding business outlook, prospects for its operations, capital expenditures, expectations regarding future financial results,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 Readers are cautioned that forward-looking statements are only predictions and may differ materially from actual future events or results, based on factors including but not limited to: global political disturbances, war, terrorist attacks, changes in global trade policies, weak local economic conditions and international currency fluctuations; general global economic repercussions related to U.S. and global inflationary pressures and potential recessionary concerns; various effects from the Russia Ukraine conflict including, but not limited to, nationalization of assets, extended business interruptions, sanctions, treaties and regulations imposed by various countries, associated operational and logistical challenges, and impacts to the overall global energy supply; cybersecurity issues; our ability to comply with, and respond to, climate change, environmental, social and governance and other sustainability initiatives and future legislative and regulatory measures both globally and in specific geographic regions; the potential for a resurgence of a pandemic in a given geographic area and related disruptions to our business, employees, customers, suppliers and other partners; the price and price volatility of, and demand for, oil and natural gas; the macroeconomic outlook for the oil and gas industry; our ability to generate cash flow from operations to fund our operations; our ability to effectively and timely adapt our technology portfolio, products and services to address and participate in changes to the market demands for the transition to alternate sources of energy such as geothermal, carbon capture and responsible abandonment, including our digitalization efforts; our ability to return capital to shareholders, including those related to the timing and amounts (including any plans or commitments in respect thereof) of any dividends and share repurchases; and the realization of additional cost savings and operational efficiencies.</w:t>
      </w:r>
    </w:p>
    <w:p>
      <w:pPr>
        <w:spacing w:after="0" w:line="76" w:lineRule="exact"/>
        <w:rPr>
          <w:sz w:val="20"/>
          <w:szCs w:val="20"/>
          <w:color w:val="auto"/>
        </w:rPr>
      </w:pPr>
    </w:p>
    <w:p>
      <w:pPr>
        <w:jc w:val="both"/>
        <w:spacing w:after="0" w:line="335" w:lineRule="auto"/>
        <w:rPr>
          <w:sz w:val="20"/>
          <w:szCs w:val="20"/>
          <w:color w:val="auto"/>
        </w:rPr>
      </w:pPr>
      <w:r>
        <w:rPr>
          <w:rFonts w:ascii="Times New Roman" w:cs="Times New Roman" w:eastAsia="Times New Roman" w:hAnsi="Times New Roman"/>
          <w:sz w:val="20"/>
          <w:szCs w:val="20"/>
          <w:color w:val="auto"/>
        </w:rPr>
        <w:t>These risks and uncertainties are more fully described in Weatherford’s reports and registration statements filed with the Securities and Exchange Commission (the “SEC”), including the risk factors described in the Company’s Annual Report on Form 10-K and Quarterly Reports on Form 10-Q. Accordingly, you should not place undue reliance on any of the Company’s forward-looking statements. Any forward-looking statement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*Non-GAAP - refer to the section titled Non-GAAP Financial Measures Defined and GAAP to Non-GAAP Financial Measures Reconciled</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129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Statements of Operations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69"/>
        </w:trPr>
        <w:tc>
          <w:tcPr>
            <w:tcW w:w="5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 Except Per Share Amounts)</w:t>
            </w:r>
          </w:p>
        </w:tc>
        <w:tc>
          <w:tcPr>
            <w:tcW w:w="160" w:type="dxa"/>
            <w:vAlign w:val="bottom"/>
          </w:tcPr>
          <w:p>
            <w:pPr>
              <w:spacing w:after="0"/>
              <w:rPr>
                <w:sz w:val="14"/>
                <w:szCs w:val="14"/>
                <w:color w:val="auto"/>
              </w:rPr>
            </w:pPr>
          </w:p>
        </w:tc>
        <w:tc>
          <w:tcPr>
            <w:tcW w:w="920" w:type="dxa"/>
            <w:vAlign w:val="bottom"/>
          </w:tcPr>
          <w:p>
            <w:pPr>
              <w:jc w:val="right"/>
              <w:ind w:right="15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4"/>
                <w:szCs w:val="14"/>
                <w:color w:val="auto"/>
              </w:rPr>
            </w:pPr>
          </w:p>
        </w:tc>
        <w:tc>
          <w:tcPr>
            <w:tcW w:w="1060" w:type="dxa"/>
            <w:vAlign w:val="bottom"/>
          </w:tcPr>
          <w:p>
            <w:pPr>
              <w:jc w:val="center"/>
              <w:ind w:right="110"/>
              <w:spacing w:after="0" w:line="169"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200" w:type="dxa"/>
            <w:vAlign w:val="bottom"/>
          </w:tcPr>
          <w:p>
            <w:pPr>
              <w:spacing w:after="0"/>
              <w:rPr>
                <w:sz w:val="14"/>
                <w:szCs w:val="14"/>
                <w:color w:val="auto"/>
              </w:rPr>
            </w:pPr>
          </w:p>
        </w:tc>
        <w:tc>
          <w:tcPr>
            <w:tcW w:w="86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jc w:val="right"/>
              <w:ind w:right="31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4"/>
                <w:szCs w:val="14"/>
                <w:color w:val="auto"/>
              </w:rPr>
            </w:pPr>
          </w:p>
        </w:tc>
        <w:tc>
          <w:tcPr>
            <w:tcW w:w="840" w:type="dxa"/>
            <w:vAlign w:val="bottom"/>
          </w:tcPr>
          <w:p>
            <w:pPr>
              <w:jc w:val="right"/>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DRE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WCC Revenues</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504</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962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PRI Revenues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717</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1,358</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2,763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DRE Segment Adjusted EBITDA</w:t>
            </w:r>
            <w:r>
              <w:rPr>
                <w:rFonts w:ascii="Times New Roman" w:cs="Times New Roman" w:eastAsia="Times New Roman" w:hAnsi="Times New Roman"/>
                <w:sz w:val="23"/>
                <w:szCs w:val="23"/>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WCC Segment Adjusted EBITDA</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29"/>
        </w:trPr>
        <w:tc>
          <w:tcPr>
            <w:tcW w:w="550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PRI Segment Adjusted EBITDA</w:t>
            </w:r>
            <w:r>
              <w:rPr>
                <w:rFonts w:ascii="Times New Roman" w:cs="Times New Roman" w:eastAsia="Times New Roman" w:hAnsi="Times New Roman"/>
                <w:sz w:val="23"/>
                <w:szCs w:val="23"/>
                <w:color w:val="auto"/>
                <w:vertAlign w:val="superscript"/>
              </w:rPr>
              <w:t>[1]</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158</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3"/>
                <w:szCs w:val="23"/>
                <w:color w:val="auto"/>
                <w:vertAlign w:val="superscript"/>
              </w:rPr>
              <w:t>[2]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5500" w:type="dxa"/>
            <w:vAlign w:val="bottom"/>
          </w:tcPr>
          <w:p>
            <w:pPr>
              <w:ind w:left="100"/>
              <w:spacing w:after="0" w:line="230" w:lineRule="exact"/>
              <w:rPr>
                <w:sz w:val="20"/>
                <w:szCs w:val="20"/>
                <w:color w:val="auto"/>
              </w:rPr>
            </w:pPr>
            <w:r>
              <w:rPr>
                <w:rFonts w:ascii="Times New Roman" w:cs="Times New Roman" w:eastAsia="Times New Roman" w:hAnsi="Times New Roman"/>
                <w:sz w:val="18"/>
                <w:szCs w:val="18"/>
                <w:color w:val="auto"/>
              </w:rPr>
              <w:t xml:space="preserve">Corporate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5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(Charges) Credits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497</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0" w:type="dxa"/>
            <w:vAlign w:val="bottom"/>
          </w:tcPr>
          <w:p>
            <w:pPr>
              <w:spacing w:after="0"/>
              <w:rPr>
                <w:sz w:val="1"/>
                <w:szCs w:val="1"/>
                <w:color w:val="auto"/>
              </w:rPr>
            </w:pPr>
          </w:p>
        </w:tc>
      </w:tr>
      <w:tr>
        <w:trPr>
          <w:trHeight w:val="256"/>
        </w:trPr>
        <w:tc>
          <w:tcPr>
            <w:tcW w:w="55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 of Interest Income of $17, $14, $16, $31 and $32</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3"/>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260</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3"/>
        </w:trPr>
        <w:tc>
          <w:tcPr>
            <w:tcW w:w="55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237</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0"/>
        </w:trPr>
        <w:tc>
          <w:tcPr>
            <w:tcW w:w="5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 Income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72.9</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73.1</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0" w:type="dxa"/>
            <w:vAlign w:val="bottom"/>
          </w:tcPr>
          <w:p>
            <w:pPr>
              <w:spacing w:after="0"/>
              <w:rPr>
                <w:sz w:val="1"/>
                <w:szCs w:val="1"/>
                <w:color w:val="auto"/>
              </w:rPr>
            </w:pPr>
          </w:p>
        </w:tc>
      </w:tr>
      <w:tr>
        <w:trPr>
          <w:trHeight w:val="270"/>
        </w:trPr>
        <w:tc>
          <w:tcPr>
            <w:tcW w:w="5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 Income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34"/>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75.0</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60" w:hanging="252"/>
        <w:spacing w:after="0" w:line="221" w:lineRule="auto"/>
        <w:tabs>
          <w:tab w:leader="none" w:pos="247"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Segment adjusted EBITDA is our primary measure of segment profitability under U.S. GAAP ASC 280 “Segment Reporting” and represents segment earnings before interest, taxes, depreciation, amortization, share-based compensation expense and other adjustments. Research and development expenses are included in segment adjusted EBITDA.</w:t>
      </w:r>
    </w:p>
    <w:p>
      <w:pPr>
        <w:ind w:left="260" w:hanging="252"/>
        <w:spacing w:after="0" w:line="283" w:lineRule="auto"/>
        <w:tabs>
          <w:tab w:leader="none" w:pos="247"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All other results were from non-core business activities related to all other segments (profit and loss) and Corporate includes overhead support and centrally managed or shared facility costs. All Other and Corporate do not individually meet the criteria for segment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31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Balance Sheet Data (Unaudited)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24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3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3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1,319</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1,007</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r>
      <w:tr>
        <w:trPr>
          <w:trHeight w:val="270"/>
        </w:trPr>
        <w:tc>
          <w:tcPr>
            <w:tcW w:w="48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29"/>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2400" w:type="dxa"/>
            <w:vAlign w:val="bottom"/>
          </w:tcPr>
          <w:p>
            <w:pPr>
              <w:spacing w:after="0"/>
              <w:rPr>
                <w:sz w:val="19"/>
                <w:szCs w:val="19"/>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34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r>
      <w:tr>
        <w:trPr>
          <w:trHeight w:val="270"/>
        </w:trPr>
        <w:tc>
          <w:tcPr>
            <w:tcW w:w="4820" w:type="dxa"/>
            <w:vAlign w:val="bottom"/>
            <w:shd w:val="clear" w:color="auto" w:fill="CCEEFF"/>
          </w:tcPr>
          <w:p>
            <w:pPr>
              <w:spacing w:after="0"/>
              <w:rPr>
                <w:sz w:val="23"/>
                <w:szCs w:val="23"/>
                <w:color w:val="auto"/>
              </w:rPr>
            </w:pPr>
          </w:p>
        </w:tc>
        <w:tc>
          <w:tcPr>
            <w:tcW w:w="24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920" w:type="dxa"/>
            <w:vAlign w:val="bottom"/>
            <w:shd w:val="clear" w:color="auto" w:fill="CCEEFF"/>
          </w:tcPr>
          <w:p>
            <w:pPr>
              <w:spacing w:after="0"/>
              <w:rPr>
                <w:sz w:val="23"/>
                <w:szCs w:val="23"/>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4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4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1,240</w:t>
            </w:r>
          </w:p>
        </w:tc>
        <w:tc>
          <w:tcPr>
            <w:tcW w:w="34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r>
    </w:tbl>
    <w:p>
      <w:pPr>
        <w:spacing w:after="0" w:line="48" w:lineRule="exact"/>
        <w:rPr>
          <w:sz w:val="20"/>
          <w:szCs w:val="20"/>
          <w:color w:val="auto"/>
        </w:rPr>
      </w:pPr>
    </w:p>
    <w:p>
      <w:pPr>
        <w:ind w:left="340" w:hanging="170"/>
        <w:spacing w:after="0"/>
        <w:tabs>
          <w:tab w:leader="none" w:pos="340" w:val="left"/>
        </w:tabs>
        <w:numPr>
          <w:ilvl w:val="0"/>
          <w:numId w:val="8"/>
        </w:numPr>
        <w:rPr>
          <w:rFonts w:ascii="Times New Roman" w:cs="Times New Roman" w:eastAsia="Times New Roman" w:hAnsi="Times New Roman"/>
          <w:sz w:val="21"/>
          <w:szCs w:val="21"/>
          <w:color w:val="FFFFFF"/>
          <w:vertAlign w:val="superscript"/>
        </w:rPr>
      </w:pPr>
      <w:r>
        <w:rPr>
          <w:rFonts w:ascii="Times New Roman" w:cs="Times New Roman" w:eastAsia="Times New Roman" w:hAnsi="Times New Roman"/>
          <w:sz w:val="15"/>
          <w:szCs w:val="15"/>
          <w:color w:val="FFFFFF"/>
        </w:rPr>
        <w:t>Net debt is a non-GAAP measure calculated as total short and long-term debt less cash and cash equivalents and restricted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10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Cash Flows Information (Unaudited)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420" w:type="dxa"/>
            <w:vAlign w:val="bottom"/>
            <w:tcBorders>
              <w:bottom w:val="single" w:sz="8" w:color="auto"/>
            </w:tcBorders>
          </w:tcPr>
          <w:p>
            <w:pPr>
              <w:spacing w:after="0"/>
              <w:rPr>
                <w:sz w:val="20"/>
                <w:szCs w:val="20"/>
                <w:color w:val="auto"/>
              </w:rPr>
            </w:pP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80" w:type="dxa"/>
            <w:vAlign w:val="bottom"/>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w:t>
            </w:r>
          </w:p>
        </w:tc>
        <w:tc>
          <w:tcPr>
            <w:tcW w:w="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4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w:t>
            </w: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1"/>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2"/>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w:t>
            </w:r>
          </w:p>
        </w:tc>
        <w:tc>
          <w:tcPr>
            <w:tcW w:w="54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7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w:t>
            </w:r>
          </w:p>
        </w:tc>
        <w:tc>
          <w:tcPr>
            <w:tcW w:w="4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Charges</w:t>
            </w:r>
          </w:p>
        </w:tc>
        <w:tc>
          <w:tcPr>
            <w:tcW w:w="4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Disposition of Assets</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Provision (Benefit)</w:t>
            </w:r>
          </w:p>
        </w:tc>
        <w:tc>
          <w:tcPr>
            <w:tcW w:w="4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75"/>
        </w:trPr>
        <w:tc>
          <w:tcPr>
            <w:tcW w:w="51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Accounts Receivable, Inventory, Accounts Payable and</w:t>
            </w:r>
          </w:p>
        </w:tc>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24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Salaries and Benefits</w:t>
            </w: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7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(162)</w:t>
            </w:r>
          </w:p>
        </w:tc>
      </w:tr>
      <w:tr>
        <w:trPr>
          <w:trHeight w:val="229"/>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Changes, Net</w:t>
            </w: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142"/>
        </w:trPr>
        <w:tc>
          <w:tcPr>
            <w:tcW w:w="5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22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Expenditures for Property, Plant and Equipment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4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Blue Chip Swap Securities</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(110)</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Blue Chip Swap Securities</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400" w:type="dxa"/>
            <w:vAlign w:val="bottom"/>
          </w:tcPr>
          <w:p>
            <w:pPr>
              <w:spacing w:after="0"/>
              <w:rPr>
                <w:sz w:val="19"/>
                <w:szCs w:val="19"/>
                <w:color w:val="auto"/>
              </w:rPr>
            </w:pPr>
          </w:p>
        </w:tc>
        <w:tc>
          <w:tcPr>
            <w:tcW w:w="7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516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(122)</w:t>
            </w:r>
          </w:p>
        </w:tc>
      </w:tr>
      <w:tr>
        <w:trPr>
          <w:trHeight w:val="142"/>
        </w:trPr>
        <w:tc>
          <w:tcPr>
            <w:tcW w:w="5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r>
      <w:tr>
        <w:trPr>
          <w:trHeight w:val="230"/>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(230)</w:t>
            </w:r>
          </w:p>
        </w:tc>
      </w:tr>
      <w:tr>
        <w:trPr>
          <w:trHeight w:val="229"/>
        </w:trPr>
        <w:tc>
          <w:tcPr>
            <w:tcW w:w="5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4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 Remittance on Equity Awards Vested</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7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8"/>
        </w:trPr>
        <w:tc>
          <w:tcPr>
            <w:tcW w:w="5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54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7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(297)</w:t>
            </w:r>
          </w:p>
        </w:tc>
      </w:tr>
      <w:tr>
        <w:trPr>
          <w:trHeight w:val="20"/>
        </w:trPr>
        <w:tc>
          <w:tcPr>
            <w:tcW w:w="51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95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 Defined (Unaudited)</w:t>
      </w:r>
    </w:p>
    <w:p>
      <w:pPr>
        <w:spacing w:after="0" w:line="3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report our financial results in accordance with U.S. generally accepted accounting principles (GAAP). However, Weatherford’s management believes that certain non-GAAP financial measures (as defined under the SEC’s Regulation G and Item 10(e) of Regulation S-K) may provide users of this financial information additional meaningful comparisons between current results and results of prior periods and comparisons with peer companies. The non-GAAP amounts shown in the following tables should not be considered as substitutes for results reported in accordance with GAAP but should be viewed in addition to the Company’s reported results prepared in accordance with GAAP.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 Adjusted EBITDA* is a non-GAAP measure and represents consolidated income before interest expense, net, income taxes, depreciation and amortization expense, and excludes, among other items, restructuring charges, share-based compensation expense, as well as other charges and credits. Management believes adjusted EBITDA* is useful to assess and understand normalized operating performance and trends. Adjusted EBITDA* should be considered in addition to, but not as a substitute for consolidated net income and should be viewed in addition to the Company's reported results prepared in accordance with GAAP.</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margin* - Adjusted EBITDA margin* is a non-GAAP measure which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Free Cash Flow* - 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Debt* - Net Debt* is a non-GAAP measure that is calculated taking short and long-term debt less cash and cash equivalents and restricted cash. Management believes the net debt* is useful to assess the level of debt in excess of cash and cash and equivalents as we monitor our ability to repay and service our debt. Net debt* should be considered in addition to, but not as a substitute for overall debt and total cash, and should be viewed in addition to the Company’s results prepared in accordance with GAAP.</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Leverage* - Net Leverage* is a non-GAAP measure which is calculated by dividing by taking net debt* divided by adjusted EBITDA* for the trailing 12 months. Management believes the net leverage* is useful to understand our ability to repay and service our debt. Net leverage* should be considered in addition to, but not as a substitute for the individual components of above defined net debt* divided by consolidated net income attributable to Weatherford, and should be viewed in addition to the Company’s reported results prepared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*Non-GAAP - as defined above and reconciled to the GAAP measures in the section titled GAAP to Non-GAAP Financial Measures Reconciled</w:t>
      </w:r>
    </w:p>
    <w:p>
      <w:pPr>
        <w:sectPr>
          <w:pgSz w:w="11900" w:h="16838" w:orient="portrait"/>
          <w:cols w:equalWidth="0" w:num="1">
            <w:col w:w="11240"/>
          </w:cols>
          <w:pgMar w:left="320" w:top="1157"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157" w:right="33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(Unaudited)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80" w:type="dxa"/>
            <w:vAlign w:val="bottom"/>
          </w:tcPr>
          <w:p>
            <w:pPr>
              <w:spacing w:after="0"/>
              <w:rPr>
                <w:sz w:val="20"/>
                <w:szCs w:val="20"/>
                <w:color w:val="auto"/>
              </w:rPr>
            </w:pPr>
          </w:p>
        </w:tc>
        <w:tc>
          <w:tcPr>
            <w:tcW w:w="3360" w:type="dxa"/>
            <w:vAlign w:val="bottom"/>
            <w:gridSpan w:val="6"/>
          </w:tcPr>
          <w:p>
            <w:pPr>
              <w:jc w:val="right"/>
              <w:spacing w:after="0"/>
              <w:rPr>
                <w:sz w:val="20"/>
                <w:szCs w:val="20"/>
                <w:color w:val="auto"/>
              </w:rPr>
            </w:pPr>
            <w:r>
              <w:rPr>
                <w:rFonts w:ascii="Times New Roman" w:cs="Times New Roman" w:eastAsia="Times New Roman" w:hAnsi="Times New Roman"/>
                <w:sz w:val="18"/>
                <w:szCs w:val="18"/>
                <w:i w:val="1"/>
                <w:iCs w:val="1"/>
                <w:color w:val="auto"/>
                <w:w w:val="98"/>
              </w:rPr>
              <w:t>($ in Millions, Except Margin in Percentages)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79"/>
        </w:trPr>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1,405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1,358</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1,274</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2,763</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2,460</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Weatherford</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Margin</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5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336</w:t>
            </w:r>
          </w:p>
        </w:tc>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701</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Margin*</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26.0 %</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25.4 %</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22.8 %</w:t>
            </w:r>
          </w:p>
        </w:tc>
      </w:tr>
      <w:tr>
        <w:trPr>
          <w:trHeight w:val="270"/>
        </w:trPr>
        <w:tc>
          <w:tcPr>
            <w:tcW w:w="3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Weatherford</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125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112</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237</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Net Income Attributable to Noncontrolling Interests</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132</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176"/>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Interest Expense, Net of Interest Income of $17,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$14, $16, $31 and $32</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Pr>
          <w:p>
            <w:pPr>
              <w:spacing w:after="0"/>
              <w:rPr>
                <w:sz w:val="21"/>
                <w:szCs w:val="21"/>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w:t>
            </w:r>
          </w:p>
        </w:tc>
        <w:tc>
          <w:tcPr>
            <w:tcW w:w="340" w:type="dxa"/>
            <w:vAlign w:val="bottom"/>
          </w:tcPr>
          <w:p>
            <w:pPr>
              <w:spacing w:after="0"/>
              <w:rPr>
                <w:sz w:val="21"/>
                <w:szCs w:val="21"/>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Blue Chip Swap Securities</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3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264</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233</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r>
      <w:tr>
        <w:trPr>
          <w:trHeight w:val="229"/>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44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85</w:t>
            </w:r>
          </w:p>
        </w:tc>
        <w:tc>
          <w:tcPr>
            <w:tcW w:w="58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19"/>
                <w:szCs w:val="19"/>
                <w:color w:val="auto"/>
              </w:rPr>
            </w:pPr>
          </w:p>
        </w:tc>
        <w:tc>
          <w:tcPr>
            <w:tcW w:w="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3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Charges (Credits)</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9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13</w:t>
            </w:r>
          </w:p>
        </w:tc>
        <w:tc>
          <w:tcPr>
            <w:tcW w:w="5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25</w:t>
            </w: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365</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336</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701</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131</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281</w:t>
            </w:r>
          </w:p>
        </w:tc>
        <w:tc>
          <w:tcPr>
            <w:tcW w:w="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w:t>
            </w:r>
          </w:p>
        </w:tc>
      </w:tr>
      <w:tr>
        <w:trPr>
          <w:trHeight w:val="175"/>
        </w:trPr>
        <w:tc>
          <w:tcPr>
            <w:tcW w:w="398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Capital Expenditures for Property, Plant and</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43"/>
        </w:trPr>
        <w:tc>
          <w:tcPr>
            <w:tcW w:w="3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w:t>
            </w:r>
          </w:p>
        </w:tc>
        <w:tc>
          <w:tcPr>
            <w:tcW w:w="440" w:type="dxa"/>
            <w:vAlign w:val="bottom"/>
          </w:tcPr>
          <w:p>
            <w:pPr>
              <w:spacing w:after="0"/>
              <w:rPr>
                <w:sz w:val="21"/>
                <w:szCs w:val="21"/>
                <w:color w:val="auto"/>
              </w:rPr>
            </w:pP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580" w:type="dxa"/>
            <w:vAlign w:val="bottom"/>
          </w:tcPr>
          <w:p>
            <w:pPr>
              <w:spacing w:after="0"/>
              <w:rPr>
                <w:sz w:val="21"/>
                <w:szCs w:val="21"/>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(121)</w:t>
            </w:r>
          </w:p>
        </w:tc>
        <w:tc>
          <w:tcPr>
            <w:tcW w:w="340" w:type="dxa"/>
            <w:vAlign w:val="bottom"/>
          </w:tcPr>
          <w:p>
            <w:pPr>
              <w:spacing w:after="0"/>
              <w:rPr>
                <w:sz w:val="21"/>
                <w:szCs w:val="21"/>
                <w:color w:val="auto"/>
              </w:rPr>
            </w:pPr>
          </w:p>
        </w:tc>
        <w:tc>
          <w:tcPr>
            <w:tcW w:w="8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9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18</w:t>
            </w: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3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50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82</w:t>
            </w:r>
          </w:p>
        </w:tc>
        <w:tc>
          <w:tcPr>
            <w:tcW w:w="5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178</w:t>
            </w: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199</w:t>
            </w:r>
          </w:p>
        </w:tc>
      </w:tr>
      <w:tr>
        <w:trPr>
          <w:trHeight w:val="20"/>
        </w:trPr>
        <w:tc>
          <w:tcPr>
            <w:tcW w:w="3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460"/>
          </w:cols>
          <w:pgMar w:left="320" w:top="1035" w:right="11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460"/>
          </w:cols>
          <w:pgMar w:left="320" w:top="1035" w:right="1119" w:bottom="1440" w:gutter="0" w:footer="0" w:header="0"/>
          <w:type w:val="continuous"/>
        </w:sectPr>
      </w:pPr>
    </w:p>
    <w:bookmarkStart w:id="19" w:name="page20"/>
    <w:bookmarkEnd w:id="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GAAP to Non-GAAP Financial Measures Reconciled Continued (Unaudited)</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in Millions)</w:t>
            </w:r>
          </w:p>
        </w:tc>
        <w:tc>
          <w:tcPr>
            <w:tcW w:w="12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20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Borders>
              <w:top w:val="single" w:sz="8" w:color="auto"/>
              <w:bottom w:val="single" w:sz="8" w:color="auto"/>
            </w:tcBorders>
          </w:tcPr>
          <w:p>
            <w:pPr>
              <w:spacing w:after="0"/>
              <w:rPr>
                <w:sz w:val="21"/>
                <w:szCs w:val="21"/>
                <w:color w:val="auto"/>
              </w:rPr>
            </w:pPr>
          </w:p>
        </w:tc>
      </w:tr>
      <w:tr>
        <w:trPr>
          <w:trHeight w:val="22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shd w:val="clear" w:color="auto" w:fill="CCEEFF"/>
          </w:tcPr>
          <w:p>
            <w:pPr>
              <w:spacing w:after="0"/>
              <w:rPr>
                <w:sz w:val="19"/>
                <w:szCs w:val="19"/>
                <w:color w:val="auto"/>
              </w:rPr>
            </w:pPr>
          </w:p>
        </w:tc>
      </w:tr>
      <w:tr>
        <w:trPr>
          <w:trHeight w:val="229"/>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Borders>
              <w:bottom w:val="single" w:sz="8" w:color="auto"/>
            </w:tcBorders>
          </w:tcPr>
          <w:p>
            <w:pPr>
              <w:spacing w:after="0"/>
              <w:rPr>
                <w:sz w:val="19"/>
                <w:szCs w:val="19"/>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1,648</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1,730</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shd w:val="clear" w:color="auto" w:fill="CCEEFF"/>
          </w:tcPr>
          <w:p>
            <w:pPr>
              <w:spacing w:after="0"/>
              <w:rPr>
                <w:sz w:val="19"/>
                <w:szCs w:val="19"/>
                <w:color w:val="auto"/>
              </w:rPr>
            </w:pPr>
          </w:p>
        </w:tc>
      </w:tr>
      <w:tr>
        <w:trPr>
          <w:trHeight w:val="250"/>
        </w:trPr>
        <w:tc>
          <w:tcPr>
            <w:tcW w:w="5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shd w:val="clear" w:color="auto" w:fill="CCEEFF"/>
          </w:tcPr>
          <w:p>
            <w:pPr>
              <w:spacing w:after="0"/>
              <w:rPr>
                <w:sz w:val="19"/>
                <w:szCs w:val="19"/>
                <w:color w:val="auto"/>
              </w:rPr>
            </w:pPr>
          </w:p>
        </w:tc>
      </w:tr>
      <w:tr>
        <w:trPr>
          <w:trHeight w:val="230"/>
        </w:trPr>
        <w:tc>
          <w:tcPr>
            <w:tcW w:w="57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auto"/>
            </w:tcBorders>
          </w:tcPr>
          <w:p>
            <w:pPr>
              <w:spacing w:after="0"/>
              <w:rPr>
                <w:sz w:val="19"/>
                <w:szCs w:val="19"/>
                <w:color w:val="auto"/>
              </w:rPr>
            </w:pPr>
          </w:p>
        </w:tc>
      </w:tr>
      <w:tr>
        <w:trPr>
          <w:trHeight w:val="223"/>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w:t>
            </w: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920</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937</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20" w:type="dxa"/>
            <w:vAlign w:val="bottom"/>
            <w:tcBorders>
              <w:bottom w:val="single" w:sz="8" w:color="auto"/>
            </w:tcBorders>
            <w:shd w:val="clear" w:color="auto" w:fill="CCEEFF"/>
          </w:tcPr>
          <w:p>
            <w:pPr>
              <w:spacing w:after="0"/>
              <w:rPr>
                <w:sz w:val="19"/>
                <w:szCs w:val="19"/>
                <w:color w:val="auto"/>
              </w:rPr>
            </w:pPr>
          </w:p>
        </w:tc>
      </w:tr>
      <w:tr>
        <w:trPr>
          <w:trHeight w:val="250"/>
        </w:trPr>
        <w:tc>
          <w:tcPr>
            <w:tcW w:w="57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Debt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r>
      <w:tr>
        <w:trPr>
          <w:trHeight w:val="229"/>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9"/>
                <w:szCs w:val="19"/>
                <w:color w:val="auto"/>
              </w:rPr>
            </w:pPr>
          </w:p>
        </w:tc>
      </w:tr>
      <w:tr>
        <w:trPr>
          <w:trHeight w:val="229"/>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1,628</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1,629</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CEEFF"/>
          </w:tcPr>
          <w:p>
            <w:pPr>
              <w:spacing w:after="0"/>
              <w:rPr>
                <w:sz w:val="19"/>
                <w:szCs w:val="19"/>
                <w:color w:val="auto"/>
              </w:rPr>
            </w:pPr>
          </w:p>
        </w:tc>
      </w:tr>
      <w:tr>
        <w:trPr>
          <w:trHeight w:val="230"/>
        </w:trPr>
        <w:tc>
          <w:tcPr>
            <w:tcW w:w="5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2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20" w:type="dxa"/>
            <w:vAlign w:val="bottom"/>
          </w:tcPr>
          <w:p>
            <w:pPr>
              <w:spacing w:after="0"/>
              <w:rPr>
                <w:sz w:val="19"/>
                <w:szCs w:val="19"/>
                <w:color w:val="auto"/>
              </w:rPr>
            </w:pPr>
          </w:p>
        </w:tc>
      </w:tr>
      <w:tr>
        <w:trPr>
          <w:trHeight w:val="229"/>
        </w:trPr>
        <w:tc>
          <w:tcPr>
            <w:tcW w:w="570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Restricted Cash</w:t>
            </w:r>
          </w:p>
        </w:tc>
        <w:tc>
          <w:tcPr>
            <w:tcW w:w="4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tcBorders>
              <w:bottom w:val="single" w:sz="8" w:color="auto"/>
            </w:tcBorders>
            <w:shd w:val="clear" w:color="auto" w:fill="CCEEFF"/>
          </w:tcPr>
          <w:p>
            <w:pPr>
              <w:spacing w:after="0"/>
              <w:rPr>
                <w:sz w:val="19"/>
                <w:szCs w:val="19"/>
                <w:color w:val="auto"/>
              </w:rPr>
            </w:pPr>
          </w:p>
        </w:tc>
      </w:tr>
      <w:tr>
        <w:trPr>
          <w:trHeight w:val="223"/>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728</w:t>
            </w:r>
          </w:p>
        </w:tc>
        <w:tc>
          <w:tcPr>
            <w:tcW w:w="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20" w:type="dxa"/>
            <w:vAlign w:val="bottom"/>
            <w:tcBorders>
              <w:bottom w:val="single" w:sz="8" w:color="auto"/>
            </w:tcBorders>
          </w:tcPr>
          <w:p>
            <w:pPr>
              <w:spacing w:after="0"/>
              <w:rPr>
                <w:sz w:val="19"/>
                <w:szCs w:val="19"/>
                <w:color w:val="auto"/>
              </w:rPr>
            </w:pPr>
          </w:p>
        </w:tc>
      </w:tr>
      <w:tr>
        <w:trPr>
          <w:trHeight w:val="250"/>
        </w:trPr>
        <w:tc>
          <w:tcPr>
            <w:tcW w:w="57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r>
      <w:tr>
        <w:trPr>
          <w:trHeight w:val="229"/>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for trailing 12 months</w:t>
            </w: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457</w:t>
            </w: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9"/>
                <w:szCs w:val="19"/>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for trailing 12 months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1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w:t>
            </w:r>
          </w:p>
        </w:tc>
        <w:tc>
          <w:tcPr>
            <w:tcW w:w="220" w:type="dxa"/>
            <w:vAlign w:val="bottom"/>
            <w:shd w:val="clear" w:color="auto" w:fill="CCEEFF"/>
          </w:tcPr>
          <w:p>
            <w:pPr>
              <w:spacing w:after="0"/>
              <w:rPr>
                <w:sz w:val="19"/>
                <w:szCs w:val="19"/>
                <w:color w:val="auto"/>
              </w:rPr>
            </w:pPr>
          </w:p>
        </w:tc>
      </w:tr>
      <w:tr>
        <w:trPr>
          <w:trHeight w:val="270"/>
        </w:trPr>
        <w:tc>
          <w:tcPr>
            <w:tcW w:w="5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Leverage* (Net Debt*/Adjusted EBITDA*)</w:t>
            </w: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x</w:t>
            </w: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x</w:t>
            </w: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*Non-GAAP - as reconciled to the GAAP measures above and defined in the section titled Non-GAAP Financial Measures Defined</w:t>
      </w:r>
    </w:p>
    <w:p>
      <w:pPr>
        <w:sectPr>
          <w:pgSz w:w="11900" w:h="16838" w:orient="portrait"/>
          <w:cols w:equalWidth="0" w:num="1">
            <w:col w:w="10100"/>
          </w:cols>
          <w:pgMar w:left="900" w:top="1035" w:right="89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0100"/>
      </w:cols>
      <w:pgMar w:left="900" w:top="1035" w:right="8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lvl w:ilvl="1">
      <w:lvlJc w:val="left"/>
      <w:lvlText w:val="◦"/>
      <w:numFmt w:val="bullet"/>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2024-07-23T15:51:13Z</dcterms:created>
  <dcterms:modified xsi:type="dcterms:W3CDTF">2024-07-23T15:51:13Z</dcterms:modified>
</cp:coreProperties>
</file>