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2024</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3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On September 4, 2024, a representative of Weatherford International plc is expected to meet with analysts and investors in a fireside chat at the Barclays 38th Annual CEO Energy &amp; Power Conference. A webcast of the event will be available from the date of the event at https://cc.webcasts.com/barc002/090324b_js/?entity=23_P0L4KV4.</w:t>
      </w:r>
    </w:p>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34" w:right="4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33"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22"/>
          <w:szCs w:val="22"/>
          <w:color w:val="auto"/>
        </w:rPr>
        <w:t>Date: September 3, 2024</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Scott C. Weatherholt</w:t>
      </w:r>
    </w:p>
    <w:p>
      <w:pPr>
        <w:spacing w:after="0" w:line="1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Executive Vice President, General Counsel and Chief Compliance Officer</w:t>
      </w:r>
    </w:p>
    <w:sectPr>
      <w:pgSz w:w="11900" w:h="16838" w:orient="portrait"/>
      <w:cols w:equalWidth="0" w:num="1">
        <w:col w:w="11160"/>
      </w:cols>
      <w:pgMar w:left="320" w:top="89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2024-09-03T16:37:33Z</dcterms:created>
  <dcterms:modified xsi:type="dcterms:W3CDTF">2024-09-03T16:37:33Z</dcterms:modified>
</cp:coreProperties>
</file>