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Weatherford International plc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Ordinary Shares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G48833118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December 31, 2023</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 of Event Which Requires Filing of this Statement)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ectPr>
          <w:pgSz w:w="11900" w:h="16838" w:orient="portrait"/>
          <w:cols w:equalWidth="0" w:num="1">
            <w:col w:w="11240"/>
          </w:cols>
          <w:pgMar w:left="320" w:top="216" w:right="339" w:bottom="1440" w:gutter="0" w:footer="0" w:header="0"/>
        </w:sectPr>
      </w:pPr>
    </w:p>
    <w:p>
      <w:pPr>
        <w:spacing w:after="0" w:line="201" w:lineRule="exact"/>
        <w:rPr>
          <w:sz w:val="24"/>
          <w:szCs w:val="24"/>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13d-1(b)</w:t>
      </w:r>
    </w:p>
    <w:p>
      <w:pPr>
        <w:spacing w:after="0" w:line="200" w:lineRule="exact"/>
        <w:rPr>
          <w:sz w:val="24"/>
          <w:szCs w:val="24"/>
          <w:color w:val="auto"/>
        </w:rPr>
      </w:pPr>
    </w:p>
    <w:p>
      <w:pPr>
        <w:sectPr>
          <w:pgSz w:w="11900" w:h="16838" w:orient="portrait"/>
          <w:cols w:equalWidth="0" w:num="2">
            <w:col w:w="1400" w:space="720"/>
            <w:col w:w="9120"/>
          </w:cols>
          <w:pgMar w:left="320" w:top="216" w:right="339" w:bottom="1440" w:gutter="0" w:footer="0" w:header="0"/>
          <w:type w:val="continuous"/>
        </w:sectPr>
      </w:pPr>
    </w:p>
    <w:p>
      <w:pPr>
        <w:spacing w:after="0" w:line="13" w:lineRule="exact"/>
        <w:rPr>
          <w:sz w:val="24"/>
          <w:szCs w:val="24"/>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200" w:lineRule="exact"/>
        <w:rPr>
          <w:sz w:val="24"/>
          <w:szCs w:val="24"/>
          <w:color w:val="auto"/>
        </w:rPr>
      </w:pPr>
    </w:p>
    <w:p>
      <w:pPr>
        <w:sectPr>
          <w:pgSz w:w="11900" w:h="16838" w:orient="portrait"/>
          <w:cols w:equalWidth="0" w:num="2">
            <w:col w:w="1400" w:space="720"/>
            <w:col w:w="9120"/>
          </w:cols>
          <w:pgMar w:left="320" w:top="216" w:right="339" w:bottom="1440" w:gutter="0" w:footer="0" w:header="0"/>
          <w:type w:val="continuous"/>
        </w:sectPr>
      </w:pPr>
    </w:p>
    <w:p>
      <w:pPr>
        <w:spacing w:after="0" w:line="13" w:lineRule="exact"/>
        <w:rPr>
          <w:sz w:val="24"/>
          <w:szCs w:val="24"/>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1400" w:space="720"/>
            <w:col w:w="9120"/>
          </w:cols>
          <w:pgMar w:left="320" w:top="216" w:right="339" w:bottom="1440" w:gutter="0" w:footer="0" w:header="0"/>
          <w:type w:val="continuous"/>
        </w:sectPr>
      </w:pPr>
    </w:p>
    <w:p>
      <w:pPr>
        <w:spacing w:after="0" w:line="18" w:lineRule="exact"/>
        <w:rPr>
          <w:sz w:val="24"/>
          <w:szCs w:val="24"/>
          <w:color w:val="auto"/>
        </w:rPr>
      </w:pPr>
    </w:p>
    <w:p>
      <w:pPr>
        <w:jc w:val="both"/>
        <w:ind w:firstLine="8"/>
        <w:spacing w:after="0" w:line="244" w:lineRule="auto"/>
        <w:tabs>
          <w:tab w:leader="none" w:pos="21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ind w:left="1360" w:hanging="1190"/>
        <w:spacing w:after="0" w:line="182" w:lineRule="auto"/>
        <w:tabs>
          <w:tab w:leader="none" w:pos="13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3"/>
          <w:szCs w:val="13"/>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963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963160"/>
                    </a:xfrm>
                    <a:prstGeom prst="rect">
                      <a:avLst/>
                    </a:prstGeom>
                    <a:noFill/>
                  </pic:spPr>
                </pic:pic>
              </a:graphicData>
            </a:graphic>
          </wp:anchor>
        </w:drawing>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94"/>
        </w:trPr>
        <w:tc>
          <w:tcPr>
            <w:tcW w:w="13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Yacktman Asset Management LP</w:t>
            </w:r>
          </w:p>
        </w:tc>
        <w:tc>
          <w:tcPr>
            <w:tcW w:w="2840" w:type="dxa"/>
            <w:vAlign w:val="bottom"/>
            <w:tcBorders>
              <w:bottom w:val="single" w:sz="8" w:color="auto"/>
            </w:tcBorders>
          </w:tcPr>
          <w:p>
            <w:pPr>
              <w:spacing w:after="0"/>
              <w:rPr>
                <w:sz w:val="24"/>
                <w:szCs w:val="24"/>
                <w:color w:val="auto"/>
              </w:rPr>
            </w:pPr>
          </w:p>
        </w:tc>
      </w:tr>
      <w:tr>
        <w:trPr>
          <w:trHeight w:val="213"/>
        </w:trPr>
        <w:tc>
          <w:tcPr>
            <w:tcW w:w="1320" w:type="dxa"/>
            <w:vAlign w:val="bottom"/>
          </w:tcPr>
          <w:p>
            <w:pPr>
              <w:jc w:val="right"/>
              <w:ind w:right="919"/>
              <w:spacing w:after="0" w:line="213" w:lineRule="exact"/>
              <w:rPr>
                <w:sz w:val="20"/>
                <w:szCs w:val="20"/>
                <w:color w:val="auto"/>
              </w:rPr>
            </w:pPr>
            <w:r>
              <w:rPr>
                <w:rFonts w:ascii="Times New Roman" w:cs="Times New Roman" w:eastAsia="Times New Roman" w:hAnsi="Times New Roman"/>
                <w:sz w:val="24"/>
                <w:szCs w:val="24"/>
                <w:b w:val="1"/>
                <w:bCs w:val="1"/>
                <w:color w:val="auto"/>
              </w:rPr>
              <w:t>2</w:t>
            </w:r>
          </w:p>
        </w:tc>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tc>
        <w:tc>
          <w:tcPr>
            <w:tcW w:w="2840" w:type="dxa"/>
            <w:vAlign w:val="bottom"/>
          </w:tcPr>
          <w:p>
            <w:pPr>
              <w:ind w:left="1600"/>
              <w:spacing w:after="0" w:line="213"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r>
      <w:tr>
        <w:trPr>
          <w:trHeight w:val="362"/>
        </w:trPr>
        <w:tc>
          <w:tcPr>
            <w:tcW w:w="13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40" w:type="dxa"/>
            <w:vAlign w:val="bottom"/>
          </w:tcPr>
          <w:p>
            <w:pPr>
              <w:ind w:left="160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r>
    </w:tbl>
    <w:p>
      <w:pPr>
        <w:ind w:left="1360" w:hanging="1190"/>
        <w:spacing w:after="0" w:line="181" w:lineRule="auto"/>
        <w:tabs>
          <w:tab w:leader="none" w:pos="1360" w:val="left"/>
        </w:tabs>
        <w:numPr>
          <w:ilvl w:val="0"/>
          <w:numId w:val="3"/>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3"/>
          <w:szCs w:val="13"/>
          <w:color w:val="auto"/>
        </w:rPr>
        <w:t>SEC USE ONLY</w:t>
      </w:r>
    </w:p>
    <w:p>
      <w:pPr>
        <w:spacing w:after="0" w:line="46" w:lineRule="exact"/>
        <w:rPr>
          <w:sz w:val="20"/>
          <w:szCs w:val="20"/>
          <w:color w:val="auto"/>
        </w:rPr>
      </w:pPr>
    </w:p>
    <w:p>
      <w:pPr>
        <w:ind w:left="1360" w:hanging="1190"/>
        <w:spacing w:after="0"/>
        <w:tabs>
          <w:tab w:leader="none" w:pos="1360" w:val="left"/>
        </w:tabs>
        <w:numPr>
          <w:ilvl w:val="0"/>
          <w:numId w:val="4"/>
        </w:numPr>
        <w:rPr>
          <w:rFonts w:ascii="Times New Roman" w:cs="Times New Roman" w:eastAsia="Times New Roman" w:hAnsi="Times New Roman"/>
          <w:sz w:val="50"/>
          <w:szCs w:val="50"/>
          <w:b w:val="1"/>
          <w:bCs w:val="1"/>
          <w:color w:val="auto"/>
          <w:vertAlign w:val="subscript"/>
        </w:rPr>
      </w:pPr>
      <w:r>
        <w:rPr>
          <w:rFonts w:ascii="Times New Roman" w:cs="Times New Roman" w:eastAsia="Times New Roman" w:hAnsi="Times New Roman"/>
          <w:sz w:val="14"/>
          <w:szCs w:val="14"/>
          <w:color w:val="auto"/>
        </w:rPr>
        <w:t>CITIZENSHIP OR PLACE OF ORGANIZATION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10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Times New Roman" w:cs="Times New Roman" w:eastAsia="Times New Roman" w:hAnsi="Times New Roman"/>
                <w:sz w:val="25"/>
                <w:szCs w:val="25"/>
                <w:b w:val="1"/>
                <w:bCs w:val="1"/>
                <w:color w:val="auto"/>
              </w:rPr>
              <w:t>5</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80" w:type="dxa"/>
            <w:vAlign w:val="bottom"/>
          </w:tcPr>
          <w:p>
            <w:pPr>
              <w:spacing w:after="0"/>
              <w:rPr>
                <w:sz w:val="23"/>
                <w:szCs w:val="23"/>
                <w:color w:val="auto"/>
              </w:rPr>
            </w:pPr>
          </w:p>
        </w:tc>
        <w:tc>
          <w:tcPr>
            <w:tcW w:w="2180" w:type="dxa"/>
            <w:vAlign w:val="bottom"/>
            <w:tcBorders>
              <w:right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1,384,500</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180" w:type="dxa"/>
            <w:vAlign w:val="bottom"/>
            <w:tcBorders>
              <w:right w:val="single" w:sz="8" w:color="auto"/>
            </w:tcBorders>
            <w:gridSpan w:val="2"/>
          </w:tcPr>
          <w:p>
            <w:pPr>
              <w:jc w:val="center"/>
              <w:ind w:right="369"/>
              <w:spacing w:after="0" w:line="27" w:lineRule="exact"/>
              <w:rPr>
                <w:sz w:val="20"/>
                <w:szCs w:val="20"/>
                <w:color w:val="auto"/>
              </w:rPr>
            </w:pPr>
            <w:r>
              <w:rPr>
                <w:rFonts w:ascii="Times New Roman" w:cs="Times New Roman" w:eastAsia="Times New Roman" w:hAnsi="Times New Roman"/>
                <w:sz w:val="3"/>
                <w:szCs w:val="3"/>
                <w:b w:val="1"/>
                <w:bCs w:val="1"/>
                <w:color w:val="auto"/>
              </w:rPr>
              <w:t>SHARES</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Times New Roman" w:cs="Times New Roman" w:eastAsia="Times New Roman" w:hAnsi="Times New Roman"/>
                <w:sz w:val="3"/>
                <w:szCs w:val="3"/>
                <w:b w:val="1"/>
                <w:bCs w:val="1"/>
                <w:color w:val="auto"/>
              </w:rPr>
              <w:t>6</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180" w:type="dxa"/>
            <w:vAlign w:val="bottom"/>
            <w:tcBorders>
              <w:right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5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180" w:type="dxa"/>
            <w:vAlign w:val="bottom"/>
            <w:tcBorders>
              <w:right w:val="single" w:sz="8" w:color="auto"/>
            </w:tcBorders>
            <w:gridSpan w:val="2"/>
          </w:tcPr>
          <w:p>
            <w:pPr>
              <w:jc w:val="center"/>
              <w:ind w:right="369"/>
              <w:spacing w:after="0" w:line="27" w:lineRule="exact"/>
              <w:rPr>
                <w:sz w:val="20"/>
                <w:szCs w:val="20"/>
                <w:color w:val="auto"/>
              </w:rPr>
            </w:pPr>
            <w:r>
              <w:rPr>
                <w:rFonts w:ascii="Times New Roman" w:cs="Times New Roman" w:eastAsia="Times New Roman" w:hAnsi="Times New Roman"/>
                <w:sz w:val="3"/>
                <w:szCs w:val="3"/>
                <w:b w:val="1"/>
                <w:bCs w:val="1"/>
                <w:color w:val="auto"/>
              </w:rPr>
              <w:t>EACH</w:t>
            </w: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jc w:val="right"/>
              <w:ind w:right="549"/>
              <w:spacing w:after="0" w:line="27" w:lineRule="exact"/>
              <w:rPr>
                <w:sz w:val="20"/>
                <w:szCs w:val="20"/>
                <w:color w:val="auto"/>
              </w:rPr>
            </w:pPr>
            <w:r>
              <w:rPr>
                <w:rFonts w:ascii="Times New Roman" w:cs="Times New Roman" w:eastAsia="Times New Roman" w:hAnsi="Times New Roman"/>
                <w:sz w:val="3"/>
                <w:szCs w:val="3"/>
                <w:b w:val="1"/>
                <w:bCs w:val="1"/>
                <w:color w:val="auto"/>
              </w:rPr>
              <w:t>7</w:t>
            </w:r>
          </w:p>
        </w:tc>
        <w:tc>
          <w:tcPr>
            <w:tcW w:w="55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SOLE DISPOSITIVE POWER</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1,384,500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180" w:type="dxa"/>
            <w:vAlign w:val="bottom"/>
            <w:tcBorders>
              <w:right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2180" w:type="dxa"/>
            <w:vAlign w:val="bottom"/>
            <w:tcBorders>
              <w:right w:val="single" w:sz="8" w:color="auto"/>
            </w:tcBorders>
            <w:gridSpan w:val="2"/>
            <w:vMerge w:val="restart"/>
          </w:tcPr>
          <w:p>
            <w:pPr>
              <w:jc w:val="center"/>
              <w:ind w:right="369"/>
              <w:spacing w:after="0"/>
              <w:rPr>
                <w:sz w:val="20"/>
                <w:szCs w:val="20"/>
                <w:color w:val="auto"/>
              </w:rPr>
            </w:pPr>
            <w:r>
              <w:rPr>
                <w:rFonts w:ascii="Times New Roman" w:cs="Times New Roman" w:eastAsia="Times New Roman" w:hAnsi="Times New Roman"/>
                <w:sz w:val="18"/>
                <w:szCs w:val="18"/>
                <w:b w:val="1"/>
                <w:bCs w:val="1"/>
                <w:color w:val="auto"/>
              </w:rPr>
              <w:t>WITH</w:t>
            </w:r>
          </w:p>
        </w:tc>
        <w:tc>
          <w:tcPr>
            <w:tcW w:w="300" w:type="dxa"/>
            <w:vAlign w:val="bottom"/>
          </w:tcPr>
          <w:p>
            <w:pPr>
              <w:spacing w:after="0"/>
              <w:rPr>
                <w:sz w:val="16"/>
                <w:szCs w:val="16"/>
                <w:color w:val="auto"/>
              </w:rPr>
            </w:pPr>
          </w:p>
        </w:tc>
        <w:tc>
          <w:tcPr>
            <w:tcW w:w="1040" w:type="dxa"/>
            <w:vAlign w:val="bottom"/>
            <w:tcBorders>
              <w:right w:val="single" w:sz="8" w:color="auto"/>
            </w:tcBorders>
            <w:vMerge w:val="restart"/>
          </w:tcPr>
          <w:p>
            <w:pPr>
              <w:jc w:val="right"/>
              <w:ind w:right="549"/>
              <w:spacing w:after="0"/>
              <w:rPr>
                <w:sz w:val="20"/>
                <w:szCs w:val="20"/>
                <w:color w:val="auto"/>
              </w:rPr>
            </w:pPr>
            <w:r>
              <w:rPr>
                <w:rFonts w:ascii="Times New Roman" w:cs="Times New Roman" w:eastAsia="Times New Roman" w:hAnsi="Times New Roman"/>
                <w:sz w:val="25"/>
                <w:szCs w:val="25"/>
                <w:b w:val="1"/>
                <w:bCs w:val="1"/>
                <w:color w:val="auto"/>
              </w:rPr>
              <w:t>8</w:t>
            </w: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180" w:type="dxa"/>
            <w:vAlign w:val="bottom"/>
            <w:tcBorders>
              <w:right w:val="single" w:sz="8" w:color="auto"/>
            </w:tcBorders>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jc w:val="right"/>
              <w:ind w:right="54"/>
              <w:spacing w:after="0"/>
              <w:rPr>
                <w:sz w:val="20"/>
                <w:szCs w:val="20"/>
                <w:color w:val="auto"/>
              </w:rPr>
            </w:pPr>
            <w:r>
              <w:rPr>
                <w:rFonts w:ascii="Times New Roman" w:cs="Times New Roman" w:eastAsia="Times New Roman" w:hAnsi="Times New Roman"/>
                <w:sz w:val="25"/>
                <w:szCs w:val="25"/>
                <w:b w:val="1"/>
                <w:bCs w:val="1"/>
                <w:color w:val="auto"/>
              </w:rPr>
              <w:t>9</w:t>
            </w:r>
          </w:p>
        </w:tc>
        <w:tc>
          <w:tcPr>
            <w:tcW w:w="880" w:type="dxa"/>
            <w:vAlign w:val="bottom"/>
            <w:tcBorders>
              <w:right w:val="single" w:sz="8" w:color="auto"/>
            </w:tcBorders>
          </w:tcPr>
          <w:p>
            <w:pPr>
              <w:spacing w:after="0"/>
              <w:rPr>
                <w:sz w:val="16"/>
                <w:szCs w:val="16"/>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1,384,500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8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10</w:t>
            </w:r>
          </w:p>
        </w:tc>
        <w:tc>
          <w:tcPr>
            <w:tcW w:w="880" w:type="dxa"/>
            <w:vAlign w:val="bottom"/>
            <w:tcBorders>
              <w:right w:val="single" w:sz="8" w:color="auto"/>
            </w:tcBorders>
          </w:tcPr>
          <w:p>
            <w:pPr>
              <w:spacing w:after="0"/>
              <w:rPr>
                <w:sz w:val="24"/>
                <w:szCs w:val="24"/>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r>
              <w:rPr>
                <w:rFonts w:ascii="Times New Roman" w:cs="Times New Roman" w:eastAsia="Times New Roman" w:hAnsi="Times New Roman"/>
                <w:sz w:val="17"/>
                <w:szCs w:val="17"/>
                <w:color w:val="auto"/>
              </w:rPr>
              <w:t>)</w:t>
            </w:r>
          </w:p>
        </w:tc>
        <w:tc>
          <w:tcPr>
            <w:tcW w:w="16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348"/>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Not Applicable</w:t>
            </w:r>
          </w:p>
        </w:tc>
        <w:tc>
          <w:tcPr>
            <w:tcW w:w="10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11</w:t>
            </w:r>
          </w:p>
        </w:tc>
        <w:tc>
          <w:tcPr>
            <w:tcW w:w="880" w:type="dxa"/>
            <w:vAlign w:val="bottom"/>
            <w:tcBorders>
              <w:right w:val="single" w:sz="8" w:color="auto"/>
            </w:tcBorders>
          </w:tcPr>
          <w:p>
            <w:pPr>
              <w:spacing w:after="0"/>
              <w:rPr>
                <w:sz w:val="16"/>
                <w:szCs w:val="16"/>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line="275" w:lineRule="exact"/>
              <w:rPr>
                <w:sz w:val="20"/>
                <w:szCs w:val="20"/>
                <w:color w:val="auto"/>
              </w:rPr>
            </w:pPr>
            <w:r>
              <w:rPr>
                <w:rFonts w:ascii="Times New Roman" w:cs="Times New Roman" w:eastAsia="Times New Roman" w:hAnsi="Times New Roman"/>
                <w:sz w:val="20"/>
                <w:szCs w:val="20"/>
                <w:color w:val="auto"/>
              </w:rPr>
              <w:t>1.92%</w:t>
            </w:r>
            <w:r>
              <w:rPr>
                <w:rFonts w:ascii="Times New Roman" w:cs="Times New Roman" w:eastAsia="Times New Roman" w:hAnsi="Times New Roman"/>
                <w:sz w:val="31"/>
                <w:szCs w:val="3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12</w:t>
            </w:r>
          </w:p>
        </w:tc>
        <w:tc>
          <w:tcPr>
            <w:tcW w:w="880" w:type="dxa"/>
            <w:vAlign w:val="bottom"/>
            <w:tcBorders>
              <w:right w:val="single" w:sz="8" w:color="auto"/>
            </w:tcBorders>
          </w:tcPr>
          <w:p>
            <w:pPr>
              <w:spacing w:after="0"/>
              <w:rPr>
                <w:sz w:val="16"/>
                <w:szCs w:val="16"/>
                <w:color w:val="auto"/>
              </w:rPr>
            </w:pPr>
          </w:p>
        </w:tc>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IA</w:t>
            </w:r>
          </w:p>
        </w:tc>
        <w:tc>
          <w:tcPr>
            <w:tcW w:w="10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580" w:right="440" w:hanging="491"/>
        <w:spacing w:after="0" w:line="258" w:lineRule="auto"/>
        <w:tabs>
          <w:tab w:leader="none" w:pos="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a total of 72,118,595 shares outstanding as of October 19, 2023, as reported on the Issuer’s Form 10-Q, as filed with the SEC on October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1(a).</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Name of Issuer:</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1"/>
        </w:trPr>
        <w:tc>
          <w:tcPr>
            <w:tcW w:w="1460" w:type="dxa"/>
            <w:vAlign w:val="bottom"/>
          </w:tcPr>
          <w:p>
            <w:pPr>
              <w:spacing w:after="0"/>
              <w:rPr>
                <w:sz w:val="24"/>
                <w:szCs w:val="24"/>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Weatherford International plc</w:t>
            </w:r>
          </w:p>
        </w:tc>
      </w:tr>
      <w:tr>
        <w:trPr>
          <w:trHeight w:val="40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1(b).</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tc>
      </w:tr>
      <w:tr>
        <w:trPr>
          <w:trHeight w:val="452"/>
        </w:trPr>
        <w:tc>
          <w:tcPr>
            <w:tcW w:w="1460" w:type="dxa"/>
            <w:vAlign w:val="bottom"/>
          </w:tcPr>
          <w:p>
            <w:pPr>
              <w:spacing w:after="0"/>
              <w:rPr>
                <w:sz w:val="24"/>
                <w:szCs w:val="24"/>
                <w:color w:val="auto"/>
              </w:rPr>
            </w:pPr>
          </w:p>
        </w:tc>
        <w:tc>
          <w:tcPr>
            <w:tcW w:w="41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2000 St. James Place</w:t>
            </w:r>
          </w:p>
        </w:tc>
        <w:tc>
          <w:tcPr>
            <w:tcW w:w="5600" w:type="dxa"/>
            <w:vAlign w:val="bottom"/>
            <w:gridSpan w:val="5"/>
          </w:tcPr>
          <w:p>
            <w:pPr>
              <w:spacing w:after="0"/>
              <w:rPr>
                <w:sz w:val="24"/>
                <w:szCs w:val="24"/>
                <w:color w:val="auto"/>
              </w:rPr>
            </w:pPr>
          </w:p>
        </w:tc>
      </w:tr>
      <w:tr>
        <w:trPr>
          <w:trHeight w:val="282"/>
        </w:trPr>
        <w:tc>
          <w:tcPr>
            <w:tcW w:w="1460" w:type="dxa"/>
            <w:vAlign w:val="bottom"/>
          </w:tcPr>
          <w:p>
            <w:pPr>
              <w:spacing w:after="0"/>
              <w:rPr>
                <w:sz w:val="24"/>
                <w:szCs w:val="24"/>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Houston, TX 77056</w:t>
            </w:r>
          </w:p>
        </w:tc>
      </w:tr>
      <w:tr>
        <w:trPr>
          <w:trHeight w:val="40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2(a).</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Name of Person Filing:</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2"/>
        </w:trPr>
        <w:tc>
          <w:tcPr>
            <w:tcW w:w="1460" w:type="dxa"/>
            <w:vAlign w:val="bottom"/>
          </w:tcPr>
          <w:p>
            <w:pPr>
              <w:spacing w:after="0"/>
              <w:rPr>
                <w:sz w:val="24"/>
                <w:szCs w:val="24"/>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w w:val="97"/>
              </w:rPr>
              <w:t>The person filing this Schedule 13G is Yacktman Asset Management LP, an investment adviser registered under</w:t>
            </w:r>
          </w:p>
        </w:tc>
      </w:tr>
      <w:tr>
        <w:trPr>
          <w:trHeight w:val="230"/>
        </w:trPr>
        <w:tc>
          <w:tcPr>
            <w:tcW w:w="1460" w:type="dxa"/>
            <w:vAlign w:val="bottom"/>
          </w:tcPr>
          <w:p>
            <w:pPr>
              <w:spacing w:after="0"/>
              <w:rPr>
                <w:sz w:val="19"/>
                <w:szCs w:val="19"/>
                <w:color w:val="auto"/>
              </w:rPr>
            </w:pPr>
          </w:p>
        </w:tc>
        <w:tc>
          <w:tcPr>
            <w:tcW w:w="9700" w:type="dxa"/>
            <w:vAlign w:val="bottom"/>
            <w:gridSpan w:val="12"/>
          </w:tcPr>
          <w:p>
            <w:pPr>
              <w:spacing w:after="0" w:line="230" w:lineRule="exact"/>
              <w:rPr>
                <w:sz w:val="20"/>
                <w:szCs w:val="20"/>
                <w:color w:val="auto"/>
              </w:rPr>
            </w:pPr>
            <w:r>
              <w:rPr>
                <w:rFonts w:ascii="Times New Roman" w:cs="Times New Roman" w:eastAsia="Times New Roman" w:hAnsi="Times New Roman"/>
                <w:sz w:val="22"/>
                <w:szCs w:val="22"/>
                <w:color w:val="auto"/>
              </w:rPr>
              <w:t>Section 203 of the Investment Advisers Act of 1940 (the “Adviser”)</w:t>
            </w:r>
          </w:p>
        </w:tc>
      </w:tr>
      <w:tr>
        <w:trPr>
          <w:trHeight w:val="20"/>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9"/>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2(b).</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Address of Principal Business Office or, if none, Residence:</w:t>
            </w:r>
          </w:p>
        </w:tc>
      </w:tr>
      <w:tr>
        <w:trPr>
          <w:trHeight w:val="452"/>
        </w:trPr>
        <w:tc>
          <w:tcPr>
            <w:tcW w:w="1460" w:type="dxa"/>
            <w:vAlign w:val="bottom"/>
          </w:tcPr>
          <w:p>
            <w:pPr>
              <w:spacing w:after="0"/>
              <w:rPr>
                <w:sz w:val="24"/>
                <w:szCs w:val="24"/>
                <w:color w:val="auto"/>
              </w:rPr>
            </w:pPr>
          </w:p>
        </w:tc>
        <w:tc>
          <w:tcPr>
            <w:tcW w:w="51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6300 Bridge Point Parkway</w:t>
            </w:r>
          </w:p>
        </w:tc>
        <w:tc>
          <w:tcPr>
            <w:tcW w:w="4560" w:type="dxa"/>
            <w:vAlign w:val="bottom"/>
            <w:gridSpan w:val="3"/>
          </w:tcPr>
          <w:p>
            <w:pPr>
              <w:spacing w:after="0"/>
              <w:rPr>
                <w:sz w:val="24"/>
                <w:szCs w:val="24"/>
                <w:color w:val="auto"/>
              </w:rPr>
            </w:pPr>
          </w:p>
        </w:tc>
      </w:tr>
      <w:tr>
        <w:trPr>
          <w:trHeight w:val="243"/>
        </w:trPr>
        <w:tc>
          <w:tcPr>
            <w:tcW w:w="1460" w:type="dxa"/>
            <w:vAlign w:val="bottom"/>
          </w:tcPr>
          <w:p>
            <w:pPr>
              <w:spacing w:after="0"/>
              <w:rPr>
                <w:sz w:val="21"/>
                <w:szCs w:val="21"/>
                <w:color w:val="auto"/>
              </w:rPr>
            </w:pPr>
          </w:p>
        </w:tc>
        <w:tc>
          <w:tcPr>
            <w:tcW w:w="9700" w:type="dxa"/>
            <w:vAlign w:val="bottom"/>
            <w:gridSpan w:val="12"/>
          </w:tcPr>
          <w:p>
            <w:pPr>
              <w:spacing w:after="0" w:line="243" w:lineRule="exact"/>
              <w:rPr>
                <w:sz w:val="20"/>
                <w:szCs w:val="20"/>
                <w:color w:val="auto"/>
              </w:rPr>
            </w:pPr>
            <w:r>
              <w:rPr>
                <w:rFonts w:ascii="Times New Roman" w:cs="Times New Roman" w:eastAsia="Times New Roman" w:hAnsi="Times New Roman"/>
                <w:sz w:val="22"/>
                <w:szCs w:val="22"/>
                <w:color w:val="auto"/>
              </w:rPr>
              <w:t>Building One, Suite 500</w:t>
            </w:r>
          </w:p>
        </w:tc>
      </w:tr>
      <w:tr>
        <w:trPr>
          <w:trHeight w:val="282"/>
        </w:trPr>
        <w:tc>
          <w:tcPr>
            <w:tcW w:w="1460" w:type="dxa"/>
            <w:vAlign w:val="bottom"/>
          </w:tcPr>
          <w:p>
            <w:pPr>
              <w:spacing w:after="0"/>
              <w:rPr>
                <w:sz w:val="24"/>
                <w:szCs w:val="24"/>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Austin, TX 78730</w:t>
            </w:r>
          </w:p>
        </w:tc>
      </w:tr>
      <w:tr>
        <w:trPr>
          <w:trHeight w:val="40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2(c).</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Citizenship:</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2"/>
        </w:trPr>
        <w:tc>
          <w:tcPr>
            <w:tcW w:w="1460" w:type="dxa"/>
            <w:vAlign w:val="bottom"/>
          </w:tcPr>
          <w:p>
            <w:pPr>
              <w:spacing w:after="0"/>
              <w:rPr>
                <w:sz w:val="24"/>
                <w:szCs w:val="24"/>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The Adviser is a Delaware limited partnership.</w:t>
            </w:r>
          </w:p>
        </w:tc>
      </w:tr>
      <w:tr>
        <w:trPr>
          <w:trHeight w:val="406"/>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2(d).</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Title of Class of Securities:</w:t>
            </w: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2"/>
        </w:trPr>
        <w:tc>
          <w:tcPr>
            <w:tcW w:w="1460" w:type="dxa"/>
            <w:vAlign w:val="bottom"/>
          </w:tcPr>
          <w:p>
            <w:pPr>
              <w:spacing w:after="0"/>
              <w:rPr>
                <w:sz w:val="24"/>
                <w:szCs w:val="24"/>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Ordinary Shares, par value $0.001 per share</w:t>
            </w:r>
          </w:p>
        </w:tc>
      </w:tr>
      <w:tr>
        <w:trPr>
          <w:trHeight w:val="40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2(e).</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CUSIP Number:</w:t>
            </w:r>
          </w:p>
        </w:tc>
      </w:tr>
      <w:tr>
        <w:trPr>
          <w:trHeight w:val="491"/>
        </w:trPr>
        <w:tc>
          <w:tcPr>
            <w:tcW w:w="1460" w:type="dxa"/>
            <w:vAlign w:val="bottom"/>
          </w:tcPr>
          <w:p>
            <w:pPr>
              <w:spacing w:after="0"/>
              <w:rPr>
                <w:sz w:val="24"/>
                <w:szCs w:val="24"/>
                <w:color w:val="auto"/>
              </w:rPr>
            </w:pPr>
          </w:p>
        </w:tc>
        <w:tc>
          <w:tcPr>
            <w:tcW w:w="13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G48833118</w:t>
            </w:r>
          </w:p>
        </w:tc>
        <w:tc>
          <w:tcPr>
            <w:tcW w:w="8320" w:type="dxa"/>
            <w:vAlign w:val="bottom"/>
            <w:gridSpan w:val="8"/>
          </w:tcPr>
          <w:p>
            <w:pPr>
              <w:spacing w:after="0"/>
              <w:rPr>
                <w:sz w:val="24"/>
                <w:szCs w:val="24"/>
                <w:color w:val="auto"/>
              </w:rPr>
            </w:pPr>
          </w:p>
        </w:tc>
      </w:tr>
      <w:tr>
        <w:trPr>
          <w:trHeight w:val="40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7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If this statement is filed pursuant to sections 240.13d-1(b), or 240.13d-2(b) or (c), check whether the person</w:t>
            </w:r>
          </w:p>
        </w:tc>
      </w:tr>
      <w:tr>
        <w:trPr>
          <w:trHeight w:val="223"/>
        </w:trPr>
        <w:tc>
          <w:tcPr>
            <w:tcW w:w="1460" w:type="dxa"/>
            <w:vAlign w:val="bottom"/>
          </w:tcPr>
          <w:p>
            <w:pPr>
              <w:spacing w:after="0"/>
              <w:rPr>
                <w:sz w:val="19"/>
                <w:szCs w:val="19"/>
                <w:color w:val="auto"/>
              </w:rPr>
            </w:pPr>
          </w:p>
        </w:tc>
        <w:tc>
          <w:tcPr>
            <w:tcW w:w="9320" w:type="dxa"/>
            <w:vAlign w:val="bottom"/>
            <w:tcBorders>
              <w:top w:val="single" w:sz="8" w:color="auto"/>
            </w:tcBorders>
            <w:gridSpan w:val="11"/>
          </w:tcPr>
          <w:p>
            <w:pPr>
              <w:spacing w:after="0" w:line="223" w:lineRule="exact"/>
              <w:rPr>
                <w:sz w:val="20"/>
                <w:szCs w:val="20"/>
                <w:color w:val="auto"/>
              </w:rPr>
            </w:pPr>
            <w:r>
              <w:rPr>
                <w:rFonts w:ascii="Times New Roman" w:cs="Times New Roman" w:eastAsia="Times New Roman" w:hAnsi="Times New Roman"/>
                <w:sz w:val="22"/>
                <w:szCs w:val="22"/>
                <w:color w:val="auto"/>
              </w:rPr>
              <w:t>filing is a:</w:t>
            </w:r>
          </w:p>
        </w:tc>
        <w:tc>
          <w:tcPr>
            <w:tcW w:w="38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16" w:lineRule="exact"/>
        <w:rPr>
          <w:sz w:val="20"/>
          <w:szCs w:val="20"/>
          <w:color w:val="auto"/>
        </w:rPr>
      </w:pPr>
    </w:p>
    <w:p>
      <w:pPr>
        <w:ind w:left="1960" w:hanging="656"/>
        <w:spacing w:after="0"/>
        <w:tabs>
          <w:tab w:leader="none" w:pos="196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18" w:lineRule="exact"/>
        <w:rPr>
          <w:sz w:val="20"/>
          <w:szCs w:val="20"/>
          <w:color w:val="auto"/>
        </w:rPr>
      </w:pPr>
    </w:p>
    <w:p>
      <w:pPr>
        <w:ind w:left="1960" w:hanging="656"/>
        <w:spacing w:after="0"/>
        <w:tabs>
          <w:tab w:leader="none" w:pos="19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An investment adviser in accordance with section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3" w:name="page4"/>
    <w:bookmarkEnd w:id="3"/>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Yacktman Asset Management LP</w:t>
      </w:r>
    </w:p>
    <w:p>
      <w:pPr>
        <w:spacing w:after="0" w:line="210" w:lineRule="exact"/>
        <w:rPr>
          <w:sz w:val="20"/>
          <w:szCs w:val="20"/>
          <w:color w:val="auto"/>
        </w:rPr>
      </w:pPr>
    </w:p>
    <w:p>
      <w:pPr>
        <w:ind w:left="1960" w:hanging="494"/>
        <w:spacing w:after="0"/>
        <w:tabs>
          <w:tab w:leader="none" w:pos="1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1,384,500</w:t>
      </w:r>
    </w:p>
    <w:p>
      <w:pPr>
        <w:spacing w:after="0" w:line="206"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1.92%</w:t>
      </w:r>
    </w:p>
    <w:p>
      <w:pPr>
        <w:spacing w:after="0" w:line="206" w:lineRule="exact"/>
        <w:rPr>
          <w:rFonts w:ascii="Times New Roman" w:cs="Times New Roman" w:eastAsia="Times New Roman" w:hAnsi="Times New Roman"/>
          <w:sz w:val="22"/>
          <w:szCs w:val="22"/>
          <w:color w:val="auto"/>
        </w:rPr>
      </w:pPr>
    </w:p>
    <w:p>
      <w:pPr>
        <w:ind w:left="1960" w:hanging="494"/>
        <w:spacing w:after="0"/>
        <w:tabs>
          <w:tab w:leader="none" w:pos="1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206"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1,384,500</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1,384,500</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0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u w:val="single" w:color="auto"/>
          <w:color w:val="auto"/>
        </w:rPr>
        <w:t>Ownership of Five Percent or Less of a Class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This statement reports the fact that as of the date hereof the reporting person ceased to be the beneficial owner of more than 5 percent of the class of securities [X].</w:t>
      </w:r>
    </w:p>
    <w:p>
      <w:pPr>
        <w:spacing w:after="0" w:line="15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u w:val="single" w:color="auto"/>
          <w:color w:val="auto"/>
        </w:rPr>
        <w:t>Ownership of More than Five Percent on Behalf of Another Person</w:t>
      </w:r>
      <w:r>
        <w:rPr>
          <w:rFonts w:ascii="Times New Roman" w:cs="Times New Roman" w:eastAsia="Times New Roman" w:hAnsi="Times New Roman"/>
          <w:sz w:val="21"/>
          <w:szCs w:val="21"/>
          <w:color w:val="auto"/>
        </w:rPr>
        <w:t>:</w:t>
      </w:r>
    </w:p>
    <w:p>
      <w:pPr>
        <w:spacing w:after="0" w:line="395" w:lineRule="exact"/>
        <w:rPr>
          <w:sz w:val="20"/>
          <w:szCs w:val="20"/>
          <w:color w:val="auto"/>
        </w:rPr>
      </w:pPr>
    </w:p>
    <w:p>
      <w:pPr>
        <w:ind w:left="1460"/>
        <w:spacing w:after="0" w:line="236" w:lineRule="auto"/>
        <w:rPr>
          <w:sz w:val="20"/>
          <w:szCs w:val="20"/>
          <w:color w:val="auto"/>
        </w:rPr>
      </w:pPr>
      <w:r>
        <w:rPr>
          <w:rFonts w:ascii="Times New Roman" w:cs="Times New Roman" w:eastAsia="Times New Roman" w:hAnsi="Times New Roman"/>
          <w:sz w:val="22"/>
          <w:szCs w:val="22"/>
          <w:color w:val="auto"/>
        </w:rPr>
        <w:t>The clients of the Reporting Person retain their pecuniary interest in the securities reported in this statement. The investment management contracts of these clients grant to the Reporting Person investment and voting power over the securities reported in this statement. Therefore, for purposes of Rule 13d-3 under the Securities Exchange Act of 1934, the Reporting Person is deemed to be the beneficial owner of the securities in this statement. The clients of the Reporting Person have the right to receive or power to direct the receipt of dividends from, as well as the proceeds from the sale of, the securities reported in this statement.</w:t>
      </w:r>
    </w:p>
    <w:p>
      <w:pPr>
        <w:spacing w:after="0" w:line="181" w:lineRule="exact"/>
        <w:rPr>
          <w:sz w:val="20"/>
          <w:szCs w:val="20"/>
          <w:color w:val="auto"/>
        </w:rPr>
      </w:pPr>
    </w:p>
    <w:p>
      <w:pPr>
        <w:ind w:left="1460" w:hanging="1457"/>
        <w:spacing w:after="0" w:line="258" w:lineRule="auto"/>
        <w:tabs>
          <w:tab w:leader="none" w:pos="144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w:t>
      </w:r>
    </w:p>
    <w:p>
      <w:pPr>
        <w:spacing w:after="0" w:line="20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u w:val="single" w:color="auto"/>
          <w:color w:val="auto"/>
        </w:rPr>
        <w:t>Identification and Classification of Members of the Group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w:t>
      </w:r>
    </w:p>
    <w:p>
      <w:pPr>
        <w:spacing w:after="0" w:line="20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u w:val="single" w:color="auto"/>
          <w:color w:val="auto"/>
        </w:rPr>
        <w:t>Notice of Dissolution of Group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spacing w:after="0"/>
        <w:tabs>
          <w:tab w:leader="none" w:pos="144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u w:val="single" w:color="auto"/>
          <w:color w:val="auto"/>
        </w:rPr>
        <w:t>Certification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460" w:right="6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YACKTMAN ASSET MANAGEMENT LP</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/s/Russell G. Wilkins, Partner</w:t>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Russell G. Wilkins, Partner</w:t>
      </w:r>
    </w:p>
    <w:sectPr>
      <w:pgSz w:w="11900" w:h="16838" w:orient="portrait"/>
      <w:cols w:equalWidth="0" w:num="1">
        <w:col w:w="11120"/>
      </w:cols>
      <w:pgMar w:left="320" w:top="32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2024-02-14T14:49:42Z</dcterms:created>
  <dcterms:modified xsi:type="dcterms:W3CDTF">2024-02-14T14:49:42Z</dcterms:modified>
</cp:coreProperties>
</file>