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637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3715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559"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Reed David John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tcPr>
          <w:p>
            <w:pPr>
              <w:ind w:left="40"/>
              <w:spacing w:after="0"/>
              <w:rPr>
                <w:sz w:val="20"/>
                <w:szCs w:val="20"/>
                <w:color w:val="auto"/>
              </w:rPr>
            </w:pPr>
            <w:r>
              <w:rPr>
                <w:rFonts w:ascii="Arial" w:cs="Arial" w:eastAsia="Arial" w:hAnsi="Arial"/>
                <w:sz w:val="13"/>
                <w:szCs w:val="13"/>
                <w:color w:val="auto"/>
              </w:rPr>
              <w:t>(Last)</w:t>
            </w:r>
          </w:p>
        </w:tc>
        <w:tc>
          <w:tcPr>
            <w:tcW w:w="1080" w:type="dxa"/>
            <w:vAlign w:val="bottom"/>
          </w:tcPr>
          <w:p>
            <w:pPr>
              <w:ind w:left="220"/>
              <w:spacing w:after="0"/>
              <w:rPr>
                <w:sz w:val="20"/>
                <w:szCs w:val="20"/>
                <w:color w:val="auto"/>
              </w:rPr>
            </w:pPr>
            <w:r>
              <w:rPr>
                <w:rFonts w:ascii="Arial" w:cs="Arial" w:eastAsia="Arial" w:hAnsi="Arial"/>
                <w:sz w:val="13"/>
                <w:szCs w:val="13"/>
                <w:color w:val="auto"/>
              </w:rPr>
              <w:t>(First)</w:t>
            </w:r>
          </w:p>
        </w:tc>
        <w:tc>
          <w:tcPr>
            <w:tcW w:w="820" w:type="dxa"/>
            <w:vAlign w:val="bottom"/>
          </w:tcPr>
          <w:p>
            <w:pPr>
              <w:ind w:left="360"/>
              <w:spacing w:after="0"/>
              <w:rPr>
                <w:sz w:val="20"/>
                <w:szCs w:val="20"/>
                <w:color w:val="auto"/>
              </w:rPr>
            </w:pPr>
            <w:r>
              <w:rPr>
                <w:rFonts w:ascii="Arial" w:cs="Arial" w:eastAsia="Arial" w:hAnsi="Arial"/>
                <w:sz w:val="13"/>
                <w:szCs w:val="13"/>
                <w:color w:val="auto"/>
                <w:w w:val="93"/>
              </w:rPr>
              <w:t>(Middle)</w:t>
            </w:r>
          </w:p>
        </w:tc>
      </w:tr>
      <w:tr>
        <w:trPr>
          <w:trHeight w:val="265"/>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2000 ST JAMES PLACE</w:t>
            </w:r>
          </w:p>
        </w:tc>
        <w:tc>
          <w:tcPr>
            <w:tcW w:w="820" w:type="dxa"/>
            <w:vAlign w:val="bottom"/>
          </w:tcPr>
          <w:p>
            <w:pPr>
              <w:spacing w:after="0"/>
              <w:rPr>
                <w:sz w:val="23"/>
                <w:szCs w:val="23"/>
                <w:color w:val="auto"/>
              </w:rPr>
            </w:pPr>
          </w:p>
        </w:tc>
      </w:tr>
      <w:tr>
        <w:trPr>
          <w:trHeight w:val="474"/>
        </w:trPr>
        <w:tc>
          <w:tcPr>
            <w:tcW w:w="1040" w:type="dxa"/>
            <w:vAlign w:val="bottom"/>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7"/>
        </w:trPr>
        <w:tc>
          <w:tcPr>
            <w:tcW w:w="10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HOUSTON</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8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77056</w:t>
            </w:r>
          </w:p>
        </w:tc>
      </w:tr>
      <w:tr>
        <w:trPr>
          <w:trHeight w:val="462"/>
        </w:trPr>
        <w:tc>
          <w:tcPr>
            <w:tcW w:w="1040" w:type="dxa"/>
            <w:vAlign w:val="bottom"/>
          </w:tcPr>
          <w:p>
            <w:pPr>
              <w:ind w:left="40"/>
              <w:spacing w:after="0"/>
              <w:rPr>
                <w:sz w:val="20"/>
                <w:szCs w:val="20"/>
                <w:color w:val="auto"/>
              </w:rPr>
            </w:pPr>
            <w:r>
              <w:rPr>
                <w:rFonts w:ascii="Arial" w:cs="Arial" w:eastAsia="Arial" w:hAnsi="Arial"/>
                <w:sz w:val="13"/>
                <w:szCs w:val="13"/>
                <w:color w:val="auto"/>
              </w:rPr>
              <w:t>(City)</w:t>
            </w:r>
          </w:p>
        </w:tc>
        <w:tc>
          <w:tcPr>
            <w:tcW w:w="1080" w:type="dxa"/>
            <w:vAlign w:val="bottom"/>
          </w:tcPr>
          <w:p>
            <w:pPr>
              <w:ind w:left="220"/>
              <w:spacing w:after="0"/>
              <w:rPr>
                <w:sz w:val="20"/>
                <w:szCs w:val="20"/>
                <w:color w:val="auto"/>
              </w:rPr>
            </w:pPr>
            <w:r>
              <w:rPr>
                <w:rFonts w:ascii="Arial" w:cs="Arial" w:eastAsia="Arial" w:hAnsi="Arial"/>
                <w:sz w:val="13"/>
                <w:szCs w:val="13"/>
                <w:color w:val="auto"/>
              </w:rPr>
              <w:t>(State)</w:t>
            </w:r>
          </w:p>
        </w:tc>
        <w:tc>
          <w:tcPr>
            <w:tcW w:w="8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Weatherford International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WFRD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EVP, Chief Commercial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8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5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8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2"/>
          </w:tcPr>
          <w:p>
            <w:pPr>
              <w:jc w:val="center"/>
              <w:ind w:left="51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2,824</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9,629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(2)</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1,491</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11,120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01/18/2024</w:t>
            </w:r>
          </w:p>
        </w:tc>
        <w:tc>
          <w:tcPr>
            <w:tcW w:w="5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1,615</w:t>
            </w:r>
          </w:p>
        </w:tc>
        <w:tc>
          <w:tcPr>
            <w:tcW w:w="660" w:type="dxa"/>
            <w:vAlign w:val="bottom"/>
            <w:tcBorders>
              <w:bottom w:val="single" w:sz="8" w:color="2C2C2C"/>
            </w:tcBorders>
          </w:tcPr>
          <w:p>
            <w:pPr>
              <w:jc w:val="right"/>
              <w:ind w:right="136"/>
              <w:spacing w:after="0"/>
              <w:rPr>
                <w:sz w:val="20"/>
                <w:szCs w:val="20"/>
                <w:color w:val="auto"/>
              </w:rPr>
            </w:pPr>
            <w:r>
              <w:rPr>
                <w:rFonts w:ascii="Times New Roman" w:cs="Times New Roman" w:eastAsia="Times New Roman" w:hAnsi="Times New Roman"/>
                <w:sz w:val="17"/>
                <w:szCs w:val="17"/>
                <w:color w:val="0000FF"/>
              </w:rPr>
              <w:t>D</w:t>
            </w:r>
          </w:p>
        </w:tc>
        <w:tc>
          <w:tcPr>
            <w:tcW w:w="50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94.5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9,505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jc w:val="center"/>
              <w:ind w:right="399"/>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6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jc w:val="center"/>
              <w:ind w:right="399"/>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1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5"/>
                <w:szCs w:val="1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2,824</w:t>
            </w: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2,824</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2,824</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5"/>
                <w:szCs w:val="15"/>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1,491</w:t>
            </w: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1,491</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2,982</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2024 Annual</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3,268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5"/>
                <w:szCs w:val="5"/>
                <w:color w:val="auto"/>
              </w:rPr>
            </w:pPr>
          </w:p>
        </w:tc>
        <w:tc>
          <w:tcPr>
            <w:tcW w:w="10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5"/>
                <w:szCs w:val="5"/>
                <w:color w:val="auto"/>
              </w:rPr>
            </w:pPr>
          </w:p>
        </w:tc>
        <w:tc>
          <w:tcPr>
            <w:tcW w:w="6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3,268</w:t>
            </w:r>
          </w:p>
        </w:tc>
        <w:tc>
          <w:tcPr>
            <w:tcW w:w="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w w:val="95"/>
              </w:rPr>
              <w:t>3,268</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2,179</w:t>
            </w: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2,179</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2,179</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01/18/2024</w:t>
            </w:r>
          </w:p>
        </w:tc>
        <w:tc>
          <w:tcPr>
            <w:tcW w:w="1080" w:type="dxa"/>
            <w:vAlign w:val="bottom"/>
          </w:tcPr>
          <w:p>
            <w:pPr>
              <w:spacing w:after="0"/>
              <w:rPr>
                <w:sz w:val="15"/>
                <w:szCs w:val="1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2,724</w:t>
            </w:r>
          </w:p>
        </w:tc>
        <w:tc>
          <w:tcPr>
            <w:tcW w:w="440" w:type="dxa"/>
            <w:vAlign w:val="bottom"/>
          </w:tcPr>
          <w:p>
            <w:pPr>
              <w:spacing w:after="0"/>
              <w:rPr>
                <w:sz w:val="15"/>
                <w:szCs w:val="15"/>
                <w:color w:val="auto"/>
              </w:rPr>
            </w:pPr>
          </w:p>
        </w:tc>
        <w:tc>
          <w:tcPr>
            <w:tcW w:w="78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0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w w:val="99"/>
              </w:rPr>
              <w:t>2,724</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5"/>
              </w:rPr>
              <w:t>2,724</w:t>
            </w:r>
          </w:p>
        </w:tc>
        <w:tc>
          <w:tcPr>
            <w:tcW w:w="28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-2861310</wp:posOffset>
            </wp:positionV>
            <wp:extent cx="28575" cy="286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67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the Issuer's 2019 Equity Incentive Plan, as amended and restated (the "2019 EIP"). The RSUs vest in three equal installments annually over the three-year period from the date of grant.</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three equal installments annually over the three-year period from the date of grant.</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20" w:lineRule="exact"/>
        <w:rPr>
          <w:rFonts w:ascii="Times New Roman" w:cs="Times New Roman" w:eastAsia="Times New Roman" w:hAnsi="Times New Roman"/>
          <w:sz w:val="13"/>
          <w:szCs w:val="13"/>
          <w:color w:val="008000"/>
        </w:rPr>
      </w:pPr>
    </w:p>
    <w:p>
      <w:pPr>
        <w:jc w:val="both"/>
        <w:ind w:left="40" w:right="42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January 18, 2024 under the 2019 EIP. The number of PSUs reported is the target award and may be subject to a payout ranging from 0% to 200% of target award depending on the actual achievement of the performance goals at the end of the performance period. The PSUs vest based on actual performance at the end of the performance period, which is the Issuer's three fiscal years beginning on January 1, 2024 and ending December 31, 2026.</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three equal installments annually over the three-year period from the date of grant.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full on the third anniversary of the date of grant.</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Christine M. Morrison by</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01/22/2024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0831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2024-01-22T15:49:53Z</dcterms:created>
  <dcterms:modified xsi:type="dcterms:W3CDTF">2024-01-22T15:49:53Z</dcterms:modified>
</cp:coreProperties>
</file>