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April 21,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 xml:space="preserve">Weatherford International plc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8997"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001-36504</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98-0606750</w:t>
            </w:r>
          </w:p>
        </w:tc>
      </w:tr>
      <w:tr>
        <w:trPr/>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702" w:type="dxa"/>
        <w:jc w:val="center"/>
        <w:tblInd w:w="0" w:type="dxa"/>
        <w:tblLayout w:type="fixed"/>
        <w:tblCellMar>
          <w:top w:w="28" w:type="dxa"/>
          <w:left w:w="28" w:type="dxa"/>
          <w:bottom w:w="28" w:type="dxa"/>
          <w:right w:w="28" w:type="dxa"/>
        </w:tblCellMar>
      </w:tblPr>
      <w:tblGrid>
        <w:gridCol w:w="683"/>
        <w:gridCol w:w="600"/>
        <w:gridCol w:w="606"/>
        <w:gridCol w:w="109"/>
        <w:gridCol w:w="109"/>
        <w:gridCol w:w="109"/>
        <w:gridCol w:w="284"/>
        <w:gridCol w:w="284"/>
        <w:gridCol w:w="286"/>
        <w:gridCol w:w="109"/>
        <w:gridCol w:w="109"/>
        <w:gridCol w:w="109"/>
        <w:gridCol w:w="205"/>
        <w:gridCol w:w="205"/>
        <w:gridCol w:w="206"/>
        <w:gridCol w:w="109"/>
        <w:gridCol w:w="109"/>
        <w:gridCol w:w="109"/>
        <w:gridCol w:w="109"/>
        <w:gridCol w:w="109"/>
        <w:gridCol w:w="109"/>
        <w:gridCol w:w="303"/>
        <w:gridCol w:w="303"/>
        <w:gridCol w:w="429"/>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2000 St. James Place</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Houston,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77056</w:t>
            </w:r>
          </w:p>
        </w:tc>
      </w:tr>
      <w:tr>
        <w:trPr/>
        <w:tc>
          <w:tcPr>
            <w:tcW w:w="40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pPr>
      <w:r>
        <w:rPr>
          <w:color w:val="000000"/>
        </w:rPr>
        <w:t> </w:t>
      </w:r>
      <w:r>
        <w:rPr>
          <w:rFonts w:ascii="Times New Roman;serif" w:hAnsi="Times New Roman;serif"/>
          <w:b/>
          <w:color w:val="000000"/>
          <w:sz w:val="20"/>
        </w:rPr>
        <w:t xml:space="preserve">Registrant’s telephone number, including area code: 713.836.4000 </w:t>
      </w:r>
    </w:p>
    <w:tbl>
      <w:tblPr>
        <w:tblW w:w="6006" w:type="dxa"/>
        <w:jc w:val="center"/>
        <w:tblInd w:w="0" w:type="dxa"/>
        <w:tblLayout w:type="fixed"/>
        <w:tblCellMar>
          <w:top w:w="28" w:type="dxa"/>
          <w:left w:w="28" w:type="dxa"/>
          <w:bottom w:w="28" w:type="dxa"/>
          <w:right w:w="28" w:type="dxa"/>
        </w:tblCellMar>
      </w:tblPr>
      <w:tblGrid>
        <w:gridCol w:w="124"/>
        <w:gridCol w:w="109"/>
        <w:gridCol w:w="109"/>
        <w:gridCol w:w="588"/>
        <w:gridCol w:w="588"/>
        <w:gridCol w:w="588"/>
        <w:gridCol w:w="588"/>
        <w:gridCol w:w="588"/>
        <w:gridCol w:w="588"/>
        <w:gridCol w:w="588"/>
        <w:gridCol w:w="588"/>
        <w:gridCol w:w="58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29" w:type="dxa"/>
        <w:jc w:val="center"/>
        <w:tblInd w:w="0" w:type="dxa"/>
        <w:tblLayout w:type="fixed"/>
        <w:tblCellMar>
          <w:top w:w="28" w:type="dxa"/>
          <w:left w:w="28" w:type="dxa"/>
          <w:bottom w:w="28" w:type="dxa"/>
          <w:right w:w="28" w:type="dxa"/>
        </w:tblCellMar>
      </w:tblPr>
      <w:tblGrid>
        <w:gridCol w:w="1304"/>
        <w:gridCol w:w="1141"/>
        <w:gridCol w:w="1155"/>
        <w:gridCol w:w="474"/>
        <w:gridCol w:w="474"/>
        <w:gridCol w:w="476"/>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$0.001 par value per share</w:t>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WFRD</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08" w:type="dxa"/>
        <w:jc w:val="left"/>
        <w:tblInd w:w="0" w:type="dxa"/>
        <w:tblLayout w:type="fixed"/>
        <w:tblCellMar>
          <w:top w:w="28" w:type="dxa"/>
          <w:left w:w="28" w:type="dxa"/>
          <w:bottom w:w="28" w:type="dxa"/>
          <w:right w:w="28" w:type="dxa"/>
        </w:tblCellMar>
      </w:tblPr>
      <w:tblGrid>
        <w:gridCol w:w="331"/>
        <w:gridCol w:w="290"/>
        <w:gridCol w:w="293"/>
        <w:gridCol w:w="1199"/>
        <w:gridCol w:w="1199"/>
        <w:gridCol w:w="169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before="0" w:after="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April 21, 2026, Weatherford International plc (“Weatherford” and together with its subsidiaries, “we” or the “Company”) issued a news release announcing results for the first quarter ended March 31, 2026. A copy of the news release is furnished as Exhibit 99.1 and incorporated into this Item 2.02.</w:t>
      </w:r>
    </w:p>
    <w:p>
      <w:pPr>
        <w:pStyle w:val="TextBody"/>
        <w:bidi w:val="0"/>
        <w:spacing w:before="0" w:after="40"/>
        <w:ind w:left="0" w:right="0" w:firstLine="540"/>
        <w:jc w:val="both"/>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Weatherford will host a conference call on Wednesday, April 22, 2026, to discuss the Company’s results for the first quarter ended March 31, 2026. The conference call will begin at 8:30 a.m. Eastern Time (7:30 a.m. Central Time).</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Listeners are encouraged to download the accompanying presentation slides which will be available in the investor relations section of the Company’s website.</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 telephonic replay of the conference call will be available until May 5, 2026, at 5:00 p.m. Eastern Time. To access the replay, please dial +1 855-669-9658 (within the U.S.) or +1 412-317-0088 (outside of the U.S.) and reference conference number 5490297. A replay and transcript of the earnings call will also be available in the investor relations section of the Company’s website. </w:t>
      </w:r>
    </w:p>
    <w:p>
      <w:pPr>
        <w:pStyle w:val="TextBody"/>
        <w:bidi w:val="0"/>
        <w:spacing w:before="0" w:after="0"/>
        <w:ind w:left="0" w:right="0" w:firstLine="540"/>
        <w:jc w:val="left"/>
        <w:rPr/>
      </w:pPr>
      <w:r>
        <w:rPr/>
      </w:r>
    </w:p>
    <w:p>
      <w:pPr>
        <w:pStyle w:val="TextBody"/>
        <w:bidi w:val="0"/>
        <w:spacing w:before="0" w:after="0"/>
        <w:ind w:left="0" w:right="0" w:firstLine="180"/>
        <w:jc w:val="both"/>
        <w:rPr/>
      </w:pPr>
      <w:r>
        <w:rPr/>
      </w:r>
    </w:p>
    <w:p>
      <w:pPr>
        <w:pStyle w:val="TextBody"/>
        <w:bidi w:val="0"/>
        <w:spacing w:before="0" w:after="0"/>
        <w:ind w:left="0" w:right="0" w:firstLine="540"/>
        <w:jc w:val="both"/>
        <w:rPr/>
      </w:pPr>
      <w:r>
        <w:rPr/>
      </w:r>
    </w:p>
    <w:tbl>
      <w:tblPr>
        <w:tblW w:w="4316" w:type="dxa"/>
        <w:jc w:val="left"/>
        <w:tblInd w:w="0" w:type="dxa"/>
        <w:tblLayout w:type="fixed"/>
        <w:tblCellMar>
          <w:top w:w="28" w:type="dxa"/>
          <w:left w:w="28" w:type="dxa"/>
          <w:bottom w:w="28" w:type="dxa"/>
          <w:right w:w="28" w:type="dxa"/>
        </w:tblCellMar>
      </w:tblPr>
      <w:tblGrid>
        <w:gridCol w:w="331"/>
        <w:gridCol w:w="290"/>
        <w:gridCol w:w="293"/>
        <w:gridCol w:w="109"/>
        <w:gridCol w:w="109"/>
        <w:gridCol w:w="109"/>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bl>
    <w:tbl>
      <w:tblPr>
        <w:tblW w:w="10205" w:type="dxa"/>
        <w:jc w:val="center"/>
        <w:tblInd w:w="0" w:type="dxa"/>
        <w:tblLayout w:type="fixed"/>
        <w:tblCellMar>
          <w:top w:w="28" w:type="dxa"/>
          <w:left w:w="28" w:type="dxa"/>
          <w:bottom w:w="28" w:type="dxa"/>
          <w:right w:w="28" w:type="dxa"/>
        </w:tblCellMar>
      </w:tblPr>
      <w:tblGrid>
        <w:gridCol w:w="518"/>
        <w:gridCol w:w="454"/>
        <w:gridCol w:w="456"/>
        <w:gridCol w:w="109"/>
        <w:gridCol w:w="109"/>
        <w:gridCol w:w="109"/>
        <w:gridCol w:w="2468"/>
        <w:gridCol w:w="2468"/>
        <w:gridCol w:w="3514"/>
      </w:tblGrid>
      <w:tr>
        <w:trPr/>
        <w:tc>
          <w:tcPr>
            <w:tcW w:w="5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2026-q1ex991earningsrelea.htm">
              <w:r>
                <w:rPr>
                  <w:rStyle w:val="InternetLink"/>
                  <w:rFonts w:ascii="Times New Roman;serif" w:hAnsi="Times New Roman;serif"/>
                  <w:b w:val="false"/>
                  <w:color w:val="0000FF"/>
                  <w:sz w:val="20"/>
                  <w:u w:val="single"/>
                </w:rPr>
                <w:t>News Release dated April 21, 2026 announcing results for the first quarter ended March 31, 2026.</w:t>
              </w:r>
            </w:hyperlink>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495"/>
        <w:jc w:val="left"/>
        <w:rPr/>
      </w:pPr>
      <w:r>
        <w:rPr/>
      </w:r>
    </w:p>
    <w:tbl>
      <w:tblPr>
        <w:tblW w:w="6223" w:type="dxa"/>
        <w:jc w:val="left"/>
        <w:tblInd w:w="0" w:type="dxa"/>
        <w:tblLayout w:type="fixed"/>
        <w:tblCellMar>
          <w:top w:w="28" w:type="dxa"/>
          <w:left w:w="28" w:type="dxa"/>
          <w:bottom w:w="28" w:type="dxa"/>
          <w:right w:w="28" w:type="dxa"/>
        </w:tblCellMar>
      </w:tblPr>
      <w:tblGrid>
        <w:gridCol w:w="645"/>
        <w:gridCol w:w="568"/>
        <w:gridCol w:w="571"/>
        <w:gridCol w:w="1297"/>
        <w:gridCol w:w="1297"/>
        <w:gridCol w:w="1845"/>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April 21, 2026</w:t>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Anuj Dhruv</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Anuj Dhruv</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99.1</w:t>
      </w:r>
    </w:p>
    <w:tbl>
      <w:tblPr>
        <w:tblW w:w="4705" w:type="dxa"/>
        <w:jc w:val="center"/>
        <w:tblInd w:w="0" w:type="dxa"/>
        <w:tblLayout w:type="fixed"/>
        <w:tblCellMar>
          <w:top w:w="28" w:type="dxa"/>
          <w:left w:w="28" w:type="dxa"/>
          <w:bottom w:w="28" w:type="dxa"/>
          <w:right w:w="28" w:type="dxa"/>
        </w:tblCellMar>
      </w:tblPr>
      <w:tblGrid>
        <w:gridCol w:w="1243"/>
        <w:gridCol w:w="1093"/>
        <w:gridCol w:w="1095"/>
        <w:gridCol w:w="373"/>
        <w:gridCol w:w="373"/>
        <w:gridCol w:w="528"/>
      </w:tblGrid>
      <w:tr>
        <w:trPr/>
        <w:tc>
          <w:tcPr>
            <w:tcW w:w="124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14550" cy="8763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114550" cy="876300"/>
                          </a:xfrm>
                          <a:prstGeom prst="rect">
                            <a:avLst/>
                          </a:prstGeom>
                        </pic:spPr>
                      </pic:pic>
                    </a:graphicData>
                  </a:graphic>
                </wp:inline>
              </w:drawing>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News Release</w:t>
            </w:r>
          </w:p>
        </w:tc>
      </w:tr>
    </w:tbl>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32"/>
        </w:rPr>
      </w:pPr>
      <w:r>
        <w:rPr>
          <w:rFonts w:ascii="Times New Roman;serif" w:hAnsi="Times New Roman;serif"/>
          <w:b/>
          <w:color w:val="000000"/>
          <w:sz w:val="32"/>
        </w:rPr>
        <w:t xml:space="preserve">Weatherford Announces First Quarter 2026 Results </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First quarter revenue of $1,152 million decreased</w:t>
      </w:r>
      <w:r>
        <w:rPr>
          <w:color w:val="000000"/>
        </w:rPr>
        <w:t xml:space="preserve"> </w:t>
      </w:r>
      <w:r>
        <w:rPr>
          <w:rFonts w:ascii="Times New Roman;serif" w:hAnsi="Times New Roman;serif"/>
          <w:b w:val="false"/>
          <w:color w:val="000000"/>
          <w:sz w:val="22"/>
        </w:rPr>
        <w:t xml:space="preserve">3% year-over-year </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First quarter operating income of $123 million decreased 13%</w:t>
      </w:r>
      <w:r>
        <w:rPr>
          <w:color w:val="000000"/>
        </w:rPr>
        <w:t xml:space="preserve"> </w:t>
      </w:r>
      <w:r>
        <w:rPr>
          <w:rFonts w:ascii="Times New Roman;serif" w:hAnsi="Times New Roman;serif"/>
          <w:b w:val="false"/>
          <w:color w:val="000000"/>
          <w:sz w:val="22"/>
        </w:rPr>
        <w:t>year-over-year</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First quarter net income of $108 million increased 42%</w:t>
      </w:r>
      <w:r>
        <w:rPr>
          <w:color w:val="000000"/>
        </w:rPr>
        <w:t xml:space="preserve"> </w:t>
      </w:r>
      <w:r>
        <w:rPr>
          <w:rFonts w:ascii="Times New Roman;serif" w:hAnsi="Times New Roman;serif"/>
          <w:b w:val="false"/>
          <w:color w:val="000000"/>
          <w:sz w:val="22"/>
        </w:rPr>
        <w:t>year-over-year; net income margin of 9.4%</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First quarter adjusted EBITDA* of $233 million, decreased</w:t>
      </w:r>
      <w:r>
        <w:rPr>
          <w:color w:val="000000"/>
        </w:rPr>
        <w:t xml:space="preserve"> </w:t>
      </w:r>
      <w:r>
        <w:rPr>
          <w:rFonts w:ascii="Times New Roman;serif" w:hAnsi="Times New Roman;serif"/>
          <w:b w:val="false"/>
          <w:color w:val="000000"/>
          <w:sz w:val="22"/>
        </w:rPr>
        <w:t>8% year-over-year; adjusted EBITDA margin* of 20.2% decreased 98 basis points year-over-year</w:t>
      </w:r>
    </w:p>
    <w:p>
      <w:pPr>
        <w:pStyle w:val="TextBody"/>
        <w:bidi w:val="0"/>
        <w:spacing w:lineRule="auto" w:line="417" w:before="0" w:after="0"/>
        <w:ind w:left="0" w:right="0" w:hanging="360"/>
        <w:jc w:val="both"/>
        <w:rPr/>
      </w:pPr>
      <w:r>
        <w:rPr>
          <w:color w:val="000000"/>
          <w:shd w:fill="FFFFFF" w:val="clear"/>
        </w:rPr>
        <w:t>•</w:t>
      </w:r>
      <w:r>
        <w:rPr>
          <w:rFonts w:ascii="Times New Roman;serif" w:hAnsi="Times New Roman;serif"/>
          <w:b w:val="false"/>
          <w:color w:val="000000"/>
          <w:sz w:val="22"/>
        </w:rPr>
        <w:t>First</w:t>
      </w:r>
      <w:r>
        <w:rPr>
          <w:color w:val="000000"/>
          <w:shd w:fill="FFFFFF" w:val="clear"/>
        </w:rPr>
        <w:t xml:space="preserve"> </w:t>
      </w:r>
      <w:r>
        <w:rPr>
          <w:rFonts w:ascii="Times New Roman;serif" w:hAnsi="Times New Roman;serif"/>
          <w:b w:val="false"/>
          <w:color w:val="000000"/>
          <w:sz w:val="22"/>
          <w:shd w:fill="FFFFFF" w:val="clear"/>
        </w:rPr>
        <w:t>quarter cash provided by operating activities of $136 million and adjusted free cash flow* of $85 million</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Shareholder return of $30 million for the quarter, which included dividend payments of $20 million and share repurchases of $10 million</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Awarded a multi-year Integrated Completions contract to support offshore operations in Denmark by TotalEnergies</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Awarded a five-year contract to provide TRS for offshore operations in Vietnam by Phu Quoc POC</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Announced proposal to reorganize its corporate structure by redomesticating from Ireland to the United States, with Texas as the company’s new legal home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417"/>
        <w:jc w:val="both"/>
        <w:rPr>
          <w:rFonts w:ascii="Times New Roman;serif" w:hAnsi="Times New Roman;serif"/>
          <w:b w:val="false"/>
          <w:color w:val="000000"/>
          <w:sz w:val="18"/>
        </w:rPr>
      </w:pPr>
      <w:r>
        <w:rPr>
          <w:rFonts w:ascii="Times New Roman;serif" w:hAnsi="Times New Roman;serif"/>
          <w:b w:val="false"/>
          <w:color w:val="000000"/>
          <w:sz w:val="18"/>
        </w:rPr>
        <w:t xml:space="preserve">*Non-GAAP - refer to the section titled Non-GAAP Financial Measures Defined and GAAP to Non-GAAP Financial Measures Reconciled </w:t>
      </w:r>
    </w:p>
    <w:p>
      <w:pPr>
        <w:pStyle w:val="TextBody"/>
        <w:bidi w:val="0"/>
        <w:spacing w:before="0" w:after="12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180"/>
        <w:jc w:val="left"/>
        <w:rPr/>
      </w:pPr>
      <w:r>
        <w:rPr>
          <w:rFonts w:ascii="Times New Roman;serif" w:hAnsi="Times New Roman;serif"/>
          <w:b/>
          <w:color w:val="000000"/>
          <w:sz w:val="22"/>
        </w:rPr>
        <w:t>Houston, April 21, 2026 –</w:t>
      </w:r>
      <w:r>
        <w:rPr>
          <w:color w:val="000000"/>
        </w:rPr>
        <w:t xml:space="preserve"> </w:t>
      </w:r>
      <w:r>
        <w:rPr>
          <w:rFonts w:ascii="Times New Roman;serif" w:hAnsi="Times New Roman;serif"/>
          <w:b w:val="false"/>
          <w:color w:val="000000"/>
          <w:sz w:val="22"/>
        </w:rPr>
        <w:t xml:space="preserve">Weatherford International plc (NASDAQ: WFRD) (“Weatherford” or the “Company”) announced today its results for the first quarter of 2026. </w:t>
      </w:r>
    </w:p>
    <w:p>
      <w:pPr>
        <w:pStyle w:val="TextBody"/>
        <w:bidi w:val="0"/>
        <w:spacing w:lineRule="auto" w:line="417" w:before="0" w:after="180"/>
        <w:jc w:val="both"/>
        <w:rPr/>
      </w:pPr>
      <w:r>
        <w:rPr>
          <w:rFonts w:ascii="Times New Roman;serif" w:hAnsi="Times New Roman;serif"/>
          <w:b w:val="false"/>
          <w:color w:val="000000"/>
          <w:sz w:val="22"/>
        </w:rPr>
        <w:t>Revenues for the first quarter of 2026 were $1,152 million, a decrease of 3% year-over-year and a decrease of 11%</w:t>
      </w:r>
      <w:r>
        <w:rPr>
          <w:color w:val="000000"/>
        </w:rPr>
        <w:t xml:space="preserve"> </w:t>
      </w:r>
      <w:r>
        <w:rPr>
          <w:rFonts w:ascii="Times New Roman;serif" w:hAnsi="Times New Roman;serif"/>
          <w:b w:val="false"/>
          <w:color w:val="000000"/>
          <w:sz w:val="22"/>
        </w:rPr>
        <w:t>sequentially. Operating income in the first quarter of 2026 was $123 million, a decrease of 13% year-over-year and a decrease of 38% sequentially. Net income in the first quarter of 2026 was $108 million, with a 9.4% margin, an increase of 42%, or 300 basis points, year-over-year, and a decrease of 22%, or 133 basis points, sequentially. Adjusted EBITDA* was $233 million, with a 20.2% margin*, a decrease of 8% or 98 basis points, year-over-year, and a decrease of 20% or 235 basis points, sequentially. Basic income per share in the first quarter of 2026 was $1.50, an increase of 44% year-over-year, and a decrease of 22% sequentially. Diluted income per share in the first quarter of 2026 was $1.49, an increase of 44% year-over-year and a decrease of 22% sequentially.</w:t>
      </w:r>
    </w:p>
    <w:p>
      <w:pPr>
        <w:pStyle w:val="TextBody"/>
        <w:bidi w:val="0"/>
        <w:spacing w:lineRule="auto" w:line="417" w:before="0" w:after="180"/>
        <w:jc w:val="both"/>
        <w:rPr/>
      </w:pPr>
      <w:r>
        <w:rPr>
          <w:rFonts w:ascii="Times New Roman;serif" w:hAnsi="Times New Roman;serif"/>
          <w:b w:val="false"/>
          <w:color w:val="000000"/>
          <w:sz w:val="22"/>
        </w:rPr>
        <w:t>First quarter 2026 cash flows provided by operating activities were $136 million, a decrease of 4% year-over-year, and a decrease of 49% sequentially. Adjusted free cash flow* was $85 million, an increase of 29% year-over-year, and a decrease of 62% sequentially. Capital expenditures were $54 million in the first quarter of 2026, a decrease</w:t>
      </w:r>
      <w:r>
        <w:rPr>
          <w:color w:val="000000"/>
        </w:rPr>
        <w:t xml:space="preserve"> </w:t>
      </w:r>
      <w:r>
        <w:rPr>
          <w:rFonts w:ascii="Times New Roman;serif" w:hAnsi="Times New Roman;serif"/>
          <w:b w:val="false"/>
          <w:color w:val="000000"/>
          <w:sz w:val="22"/>
        </w:rPr>
        <w:t>of 30% year-over-year, and an increase of 6% sequentially.</w:t>
      </w:r>
    </w:p>
    <w:p>
      <w:pPr>
        <w:pStyle w:val="TextBody"/>
        <w:bidi w:val="0"/>
        <w:spacing w:lineRule="auto" w:line="417" w:before="0" w:after="180"/>
        <w:jc w:val="both"/>
        <w:rPr>
          <w:rFonts w:ascii="Times New Roman;serif" w:hAnsi="Times New Roman;serif"/>
          <w:b w:val="false"/>
          <w:color w:val="000000"/>
          <w:sz w:val="22"/>
        </w:rPr>
      </w:pPr>
      <w:r>
        <w:rPr>
          <w:rFonts w:ascii="Times New Roman;serif" w:hAnsi="Times New Roman;serif"/>
          <w:b w:val="false"/>
          <w:color w:val="000000"/>
          <w:sz w:val="22"/>
        </w:rPr>
        <w:t xml:space="preserve">Girish Saligram, President and Chief Executive Officer, commented, “I am deeply grateful to and proud of the One Weatherford team for delivering excellent operating results in the midst of a very complex and challenged environment in the first quarter. With significant operational disruptions in the Middle East, we stayed focused on what matters the most - protecting our employees, maintaining continuity of operations for our customers, and controlling the variables we could. While we faced losses in revenue and increased costs due to the Iran conflict, we were able to offset the impact of those through additional contributions from other parts of the business. </w:t>
      </w:r>
    </w:p>
    <w:p>
      <w:pPr>
        <w:pStyle w:val="TextBody"/>
        <w:bidi w:val="0"/>
        <w:spacing w:lineRule="auto" w:line="417" w:before="0" w:after="180"/>
        <w:jc w:val="both"/>
        <w:rPr>
          <w:rFonts w:ascii="Times New Roman;serif" w:hAnsi="Times New Roman;serif"/>
          <w:b w:val="false"/>
          <w:color w:val="000000"/>
          <w:sz w:val="22"/>
        </w:rPr>
      </w:pPr>
      <w:r>
        <w:rPr>
          <w:rFonts w:ascii="Times New Roman;serif" w:hAnsi="Times New Roman;serif"/>
          <w:b w:val="false"/>
          <w:color w:val="000000"/>
          <w:sz w:val="22"/>
        </w:rPr>
        <w:t>In parallel, we remain committed to advancing our strategic priorities to create value for all our stakeholders by simplifying processes and reducing structural costs. Our proposal to redomesticate from Ireland to the United States and specifically Texas, represents a significant step towards simplifying our operating structure and reducing administrative and compliance complexity.</w:t>
      </w:r>
    </w:p>
    <w:p>
      <w:pPr>
        <w:pStyle w:val="TextBody"/>
        <w:bidi w:val="0"/>
        <w:spacing w:lineRule="auto" w:line="417" w:before="0" w:after="180"/>
        <w:jc w:val="both"/>
        <w:rPr>
          <w:rFonts w:ascii="Times New Roman;serif" w:hAnsi="Times New Roman;serif"/>
          <w:b w:val="false"/>
          <w:color w:val="000000"/>
          <w:sz w:val="22"/>
        </w:rPr>
      </w:pPr>
      <w:r>
        <w:rPr>
          <w:rFonts w:ascii="Times New Roman;serif" w:hAnsi="Times New Roman;serif"/>
          <w:b w:val="false"/>
          <w:color w:val="000000"/>
          <w:sz w:val="22"/>
        </w:rPr>
        <w:t>Looking ahead, we expect the operational disruptions in the Middle East to cloud near term visibility as the geopolitical backdrop remains volatile and therefore creates uncertainty. Given the likelihood that it will take at minimum several weeks for activity levels to normalize, logistics to stabilize and incremental costs to come down, our second quarter results are expected to be softer than previously anticipated, with performance within the range dependent on the timing of these factors. At the same time, assuming that the conflict is fully behind us by the end of the quarter, we have increased confidence in the second-half ramp that positions us for a stronger 2027.</w:t>
      </w:r>
    </w:p>
    <w:p>
      <w:pPr>
        <w:pStyle w:val="TextBody"/>
        <w:bidi w:val="0"/>
        <w:spacing w:lineRule="auto" w:line="417" w:before="0" w:after="180"/>
        <w:jc w:val="both"/>
        <w:rPr>
          <w:rFonts w:ascii="Times New Roman;serif" w:hAnsi="Times New Roman;serif"/>
          <w:b w:val="false"/>
          <w:color w:val="000000"/>
          <w:sz w:val="22"/>
        </w:rPr>
      </w:pPr>
      <w:r>
        <w:rPr>
          <w:rFonts w:ascii="Times New Roman;serif" w:hAnsi="Times New Roman;serif"/>
          <w:b w:val="false"/>
          <w:color w:val="000000"/>
          <w:sz w:val="22"/>
        </w:rPr>
        <w:t>As a result, we are maintaining our second half guidance and the total year guidance on adjusted free cash flow generation remains intact. We have a strong balance sheet and are bullish about the medium-to-long term outlook, which is supported by energy security priorities and sustained upstream investment.”</w:t>
      </w:r>
    </w:p>
    <w:p>
      <w:pPr>
        <w:pStyle w:val="TextBody"/>
        <w:bidi w:val="0"/>
        <w:spacing w:lineRule="auto" w:line="417" w:before="0" w:after="140"/>
        <w:jc w:val="both"/>
        <w:rPr>
          <w:rFonts w:ascii="Times New Roman;serif" w:hAnsi="Times New Roman;serif"/>
          <w:b w:val="false"/>
          <w:color w:val="000000"/>
          <w:sz w:val="18"/>
        </w:rPr>
      </w:pPr>
      <w:r>
        <w:rPr>
          <w:rFonts w:ascii="Times New Roman;serif" w:hAnsi="Times New Roman;serif"/>
          <w:b w:val="false"/>
          <w:color w:val="000000"/>
          <w:sz w:val="18"/>
        </w:rPr>
        <w:t>*Non-GAAP - refer to the section titled Non-GAAP Financial Measures Defined and GAAP to Non-GAAP Financial Measures Reconciled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417" w:before="300" w:after="283"/>
        <w:jc w:val="both"/>
        <w:rPr>
          <w:rFonts w:ascii="Times New Roman;serif" w:hAnsi="Times New Roman;serif"/>
          <w:b/>
          <w:color w:val="000000"/>
          <w:sz w:val="28"/>
          <w:u w:val="single"/>
        </w:rPr>
      </w:pPr>
      <w:r>
        <w:rPr>
          <w:rFonts w:ascii="Times New Roman;serif" w:hAnsi="Times New Roman;serif"/>
          <w:b/>
          <w:color w:val="000000"/>
          <w:sz w:val="28"/>
          <w:u w:val="single"/>
        </w:rPr>
        <w:t>Operational &amp; Commercial Highlights</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Phu Quoc POC awarded Weatherford a five-year contract to provide Tubular Running Services (“TRS”) for offshore operations in Vietnam.</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TotalEnergies awarded Weatherford a multi-year Integrated Completions contract to support offshore operations in Denmark.</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PTTEP awarded Weatherford an 18-month contract extension to provide Drilling Services on Rig 15 in Thailand.</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A major operator awarded Weatherford a two-year contract to provide Wireline services in Turkey.</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Almex Plus Firm LLP awarded Weatherford a one-year contract to provide Managed Pressure Drilling (“MPD”) in Kazakhstan.</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A major operator awarded Weatherford two contracts to provide MPD and Subsea Intervention in Brazil.</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HOCOL S.A. awarded Weatherford a three-year contract to provide Wireline services in Colombia.</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A major operator awarded Weatherford a three-year contract to provide Wireline in Canada.</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A major operator awarded Weatherford a four-year contract to provide Cementation Products and Liner Hangers services in Denmark.</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Stogit awarded Weatherford a six-year contract to provide Completions tools and services in Italy.</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A National Oil Company awarded Weatherford a two-year contract to provide Well Services in the United Arab Emirates (“UAE”).</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 xml:space="preserve">A major operator awarded Weatherford an 18-month contract to provide TRS in Cyprus. </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Shell awarded Weatherford a multi-year contract to provide Artificial Lift products and services for its operations in Vaca Muerta, Argentina.</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A major operator awarded Weatherford two contracts to provide Completions and Digital Solutions in Canada.</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Agiba Petroleum Company (Eni JV) awarded Weatherford two year contract for Artificial Lift downhole pumps in Egypt.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12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420" w:before="0" w:after="0"/>
        <w:jc w:val="both"/>
        <w:rPr>
          <w:rFonts w:ascii="Times New Roman;serif" w:hAnsi="Times New Roman;serif"/>
          <w:b/>
          <w:color w:val="000000"/>
          <w:sz w:val="28"/>
          <w:u w:val="single"/>
        </w:rPr>
      </w:pPr>
      <w:r>
        <w:rPr>
          <w:rFonts w:ascii="Times New Roman;serif" w:hAnsi="Times New Roman;serif"/>
          <w:b/>
          <w:color w:val="000000"/>
          <w:sz w:val="28"/>
          <w:u w:val="single"/>
        </w:rPr>
        <w:t xml:space="preserve">Technology Highlights </w:t>
      </w:r>
    </w:p>
    <w:p>
      <w:pPr>
        <w:pStyle w:val="TextBody"/>
        <w:bidi w:val="0"/>
        <w:spacing w:lineRule="auto" w:line="420" w:before="0" w:after="60"/>
        <w:ind w:left="0" w:right="0" w:hanging="360"/>
        <w:jc w:val="both"/>
        <w:rPr/>
      </w:pPr>
      <w:r>
        <w:rPr>
          <w:color w:val="000000"/>
        </w:rPr>
        <w:t>•</w:t>
      </w:r>
      <w:r>
        <w:rPr>
          <w:rFonts w:ascii="Times New Roman;serif" w:hAnsi="Times New Roman;serif"/>
          <w:b w:val="false"/>
          <w:color w:val="000000"/>
          <w:sz w:val="22"/>
        </w:rPr>
        <w:t>Drilling &amp; Evaluation (“DRE”)</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 xml:space="preserve">In Saudi Arabia, Weatherford set a new global record for extended-reach Wireline work, logging 29,121 ft measured depth with the Compact Well Shuttle system. The run surpassed Weatherford’s 2024 mark and shows stronger capability to evaluate long, highly deviated wells without relying on traditional conveyance. </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 xml:space="preserve">In Asia, Weatherford executed multiple complex high-pressure and depleted wells for a major operator using Managed Pressure Wellbore techniques, delivering fast cycle times while avoiding stuck pipe, lost-in-hole events, and well-control incidents. </w:t>
      </w:r>
    </w:p>
    <w:p>
      <w:pPr>
        <w:pStyle w:val="TextBody"/>
        <w:bidi w:val="0"/>
        <w:spacing w:lineRule="auto" w:line="420" w:before="0" w:after="60"/>
        <w:ind w:left="0" w:right="0" w:hanging="360"/>
        <w:jc w:val="both"/>
        <w:rPr/>
      </w:pPr>
      <w:r>
        <w:rPr>
          <w:color w:val="000000"/>
        </w:rPr>
        <w:t>•</w:t>
      </w:r>
      <w:r>
        <w:rPr>
          <w:rFonts w:ascii="Times New Roman;serif" w:hAnsi="Times New Roman;serif"/>
          <w:b w:val="false"/>
          <w:color w:val="000000"/>
          <w:sz w:val="22"/>
        </w:rPr>
        <w:t>Well Construction and Completions (“WCC”)</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 xml:space="preserve">In Saudi Arabia, Weatherford successfully executed the first rigless thru-tubing sand-control gravel-pack operation, restoring a gas well that has been shut-in due to sand production to be fully sand-free without the need for a workover rig. The successful deployment validated the simplicity and effectiveness of our technology, and it is expected to become a recurring implementation. </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In Indonesia, Weatherford deployed its Vero</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One-Touch system for a major operator to improve how well pipes are handled and installed. The system reduced the need for manual intervention, lowering safety risks, while making rig-floor operations more efficient. The integrated spin-in automation delivered faster, more consistent make-up with precise torque control, increasing running efficiency compared to conventional methods.</w:t>
      </w:r>
    </w:p>
    <w:p>
      <w:pPr>
        <w:pStyle w:val="TextBody"/>
        <w:bidi w:val="0"/>
        <w:spacing w:lineRule="auto" w:line="420" w:before="0" w:after="60"/>
        <w:ind w:left="0" w:right="0" w:hanging="360"/>
        <w:jc w:val="both"/>
        <w:rPr/>
      </w:pPr>
      <w:r>
        <w:rPr>
          <w:color w:val="000000"/>
        </w:rPr>
        <w:t>•</w:t>
      </w:r>
      <w:r>
        <w:rPr>
          <w:rFonts w:ascii="Times New Roman;serif" w:hAnsi="Times New Roman;serif"/>
          <w:b w:val="false"/>
          <w:color w:val="000000"/>
          <w:sz w:val="22"/>
        </w:rPr>
        <w:t xml:space="preserve">Production and Intervention (“PRI”) </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In the United Kingdom (“UK”), Weatherford completed the first deployment of the AlphaV</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2"/>
        </w:rPr>
        <w:t>casing system in the Irish Sea’s Liverpool Bay, eliminating a dedicated wellbore-preparation run and increasing trip speeds. The operation delivered meaningful time savings and lowered overall operational costs while marking the first AlphaV whipstock installation in the UK sector.</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In Oman, Weatherford advanced its digital portfolio by deploying Electric Submersible Pump (“ESP”) Predictive Analytics in collaboration with Petroleum Development Oman within the ForeSite Well Management System, moving the technology from pilot to operational use. The integration of ForeSite</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 xml:space="preserve">with PetroVisor’s machine-learning framework delivered on-premise to meet stringent cybersecurity requirements, enabled predictive ESP through failure forecasting, run-life estimation, and real-time performance insights. This deployment strengthens Weatherford’s position in AI-driven production optimization and establishes a scalable foundation for broader digital expansion across the region. </w:t>
      </w:r>
    </w:p>
    <w:p>
      <w:pPr>
        <w:pStyle w:val="TextBody"/>
        <w:bidi w:val="0"/>
        <w:jc w:val="both"/>
        <w:rPr/>
      </w:pPr>
      <w:r>
        <w:rPr/>
      </w:r>
    </w:p>
    <w:p>
      <w:pPr>
        <w:pStyle w:val="TextBody"/>
        <w:bidi w:val="0"/>
        <w:spacing w:before="0" w:after="12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420" w:before="0" w:after="80"/>
        <w:jc w:val="both"/>
        <w:rPr>
          <w:rFonts w:ascii="Times New Roman;serif" w:hAnsi="Times New Roman;serif"/>
          <w:b/>
          <w:color w:val="000000"/>
          <w:sz w:val="28"/>
          <w:u w:val="single"/>
        </w:rPr>
      </w:pPr>
      <w:r>
        <w:rPr>
          <w:rFonts w:ascii="Times New Roman;serif" w:hAnsi="Times New Roman;serif"/>
          <w:b/>
          <w:color w:val="000000"/>
          <w:sz w:val="28"/>
          <w:u w:val="single"/>
        </w:rPr>
        <w:t xml:space="preserve">Shareholder Return </w:t>
      </w:r>
    </w:p>
    <w:p>
      <w:pPr>
        <w:pStyle w:val="TextBody"/>
        <w:bidi w:val="0"/>
        <w:spacing w:lineRule="auto" w:line="420" w:before="0" w:after="60"/>
        <w:jc w:val="both"/>
        <w:rPr>
          <w:rFonts w:ascii="Times New Roman;serif" w:hAnsi="Times New Roman;serif"/>
          <w:b w:val="false"/>
          <w:color w:val="000000"/>
          <w:sz w:val="22"/>
        </w:rPr>
      </w:pPr>
      <w:r>
        <w:rPr>
          <w:rFonts w:ascii="Times New Roman;serif" w:hAnsi="Times New Roman;serif"/>
          <w:b w:val="false"/>
          <w:color w:val="000000"/>
          <w:sz w:val="22"/>
        </w:rPr>
        <w:t>During the first quarter of 2026, Weatherford paid dividends of $20 million and repurchased shares for $10 million, resulting in a total shareholder return of $30 million.</w:t>
      </w:r>
    </w:p>
    <w:p>
      <w:pPr>
        <w:pStyle w:val="TextBody"/>
        <w:bidi w:val="0"/>
        <w:spacing w:lineRule="auto" w:line="420" w:before="0" w:after="60"/>
        <w:jc w:val="both"/>
        <w:rPr>
          <w:rFonts w:ascii="Times New Roman;serif" w:hAnsi="Times New Roman;serif"/>
          <w:b w:val="false"/>
          <w:color w:val="000000"/>
          <w:sz w:val="22"/>
        </w:rPr>
      </w:pPr>
      <w:r>
        <w:rPr>
          <w:rFonts w:ascii="Times New Roman;serif" w:hAnsi="Times New Roman;serif"/>
          <w:b w:val="false"/>
          <w:color w:val="000000"/>
          <w:sz w:val="22"/>
        </w:rPr>
        <w:t xml:space="preserve">On April 16, 2026, our Board declared a cash dividend of $0.275 per share of the Company’s ordinary shares. The dividend is payable on June 4, 2026, to shareholders of record as of May 6, 2026. </w:t>
      </w:r>
    </w:p>
    <w:p>
      <w:pPr>
        <w:pStyle w:val="TextBody"/>
        <w:bidi w:val="0"/>
        <w:spacing w:lineRule="auto" w:line="420" w:before="0" w:after="80"/>
        <w:jc w:val="both"/>
        <w:rPr>
          <w:rFonts w:ascii="Times New Roman;serif" w:hAnsi="Times New Roman;serif"/>
          <w:b/>
          <w:color w:val="000000"/>
          <w:sz w:val="28"/>
          <w:u w:val="single"/>
        </w:rPr>
      </w:pPr>
      <w:r>
        <w:rPr>
          <w:rFonts w:ascii="Times New Roman;serif" w:hAnsi="Times New Roman;serif"/>
          <w:b/>
          <w:color w:val="000000"/>
          <w:sz w:val="28"/>
          <w:u w:val="single"/>
        </w:rPr>
        <w:t>Other Events</w:t>
      </w:r>
    </w:p>
    <w:p>
      <w:pPr>
        <w:pStyle w:val="TextBody"/>
        <w:bidi w:val="0"/>
        <w:spacing w:lineRule="auto" w:line="420" w:before="0" w:after="60"/>
        <w:jc w:val="both"/>
        <w:rPr>
          <w:rFonts w:ascii="Times New Roman;serif" w:hAnsi="Times New Roman;serif"/>
          <w:b w:val="false"/>
          <w:color w:val="000000"/>
          <w:sz w:val="22"/>
        </w:rPr>
      </w:pPr>
      <w:r>
        <w:rPr>
          <w:rFonts w:ascii="Times New Roman;serif" w:hAnsi="Times New Roman;serif"/>
          <w:b w:val="false"/>
          <w:color w:val="000000"/>
          <w:sz w:val="22"/>
        </w:rPr>
        <w:t>Weatherford announced its proposal to reorganize its corporate structure by redomesticating from Ireland to the U.S., with Texas as its new legal home (the “Redomestication”). The proposed Redomestication is expected to be completed in the third quarter of 2026, subject to shareholder and other customary approvals. This transition is expected to bring greater alignment between our operating profile and structure, simplifies corporate and operational structure, eliminates certain administrative and compliance burdens and costs, provides the possibility of larger U.S. shareholder and lender bases and enables greater agility in managing global tax considerations.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300" w:after="100"/>
        <w:jc w:val="both"/>
        <w:rPr>
          <w:rFonts w:ascii="Times New Roman;serif" w:hAnsi="Times New Roman;serif"/>
          <w:b/>
          <w:color w:val="000000"/>
          <w:sz w:val="28"/>
          <w:u w:val="single"/>
        </w:rPr>
      </w:pPr>
      <w:r>
        <w:rPr>
          <w:rFonts w:ascii="Times New Roman;serif" w:hAnsi="Times New Roman;serif"/>
          <w:b/>
          <w:color w:val="000000"/>
          <w:sz w:val="28"/>
          <w:u w:val="single"/>
        </w:rPr>
        <w:t>Results by Reportable Segment</w:t>
      </w:r>
    </w:p>
    <w:p>
      <w:pPr>
        <w:pStyle w:val="TextBody"/>
        <w:bidi w:val="0"/>
        <w:spacing w:lineRule="auto" w:line="417" w:before="0" w:after="40"/>
        <w:jc w:val="both"/>
        <w:rPr>
          <w:rFonts w:ascii="Times New Roman;serif" w:hAnsi="Times New Roman;serif"/>
          <w:b/>
          <w:i/>
          <w:color w:val="000000"/>
          <w:sz w:val="24"/>
          <w:u w:val="single"/>
        </w:rPr>
      </w:pPr>
      <w:r>
        <w:rPr>
          <w:rFonts w:ascii="Times New Roman;serif" w:hAnsi="Times New Roman;serif"/>
          <w:b/>
          <w:i/>
          <w:color w:val="000000"/>
          <w:sz w:val="24"/>
          <w:u w:val="single"/>
        </w:rPr>
        <w:t>Drilling and Evaluation (“DRE”)</w:t>
      </w:r>
    </w:p>
    <w:tbl>
      <w:tblPr>
        <w:tblW w:w="10205" w:type="dxa"/>
        <w:jc w:val="left"/>
        <w:tblInd w:w="0" w:type="dxa"/>
        <w:tblLayout w:type="fixed"/>
        <w:tblCellMar>
          <w:top w:w="28" w:type="dxa"/>
          <w:left w:w="28" w:type="dxa"/>
          <w:bottom w:w="28" w:type="dxa"/>
          <w:right w:w="28" w:type="dxa"/>
        </w:tblCellMar>
      </w:tblPr>
      <w:tblGrid>
        <w:gridCol w:w="867"/>
        <w:gridCol w:w="756"/>
        <w:gridCol w:w="759"/>
        <w:gridCol w:w="109"/>
        <w:gridCol w:w="109"/>
        <w:gridCol w:w="109"/>
        <w:gridCol w:w="270"/>
        <w:gridCol w:w="596"/>
        <w:gridCol w:w="346"/>
        <w:gridCol w:w="109"/>
        <w:gridCol w:w="109"/>
        <w:gridCol w:w="109"/>
        <w:gridCol w:w="257"/>
        <w:gridCol w:w="569"/>
        <w:gridCol w:w="331"/>
        <w:gridCol w:w="109"/>
        <w:gridCol w:w="109"/>
        <w:gridCol w:w="109"/>
        <w:gridCol w:w="270"/>
        <w:gridCol w:w="596"/>
        <w:gridCol w:w="346"/>
        <w:gridCol w:w="109"/>
        <w:gridCol w:w="109"/>
        <w:gridCol w:w="109"/>
        <w:gridCol w:w="264"/>
        <w:gridCol w:w="268"/>
        <w:gridCol w:w="451"/>
        <w:gridCol w:w="109"/>
        <w:gridCol w:w="109"/>
        <w:gridCol w:w="109"/>
        <w:gridCol w:w="232"/>
        <w:gridCol w:w="234"/>
        <w:gridCol w:w="451"/>
        <w:gridCol w:w="109"/>
        <w:gridCol w:w="109"/>
        <w:gridCol w:w="109"/>
        <w:gridCol w:w="109"/>
        <w:gridCol w:w="109"/>
        <w:gridCol w:w="162"/>
      </w:tblGrid>
      <w:tr>
        <w:trPr/>
        <w:tc>
          <w:tcPr>
            <w:tcW w:w="86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2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Seq.</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both"/>
        <w:rPr/>
      </w:pPr>
      <w:r>
        <w:rPr/>
      </w:r>
    </w:p>
    <w:p>
      <w:pPr>
        <w:pStyle w:val="TextBody"/>
        <w:bidi w:val="0"/>
        <w:spacing w:lineRule="auto" w:line="417" w:before="0" w:after="140"/>
        <w:jc w:val="both"/>
        <w:rPr>
          <w:rFonts w:ascii="Times New Roman;serif" w:hAnsi="Times New Roman;serif"/>
          <w:b w:val="false"/>
          <w:color w:val="000000"/>
          <w:sz w:val="22"/>
        </w:rPr>
      </w:pPr>
      <w:r>
        <w:rPr>
          <w:rFonts w:ascii="Times New Roman;serif" w:hAnsi="Times New Roman;serif"/>
          <w:b w:val="false"/>
          <w:color w:val="000000"/>
          <w:sz w:val="22"/>
        </w:rPr>
        <w:t>First quarter 2026 DRE revenue of $321 million decreased by $29 million, or 8% year-over-year, primarily from lower activity in Latin America, Middle East/North Africa/Asia and North America, partly offset by higher Wireline and Drilling Services activity in Europe/Sub-Sahara Africa/Russia. Sequentially, DRE revenue decreased by $19 million, or 6%, primarily from lower activity in Middle East/North Africa/Asia and Latin America, partly offset by higher Drilling Services activity in Europe/Sub-Sahara Africa/Russia and Wireline activity in North America.</w:t>
      </w:r>
    </w:p>
    <w:p>
      <w:pPr>
        <w:pStyle w:val="TextBody"/>
        <w:bidi w:val="0"/>
        <w:spacing w:lineRule="auto" w:line="417" w:before="0" w:after="140"/>
        <w:jc w:val="both"/>
        <w:rPr>
          <w:rFonts w:ascii="Times New Roman;serif" w:hAnsi="Times New Roman;serif"/>
          <w:b w:val="false"/>
          <w:color w:val="000000"/>
          <w:sz w:val="22"/>
        </w:rPr>
      </w:pPr>
      <w:r>
        <w:rPr>
          <w:rFonts w:ascii="Times New Roman;serif" w:hAnsi="Times New Roman;serif"/>
          <w:b w:val="false"/>
          <w:color w:val="000000"/>
          <w:sz w:val="22"/>
        </w:rPr>
        <w:t>First quarter 2026 DRE segment adjusted EBITDA of $72 million decreased by $2 million, or 3% year-over-year, primarily from lower activity in Latin America, Middle East/North Africa/Asia and North America, partly offset by higher Wireline activity in Europe/Sub-Sahara Africa/Russia and higher MPD fall through in Middle East/North Africa/Asia and Europe/Sub-Sahara Africa/Russia. Sequentially, DRE segment adjusted EBITDA decreased by $11 million, or 13%, primarily from lower activity in Middle East/North Africa/Asia and Latin America and lower fall through of Drilling Services in Europe/Sub-Sahara Africa/Russia, partly offset by higher Wireline activity in North America.</w:t>
      </w:r>
    </w:p>
    <w:p>
      <w:pPr>
        <w:pStyle w:val="TextBody"/>
        <w:bidi w:val="0"/>
        <w:spacing w:before="0" w:after="140"/>
        <w:jc w:val="both"/>
        <w:rPr/>
      </w:pPr>
      <w:r>
        <w:rPr/>
      </w:r>
    </w:p>
    <w:p>
      <w:pPr>
        <w:pStyle w:val="TextBody"/>
        <w:bidi w:val="0"/>
        <w:spacing w:before="0" w:after="12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417" w:before="0" w:after="60"/>
        <w:jc w:val="both"/>
        <w:rPr>
          <w:rFonts w:ascii="Times New Roman;serif" w:hAnsi="Times New Roman;serif"/>
          <w:b/>
          <w:i/>
          <w:color w:val="000000"/>
          <w:sz w:val="24"/>
          <w:u w:val="single"/>
        </w:rPr>
      </w:pPr>
      <w:r>
        <w:rPr>
          <w:rFonts w:ascii="Times New Roman;serif" w:hAnsi="Times New Roman;serif"/>
          <w:b/>
          <w:i/>
          <w:color w:val="000000"/>
          <w:sz w:val="24"/>
          <w:u w:val="single"/>
        </w:rPr>
        <w:t>Well Construction and Completions (“WCC”)</w:t>
      </w:r>
    </w:p>
    <w:tbl>
      <w:tblPr>
        <w:tblW w:w="10205" w:type="dxa"/>
        <w:jc w:val="left"/>
        <w:tblInd w:w="0" w:type="dxa"/>
        <w:tblLayout w:type="fixed"/>
        <w:tblCellMar>
          <w:top w:w="28" w:type="dxa"/>
          <w:left w:w="28" w:type="dxa"/>
          <w:bottom w:w="28" w:type="dxa"/>
          <w:right w:w="28" w:type="dxa"/>
        </w:tblCellMar>
      </w:tblPr>
      <w:tblGrid>
        <w:gridCol w:w="879"/>
        <w:gridCol w:w="766"/>
        <w:gridCol w:w="770"/>
        <w:gridCol w:w="109"/>
        <w:gridCol w:w="109"/>
        <w:gridCol w:w="109"/>
        <w:gridCol w:w="271"/>
        <w:gridCol w:w="599"/>
        <w:gridCol w:w="348"/>
        <w:gridCol w:w="109"/>
        <w:gridCol w:w="109"/>
        <w:gridCol w:w="109"/>
        <w:gridCol w:w="258"/>
        <w:gridCol w:w="571"/>
        <w:gridCol w:w="333"/>
        <w:gridCol w:w="109"/>
        <w:gridCol w:w="109"/>
        <w:gridCol w:w="109"/>
        <w:gridCol w:w="271"/>
        <w:gridCol w:w="599"/>
        <w:gridCol w:w="348"/>
        <w:gridCol w:w="109"/>
        <w:gridCol w:w="109"/>
        <w:gridCol w:w="109"/>
        <w:gridCol w:w="266"/>
        <w:gridCol w:w="268"/>
        <w:gridCol w:w="391"/>
        <w:gridCol w:w="109"/>
        <w:gridCol w:w="109"/>
        <w:gridCol w:w="109"/>
        <w:gridCol w:w="266"/>
        <w:gridCol w:w="268"/>
        <w:gridCol w:w="391"/>
        <w:gridCol w:w="109"/>
        <w:gridCol w:w="109"/>
        <w:gridCol w:w="109"/>
        <w:gridCol w:w="109"/>
        <w:gridCol w:w="109"/>
        <w:gridCol w:w="162"/>
      </w:tblGrid>
      <w:tr>
        <w:trPr/>
        <w:tc>
          <w:tcPr>
            <w:tcW w:w="87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00" w:after="180"/>
        <w:jc w:val="both"/>
        <w:rPr>
          <w:rFonts w:ascii="Times New Roman;serif" w:hAnsi="Times New Roman;serif"/>
          <w:b w:val="false"/>
          <w:color w:val="000000"/>
          <w:sz w:val="22"/>
        </w:rPr>
      </w:pPr>
      <w:r>
        <w:rPr>
          <w:rFonts w:ascii="Times New Roman;serif" w:hAnsi="Times New Roman;serif"/>
          <w:b w:val="false"/>
          <w:color w:val="000000"/>
          <w:sz w:val="22"/>
        </w:rPr>
        <w:t>First quarter 2026 WCC revenue of $443 million increased by $2 million, or largely flat year-over-year, primarily from higher Liner Hanger activity, partly offset by lower Cementation Products and TRS activity in Middle East/North Africa/Asia. Sequentially, WCC revenues decreased by $67 million, or 13%, primarily from lower activity across all geographies especially in Middle East/North Africa/Asia.</w:t>
      </w:r>
    </w:p>
    <w:p>
      <w:pPr>
        <w:pStyle w:val="TextBody"/>
        <w:bidi w:val="0"/>
        <w:spacing w:lineRule="auto" w:line="417" w:before="100" w:after="180"/>
        <w:jc w:val="both"/>
        <w:rPr>
          <w:rFonts w:ascii="Times New Roman;serif" w:hAnsi="Times New Roman;serif"/>
          <w:b w:val="false"/>
          <w:color w:val="000000"/>
          <w:sz w:val="22"/>
        </w:rPr>
      </w:pPr>
      <w:r>
        <w:rPr>
          <w:rFonts w:ascii="Times New Roman;serif" w:hAnsi="Times New Roman;serif"/>
          <w:b w:val="false"/>
          <w:color w:val="000000"/>
          <w:sz w:val="22"/>
        </w:rPr>
        <w:t>First quarter 2026 WCC segment adjusted EBITDA of $110 million decreased by $18 million, or 14% year-over-year, primarily from overall flat activity and lower fall through in Middle East/North Africa/Asia, partly offset by higher TRS fall through in North America. Sequentially, WCC segment adjusted EBITDA decreased by $34 million, or 24%, primarily from lower activity across all geographies especially in Middle East/North Africa/Asia.</w:t>
      </w:r>
    </w:p>
    <w:p>
      <w:pPr>
        <w:pStyle w:val="TextBody"/>
        <w:bidi w:val="0"/>
        <w:spacing w:lineRule="auto" w:line="417" w:before="100" w:after="180"/>
        <w:jc w:val="both"/>
        <w:rPr>
          <w:rFonts w:ascii="Times New Roman;serif" w:hAnsi="Times New Roman;serif"/>
          <w:b/>
          <w:i/>
          <w:color w:val="000000"/>
          <w:sz w:val="24"/>
          <w:u w:val="single"/>
        </w:rPr>
      </w:pPr>
      <w:r>
        <w:rPr>
          <w:rFonts w:ascii="Times New Roman;serif" w:hAnsi="Times New Roman;serif"/>
          <w:b/>
          <w:i/>
          <w:color w:val="000000"/>
          <w:sz w:val="24"/>
          <w:u w:val="single"/>
        </w:rPr>
        <w:t>Production and Intervention (“PRI”)</w:t>
      </w:r>
    </w:p>
    <w:tbl>
      <w:tblPr>
        <w:tblW w:w="10205" w:type="dxa"/>
        <w:jc w:val="left"/>
        <w:tblInd w:w="0" w:type="dxa"/>
        <w:tblLayout w:type="fixed"/>
        <w:tblCellMar>
          <w:top w:w="28" w:type="dxa"/>
          <w:left w:w="28" w:type="dxa"/>
          <w:bottom w:w="28" w:type="dxa"/>
          <w:right w:w="28" w:type="dxa"/>
        </w:tblCellMar>
      </w:tblPr>
      <w:tblGrid>
        <w:gridCol w:w="888"/>
        <w:gridCol w:w="776"/>
        <w:gridCol w:w="780"/>
        <w:gridCol w:w="109"/>
        <w:gridCol w:w="109"/>
        <w:gridCol w:w="109"/>
        <w:gridCol w:w="272"/>
        <w:gridCol w:w="601"/>
        <w:gridCol w:w="350"/>
        <w:gridCol w:w="109"/>
        <w:gridCol w:w="109"/>
        <w:gridCol w:w="109"/>
        <w:gridCol w:w="259"/>
        <w:gridCol w:w="573"/>
        <w:gridCol w:w="334"/>
        <w:gridCol w:w="109"/>
        <w:gridCol w:w="109"/>
        <w:gridCol w:w="109"/>
        <w:gridCol w:w="272"/>
        <w:gridCol w:w="601"/>
        <w:gridCol w:w="350"/>
        <w:gridCol w:w="109"/>
        <w:gridCol w:w="109"/>
        <w:gridCol w:w="109"/>
        <w:gridCol w:w="266"/>
        <w:gridCol w:w="268"/>
        <w:gridCol w:w="451"/>
        <w:gridCol w:w="109"/>
        <w:gridCol w:w="109"/>
        <w:gridCol w:w="109"/>
        <w:gridCol w:w="215"/>
        <w:gridCol w:w="215"/>
        <w:gridCol w:w="391"/>
        <w:gridCol w:w="109"/>
        <w:gridCol w:w="109"/>
        <w:gridCol w:w="109"/>
        <w:gridCol w:w="109"/>
        <w:gridCol w:w="109"/>
        <w:gridCol w:w="163"/>
      </w:tblGrid>
      <w:tr>
        <w:trPr/>
        <w:tc>
          <w:tcPr>
            <w:tcW w:w="88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Seq.</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00" w:after="180"/>
        <w:jc w:val="both"/>
        <w:rPr/>
      </w:pPr>
      <w:r>
        <w:rPr>
          <w:rFonts w:ascii="Times New Roman;serif" w:hAnsi="Times New Roman;serif"/>
          <w:b w:val="false"/>
          <w:color w:val="000000"/>
          <w:sz w:val="22"/>
        </w:rPr>
        <w:t>First quarter 2026 PRI revenue of $296 million decreased</w:t>
      </w:r>
      <w:r>
        <w:rPr>
          <w:color w:val="000000"/>
        </w:rPr>
        <w:t xml:space="preserve"> </w:t>
      </w:r>
      <w:r>
        <w:rPr>
          <w:rFonts w:ascii="Times New Roman;serif" w:hAnsi="Times New Roman;serif"/>
          <w:b w:val="false"/>
          <w:color w:val="000000"/>
          <w:sz w:val="22"/>
        </w:rPr>
        <w:t>by $38 million,</w:t>
      </w:r>
      <w:r>
        <w:rPr>
          <w:color w:val="000000"/>
        </w:rPr>
        <w:t xml:space="preserve"> </w:t>
      </w:r>
      <w:r>
        <w:rPr>
          <w:rFonts w:ascii="Times New Roman;serif" w:hAnsi="Times New Roman;serif"/>
          <w:b w:val="false"/>
          <w:color w:val="000000"/>
          <w:sz w:val="22"/>
        </w:rPr>
        <w:t>or 11% year-over-year, primarily from the sale of Pressure Pumping business in Argentina and lower Artificial Lift activity in North America, partly offset by higher Subsea Intervention activity. Sequentially, PRI revenue decreased by $57 million, or 16%, primarily from lower activity in Middle East/North Africa/Asia and lower Artificial Lift activity in North America, partly offset by higher Artificial Lift and Pressure Pumping activity in Europe/Sub-Sahara Africa/Russia.</w:t>
      </w:r>
    </w:p>
    <w:p>
      <w:pPr>
        <w:pStyle w:val="TextBody"/>
        <w:bidi w:val="0"/>
        <w:spacing w:lineRule="auto" w:line="417" w:before="100" w:after="180"/>
        <w:jc w:val="both"/>
        <w:rPr>
          <w:rFonts w:ascii="Times New Roman;serif" w:hAnsi="Times New Roman;serif"/>
          <w:b w:val="false"/>
          <w:color w:val="000000"/>
          <w:sz w:val="22"/>
        </w:rPr>
      </w:pPr>
      <w:r>
        <w:rPr>
          <w:rFonts w:ascii="Times New Roman;serif" w:hAnsi="Times New Roman;serif"/>
          <w:b w:val="false"/>
          <w:color w:val="000000"/>
          <w:sz w:val="22"/>
        </w:rPr>
        <w:t>First quarter 2026 PRI segment adjusted EBITDA of $54 million decreased by $8 million, or 13% year-over-year, primarily from lower activity in North America and lower fall through in Middle East/North Africa/Asia, partly offset by higher Subsea Intervention activity in Latin America and higher Digital Solutions fall through in Middle East/North Africa/Asia. Sequentially, PRI segment adjusted EBITDA decreased by $19 million, or 26%, primarily from lower activity in North America, Middle East/North Africa/Asia and Latin America, partly offset by higher Subsea Intervention fall through in Latin America.</w:t>
      </w:r>
    </w:p>
    <w:p>
      <w:pPr>
        <w:pStyle w:val="TextBody"/>
        <w:bidi w:val="0"/>
        <w:spacing w:before="100" w:after="180"/>
        <w:jc w:val="both"/>
        <w:rPr/>
      </w:pPr>
      <w:r>
        <w:rPr/>
      </w:r>
    </w:p>
    <w:p>
      <w:pPr>
        <w:pStyle w:val="TextBody"/>
        <w:bidi w:val="0"/>
        <w:spacing w:before="0" w:after="12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417" w:before="100" w:after="180"/>
        <w:jc w:val="both"/>
        <w:rPr>
          <w:rFonts w:ascii="Times New Roman;serif" w:hAnsi="Times New Roman;serif"/>
          <w:b/>
          <w:color w:val="000000"/>
          <w:sz w:val="28"/>
          <w:u w:val="single"/>
        </w:rPr>
      </w:pPr>
      <w:r>
        <w:rPr>
          <w:rFonts w:ascii="Times New Roman;serif" w:hAnsi="Times New Roman;serif"/>
          <w:b/>
          <w:color w:val="000000"/>
          <w:sz w:val="28"/>
          <w:u w:val="single"/>
        </w:rPr>
        <w:t xml:space="preserve">Revenue by Geography </w:t>
      </w:r>
    </w:p>
    <w:tbl>
      <w:tblPr>
        <w:tblW w:w="10205" w:type="dxa"/>
        <w:jc w:val="left"/>
        <w:tblInd w:w="0" w:type="dxa"/>
        <w:tblLayout w:type="fixed"/>
        <w:tblCellMar>
          <w:top w:w="28" w:type="dxa"/>
          <w:left w:w="28" w:type="dxa"/>
          <w:bottom w:w="28" w:type="dxa"/>
          <w:right w:w="28" w:type="dxa"/>
        </w:tblCellMar>
      </w:tblPr>
      <w:tblGrid>
        <w:gridCol w:w="1038"/>
        <w:gridCol w:w="912"/>
        <w:gridCol w:w="906"/>
        <w:gridCol w:w="109"/>
        <w:gridCol w:w="109"/>
        <w:gridCol w:w="109"/>
        <w:gridCol w:w="274"/>
        <w:gridCol w:w="804"/>
        <w:gridCol w:w="142"/>
        <w:gridCol w:w="109"/>
        <w:gridCol w:w="109"/>
        <w:gridCol w:w="109"/>
        <w:gridCol w:w="262"/>
        <w:gridCol w:w="767"/>
        <w:gridCol w:w="135"/>
        <w:gridCol w:w="109"/>
        <w:gridCol w:w="109"/>
        <w:gridCol w:w="109"/>
        <w:gridCol w:w="274"/>
        <w:gridCol w:w="804"/>
        <w:gridCol w:w="142"/>
        <w:gridCol w:w="109"/>
        <w:gridCol w:w="109"/>
        <w:gridCol w:w="109"/>
        <w:gridCol w:w="215"/>
        <w:gridCol w:w="215"/>
        <w:gridCol w:w="271"/>
        <w:gridCol w:w="109"/>
        <w:gridCol w:w="109"/>
        <w:gridCol w:w="109"/>
        <w:gridCol w:w="215"/>
        <w:gridCol w:w="215"/>
        <w:gridCol w:w="271"/>
        <w:gridCol w:w="109"/>
        <w:gridCol w:w="109"/>
        <w:gridCol w:w="109"/>
        <w:gridCol w:w="109"/>
        <w:gridCol w:w="109"/>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2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Latin America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Middle East/North Africa/Asia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Europe/Sub-Sahara Africa/Russia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40"/>
        <w:jc w:val="both"/>
        <w:rPr>
          <w:rFonts w:ascii="Times New Roman;serif" w:hAnsi="Times New Roman;serif"/>
          <w:b/>
          <w:i/>
          <w:color w:val="000000"/>
          <w:sz w:val="24"/>
          <w:u w:val="single"/>
        </w:rPr>
      </w:pPr>
      <w:r>
        <w:rPr>
          <w:rFonts w:ascii="Times New Roman;serif" w:hAnsi="Times New Roman;serif"/>
          <w:b/>
          <w:i/>
          <w:color w:val="000000"/>
          <w:sz w:val="24"/>
          <w:u w:val="single"/>
        </w:rPr>
        <w:t>North America</w:t>
      </w:r>
    </w:p>
    <w:p>
      <w:pPr>
        <w:pStyle w:val="TextBody"/>
        <w:bidi w:val="0"/>
        <w:spacing w:lineRule="auto" w:line="417" w:before="100" w:after="180"/>
        <w:jc w:val="both"/>
        <w:rPr>
          <w:rFonts w:ascii="Times New Roman;serif" w:hAnsi="Times New Roman;serif"/>
          <w:b w:val="false"/>
          <w:color w:val="000000"/>
          <w:sz w:val="22"/>
        </w:rPr>
      </w:pPr>
      <w:r>
        <w:rPr>
          <w:rFonts w:ascii="Times New Roman;serif" w:hAnsi="Times New Roman;serif"/>
          <w:b w:val="false"/>
          <w:color w:val="000000"/>
          <w:sz w:val="22"/>
        </w:rPr>
        <w:t>First quarter 2026 North America revenue of $220 million decreased by $30 million, or 12% year-over-year, primarily from lower activity in U.S. land and U.S. offshore, partly offset by higher Completions activity in Canada. Sequentially, North America revenue decreased by $29 million, or 12%, primarily from lower activity in U.S. land and offshore, partly offset by higher Wireline activity in Canada.</w:t>
      </w:r>
    </w:p>
    <w:p>
      <w:pPr>
        <w:pStyle w:val="TextBody"/>
        <w:bidi w:val="0"/>
        <w:spacing w:lineRule="auto" w:line="417" w:before="100" w:after="40"/>
        <w:jc w:val="both"/>
        <w:rPr>
          <w:rFonts w:ascii="Times New Roman;serif" w:hAnsi="Times New Roman;serif"/>
          <w:b/>
          <w:i/>
          <w:color w:val="000000"/>
          <w:sz w:val="24"/>
          <w:u w:val="single"/>
          <w:shd w:fill="FFFFFF" w:val="clear"/>
        </w:rPr>
      </w:pPr>
      <w:r>
        <w:rPr>
          <w:rFonts w:ascii="Times New Roman;serif" w:hAnsi="Times New Roman;serif"/>
          <w:b/>
          <w:i/>
          <w:color w:val="000000"/>
          <w:sz w:val="24"/>
          <w:u w:val="single"/>
          <w:shd w:fill="FFFFFF" w:val="clear"/>
        </w:rPr>
        <w:t>International</w:t>
      </w:r>
    </w:p>
    <w:p>
      <w:pPr>
        <w:pStyle w:val="TextBody"/>
        <w:bidi w:val="0"/>
        <w:spacing w:lineRule="auto" w:line="417" w:before="100" w:after="180"/>
        <w:jc w:val="both"/>
        <w:rPr/>
      </w:pPr>
      <w:r>
        <w:rPr>
          <w:rFonts w:ascii="Times New Roman;serif" w:hAnsi="Times New Roman;serif"/>
          <w:b w:val="false"/>
          <w:color w:val="000000"/>
          <w:sz w:val="22"/>
          <w:shd w:fill="FFFFFF" w:val="clear"/>
        </w:rPr>
        <w:t xml:space="preserve">First quarter 2026 international revenue of $932 million </w:t>
      </w:r>
      <w:r>
        <w:rPr>
          <w:rFonts w:ascii="Times New Roman;serif" w:hAnsi="Times New Roman;serif"/>
          <w:b w:val="false"/>
          <w:color w:val="000000"/>
          <w:sz w:val="22"/>
        </w:rPr>
        <w:t>decreased</w:t>
      </w:r>
      <w:r>
        <w:rPr>
          <w:color w:val="000000"/>
          <w:shd w:fill="FFFFFF" w:val="clear"/>
        </w:rPr>
        <w:t xml:space="preserve"> </w:t>
      </w:r>
      <w:r>
        <w:rPr>
          <w:rFonts w:ascii="Times New Roman;serif" w:hAnsi="Times New Roman;serif"/>
          <w:b w:val="false"/>
          <w:color w:val="000000"/>
          <w:sz w:val="22"/>
          <w:shd w:fill="FFFFFF" w:val="clear"/>
        </w:rPr>
        <w:t xml:space="preserve">by </w:t>
      </w:r>
      <w:r>
        <w:rPr>
          <w:rFonts w:ascii="Times New Roman;serif" w:hAnsi="Times New Roman;serif"/>
          <w:b w:val="false"/>
          <w:color w:val="000000"/>
          <w:sz w:val="22"/>
        </w:rPr>
        <w:t>$11 million</w:t>
      </w:r>
      <w:r>
        <w:rPr>
          <w:rFonts w:ascii="Times New Roman;serif" w:hAnsi="Times New Roman;serif"/>
          <w:b w:val="false"/>
          <w:color w:val="000000"/>
          <w:sz w:val="22"/>
          <w:shd w:fill="FFFFFF" w:val="clear"/>
        </w:rPr>
        <w:t xml:space="preserve">, or 1% year-over-year, and </w:t>
      </w:r>
      <w:r>
        <w:rPr>
          <w:rFonts w:ascii="Times New Roman;serif" w:hAnsi="Times New Roman;serif"/>
          <w:b w:val="false"/>
          <w:color w:val="000000"/>
          <w:sz w:val="22"/>
        </w:rPr>
        <w:t>decreased</w:t>
      </w:r>
      <w:r>
        <w:rPr>
          <w:color w:val="000000"/>
          <w:shd w:fill="FFFFFF" w:val="clear"/>
        </w:rPr>
        <w:t xml:space="preserve"> </w:t>
      </w:r>
      <w:r>
        <w:rPr>
          <w:rFonts w:ascii="Times New Roman;serif" w:hAnsi="Times New Roman;serif"/>
          <w:b w:val="false"/>
          <w:color w:val="000000"/>
          <w:sz w:val="22"/>
          <w:shd w:fill="FFFFFF" w:val="clear"/>
        </w:rPr>
        <w:t>by $108 million, or 10% sequentially.</w:t>
      </w:r>
    </w:p>
    <w:p>
      <w:pPr>
        <w:pStyle w:val="TextBody"/>
        <w:bidi w:val="0"/>
        <w:spacing w:lineRule="auto" w:line="417" w:before="100" w:after="180"/>
        <w:jc w:val="both"/>
        <w:rPr/>
      </w:pPr>
      <w:r>
        <w:rPr>
          <w:rFonts w:ascii="Times New Roman;serif" w:hAnsi="Times New Roman;serif"/>
          <w:b w:val="false"/>
          <w:color w:val="000000"/>
          <w:sz w:val="22"/>
        </w:rPr>
        <w:t xml:space="preserve">First quarter 2026 Latin America revenue of $223 million decreased by $18 million, or </w:t>
      </w:r>
      <w:r>
        <w:rPr>
          <w:rFonts w:ascii="Times New Roman;serif" w:hAnsi="Times New Roman;serif"/>
          <w:b w:val="false"/>
          <w:color w:val="000000"/>
          <w:sz w:val="22"/>
          <w:shd w:fill="FFFFFF" w:val="clear"/>
        </w:rPr>
        <w:t>7%</w:t>
      </w:r>
      <w:r>
        <w:rPr>
          <w:color w:val="000000"/>
        </w:rPr>
        <w:t xml:space="preserve"> </w:t>
      </w:r>
      <w:r>
        <w:rPr>
          <w:rFonts w:ascii="Times New Roman;serif" w:hAnsi="Times New Roman;serif"/>
          <w:b w:val="false"/>
          <w:color w:val="000000"/>
          <w:sz w:val="22"/>
        </w:rPr>
        <w:t xml:space="preserve">year-over-year, primarily from lower activity in Argentina especially due to the sale of our Pressure Pumping business, partly offset by a rebound in activity in Mexico. Sequentially, Latin America revenue decreased by $25 million, or </w:t>
      </w:r>
      <w:r>
        <w:rPr>
          <w:rFonts w:ascii="Times New Roman;serif" w:hAnsi="Times New Roman;serif"/>
          <w:b w:val="false"/>
          <w:color w:val="000000"/>
          <w:sz w:val="22"/>
          <w:shd w:fill="FFFFFF" w:val="clear"/>
        </w:rPr>
        <w:t>10%</w:t>
      </w:r>
      <w:r>
        <w:rPr>
          <w:rFonts w:ascii="Times New Roman;serif" w:hAnsi="Times New Roman;serif"/>
          <w:b w:val="false"/>
          <w:color w:val="000000"/>
          <w:sz w:val="22"/>
        </w:rPr>
        <w:t xml:space="preserve">, primarily from lower activity in Brazil and Mexico, partly offset by higher Artificial Lift activity in Argentina. </w:t>
      </w:r>
    </w:p>
    <w:p>
      <w:pPr>
        <w:pStyle w:val="TextBody"/>
        <w:bidi w:val="0"/>
        <w:spacing w:lineRule="auto" w:line="417" w:before="100" w:after="180"/>
        <w:jc w:val="both"/>
        <w:rPr/>
      </w:pPr>
      <w:r>
        <w:rPr>
          <w:rFonts w:ascii="Times New Roman;serif" w:hAnsi="Times New Roman;serif"/>
          <w:b w:val="false"/>
          <w:color w:val="000000"/>
          <w:sz w:val="22"/>
        </w:rPr>
        <w:t xml:space="preserve">First quarter 2026 Middle East/North Africa/Asia revenue of $476 million decreased by $27 million, or </w:t>
      </w:r>
      <w:r>
        <w:rPr>
          <w:rFonts w:ascii="Times New Roman;serif" w:hAnsi="Times New Roman;serif"/>
          <w:b w:val="false"/>
          <w:color w:val="000000"/>
          <w:sz w:val="22"/>
          <w:shd w:fill="FFFFFF" w:val="clear"/>
        </w:rPr>
        <w:t>5%</w:t>
      </w:r>
      <w:r>
        <w:rPr>
          <w:color w:val="000000"/>
        </w:rPr>
        <w:t xml:space="preserve"> </w:t>
      </w:r>
      <w:r>
        <w:rPr>
          <w:rFonts w:ascii="Times New Roman;serif" w:hAnsi="Times New Roman;serif"/>
          <w:b w:val="false"/>
          <w:color w:val="000000"/>
          <w:sz w:val="22"/>
        </w:rPr>
        <w:t xml:space="preserve">year-over-year, primarily from lower activity on account of heightened geopolitical tensions partly offset by higher Completions activity in Saudi Arabia. Sequentially, the Middle East/North Africa/Asia revenue decreased by $80 million, or </w:t>
      </w:r>
      <w:r>
        <w:rPr>
          <w:rFonts w:ascii="Times New Roman;serif" w:hAnsi="Times New Roman;serif"/>
          <w:b w:val="false"/>
          <w:color w:val="000000"/>
          <w:sz w:val="22"/>
          <w:shd w:fill="FFFFFF" w:val="clear"/>
        </w:rPr>
        <w:t>14%</w:t>
      </w:r>
      <w:r>
        <w:rPr>
          <w:rFonts w:ascii="Times New Roman;serif" w:hAnsi="Times New Roman;serif"/>
          <w:b w:val="false"/>
          <w:color w:val="000000"/>
          <w:sz w:val="22"/>
        </w:rPr>
        <w:t>, primarily from lower activity on account of heightened geopolitical tensions partly offset by higher Integrated Services and Projects in Saudi Arabia.</w:t>
      </w:r>
    </w:p>
    <w:p>
      <w:pPr>
        <w:pStyle w:val="TextBody"/>
        <w:bidi w:val="0"/>
        <w:spacing w:lineRule="auto" w:line="417" w:before="100" w:after="180"/>
        <w:jc w:val="both"/>
        <w:rPr/>
      </w:pPr>
      <w:r>
        <w:rPr>
          <w:rFonts w:ascii="Times New Roman;serif" w:hAnsi="Times New Roman;serif"/>
          <w:b w:val="false"/>
          <w:color w:val="000000"/>
          <w:sz w:val="22"/>
        </w:rPr>
        <w:t>First quarter 2026 Europe/Sub-Sahara Africa/Russia revenue of $233 million increased by $34 million, or 17% y</w:t>
      </w:r>
      <w:r>
        <w:rPr>
          <w:rFonts w:ascii="Times New Roman;serif" w:hAnsi="Times New Roman;serif"/>
          <w:b w:val="false"/>
          <w:color w:val="000000"/>
          <w:sz w:val="22"/>
          <w:shd w:fill="FFFFFF" w:val="clear"/>
        </w:rPr>
        <w:t>ear-over-year,</w:t>
      </w:r>
      <w:r>
        <w:rPr>
          <w:color w:val="000000"/>
        </w:rPr>
        <w:t xml:space="preserve"> </w:t>
      </w:r>
      <w:r>
        <w:rPr>
          <w:rFonts w:ascii="Times New Roman;serif" w:hAnsi="Times New Roman;serif"/>
          <w:b w:val="false"/>
          <w:color w:val="000000"/>
          <w:sz w:val="22"/>
        </w:rPr>
        <w:t>primarily from higher Integrated Services and Projects and TRS activity in Europe, partly offset by lower Drilling Services activity in Europe.</w:t>
      </w:r>
      <w:r>
        <w:rPr>
          <w:color w:val="000000"/>
          <w:shd w:fill="FFFFFF" w:val="clear"/>
        </w:rPr>
        <w:t xml:space="preserve"> </w:t>
      </w:r>
      <w:r>
        <w:rPr>
          <w:rFonts w:ascii="Times New Roman;serif" w:hAnsi="Times New Roman;serif"/>
          <w:b w:val="false"/>
          <w:color w:val="000000"/>
          <w:sz w:val="22"/>
          <w:shd w:fill="FFFFFF" w:val="clear"/>
        </w:rPr>
        <w:t>S</w:t>
      </w:r>
      <w:r>
        <w:rPr>
          <w:rFonts w:ascii="Times New Roman;serif" w:hAnsi="Times New Roman;serif"/>
          <w:b w:val="false"/>
          <w:color w:val="000000"/>
          <w:sz w:val="22"/>
        </w:rPr>
        <w:t>equentially,</w:t>
      </w:r>
      <w:r>
        <w:rPr>
          <w:color w:val="000000"/>
          <w:shd w:fill="FFFFFF" w:val="clear"/>
        </w:rPr>
        <w:t xml:space="preserve"> </w:t>
      </w:r>
      <w:r>
        <w:rPr>
          <w:rFonts w:ascii="Times New Roman;serif" w:hAnsi="Times New Roman;serif"/>
          <w:b w:val="false"/>
          <w:color w:val="000000"/>
          <w:sz w:val="22"/>
          <w:shd w:fill="FFFFFF" w:val="clear"/>
        </w:rPr>
        <w:t xml:space="preserve">Europe/Sub-Sahara Africa/Russia revenue </w:t>
      </w:r>
      <w:r>
        <w:rPr>
          <w:rFonts w:ascii="Times New Roman;serif" w:hAnsi="Times New Roman;serif"/>
          <w:b w:val="false"/>
          <w:color w:val="000000"/>
          <w:sz w:val="22"/>
        </w:rPr>
        <w:t>decreased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$3 million</w:t>
      </w:r>
      <w:r>
        <w:rPr>
          <w:color w:val="000000"/>
          <w:shd w:fill="FFFFFF" w:val="clear"/>
        </w:rPr>
        <w:t xml:space="preserve"> </w:t>
      </w:r>
      <w:r>
        <w:rPr>
          <w:rFonts w:ascii="Times New Roman;serif" w:hAnsi="Times New Roman;serif"/>
          <w:b w:val="false"/>
          <w:color w:val="000000"/>
          <w:sz w:val="22"/>
          <w:shd w:fill="FFFFFF" w:val="clear"/>
        </w:rPr>
        <w:t>or 1%,</w:t>
      </w:r>
      <w:r>
        <w:rPr>
          <w:color w:val="000000"/>
        </w:rPr>
        <w:t xml:space="preserve"> </w:t>
      </w:r>
      <w:r>
        <w:rPr>
          <w:rFonts w:ascii="Times New Roman;serif" w:hAnsi="Times New Roman;serif"/>
          <w:b w:val="false"/>
          <w:color w:val="000000"/>
          <w:sz w:val="22"/>
        </w:rPr>
        <w:t>primarily from lower WCC activity, partly offset by higher Drilling Services activity in Europe.</w:t>
      </w:r>
    </w:p>
    <w:p>
      <w:pPr>
        <w:pStyle w:val="TextBody"/>
        <w:bidi w:val="0"/>
        <w:spacing w:before="10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417" w:before="0" w:after="0"/>
        <w:jc w:val="both"/>
        <w:rPr>
          <w:rFonts w:ascii="Times New Roman;serif" w:hAnsi="Times New Roman;serif"/>
          <w:b/>
          <w:color w:val="000000"/>
          <w:sz w:val="28"/>
          <w:u w:val="single"/>
        </w:rPr>
      </w:pPr>
      <w:r>
        <w:rPr>
          <w:rFonts w:ascii="Times New Roman;serif" w:hAnsi="Times New Roman;serif"/>
          <w:b/>
          <w:color w:val="000000"/>
          <w:sz w:val="28"/>
          <w:u w:val="single"/>
        </w:rPr>
        <w:t>About Weatherford</w:t>
      </w:r>
    </w:p>
    <w:p>
      <w:pPr>
        <w:pStyle w:val="TextBody"/>
        <w:bidi w:val="0"/>
        <w:spacing w:lineRule="auto" w:line="417" w:before="0" w:after="140"/>
        <w:jc w:val="both"/>
        <w:rPr>
          <w:rFonts w:ascii="Times New Roman;serif" w:hAnsi="Times New Roman;serif"/>
          <w:b w:val="false"/>
          <w:color w:val="000000"/>
          <w:sz w:val="22"/>
        </w:rPr>
      </w:pPr>
      <w:r>
        <w:rPr>
          <w:rFonts w:ascii="Times New Roman;serif" w:hAnsi="Times New Roman;serif"/>
          <w:b w:val="false"/>
          <w:color w:val="000000"/>
          <w:sz w:val="22"/>
        </w:rPr>
        <w:t>Weatherford is a global energy services company that empowers customers to drill smarter, complete stronger, and produce larger across the full lifecycle of the well. With a differentiated portfolio of market-leading solutions, integrated technologies, and a broad global customer footprint across six continents, we blend advanced engineering, digital intelligence, and world-class field expertise to reduce risk, improve performance, and maximize the value of customer assets. Together, we elevate every operation, delivering stronger wells, sharper decisions, and better energy for the world.</w:t>
      </w:r>
    </w:p>
    <w:p>
      <w:pPr>
        <w:pStyle w:val="TextBody"/>
        <w:bidi w:val="0"/>
        <w:spacing w:lineRule="auto" w:line="417" w:before="300" w:after="180"/>
        <w:jc w:val="both"/>
        <w:rPr>
          <w:rFonts w:ascii="Times New Roman;serif" w:hAnsi="Times New Roman;serif"/>
          <w:b/>
          <w:color w:val="000000"/>
          <w:sz w:val="28"/>
          <w:u w:val="single"/>
        </w:rPr>
      </w:pPr>
      <w:r>
        <w:rPr>
          <w:rFonts w:ascii="Times New Roman;serif" w:hAnsi="Times New Roman;serif"/>
          <w:b/>
          <w:color w:val="000000"/>
          <w:sz w:val="28"/>
          <w:u w:val="single"/>
        </w:rPr>
        <w:t>Conference Call Details</w:t>
      </w:r>
    </w:p>
    <w:p>
      <w:pPr>
        <w:pStyle w:val="TextBody"/>
        <w:bidi w:val="0"/>
        <w:spacing w:lineRule="auto" w:line="417" w:before="0" w:after="100"/>
        <w:jc w:val="both"/>
        <w:rPr>
          <w:rFonts w:ascii="Times New Roman;serif" w:hAnsi="Times New Roman;serif"/>
          <w:b w:val="false"/>
          <w:color w:val="000000"/>
          <w:sz w:val="22"/>
        </w:rPr>
      </w:pPr>
      <w:r>
        <w:rPr>
          <w:rFonts w:ascii="Times New Roman;serif" w:hAnsi="Times New Roman;serif"/>
          <w:b w:val="false"/>
          <w:color w:val="000000"/>
          <w:sz w:val="22"/>
        </w:rPr>
        <w:t>Weatherford will host a conference call on Wednesday, April 22, 2026, to discuss the Company’s results for the first quarter ended March 31, 2026. The conference call will begin at 8:30 a.m. Eastern Time (7:30 a.m. Central Time).</w:t>
      </w:r>
    </w:p>
    <w:p>
      <w:pPr>
        <w:pStyle w:val="TextBody"/>
        <w:bidi w:val="0"/>
        <w:spacing w:lineRule="auto" w:line="417" w:before="0" w:after="100"/>
        <w:jc w:val="both"/>
        <w:rPr>
          <w:rFonts w:ascii="Times New Roman;serif" w:hAnsi="Times New Roman;serif"/>
          <w:b w:val="false"/>
          <w:color w:val="000000"/>
          <w:sz w:val="22"/>
        </w:rPr>
      </w:pPr>
      <w:r>
        <w:rPr>
          <w:rFonts w:ascii="Times New Roman;serif" w:hAnsi="Times New Roman;serif"/>
          <w:b w:val="false"/>
          <w:color w:val="000000"/>
          <w:sz w:val="22"/>
        </w:rPr>
        <w:t>Listeners are encouraged to download the accompanying presentation slides which will be available in the investor relations section of the Company’s website.</w:t>
      </w:r>
    </w:p>
    <w:p>
      <w:pPr>
        <w:pStyle w:val="TextBody"/>
        <w:bidi w:val="0"/>
        <w:spacing w:lineRule="auto" w:line="417" w:before="0" w:after="100"/>
        <w:jc w:val="both"/>
        <w:rPr>
          <w:rFonts w:ascii="Times New Roman;serif" w:hAnsi="Times New Roman;serif"/>
          <w:b w:val="false"/>
          <w:color w:val="000000"/>
          <w:sz w:val="22"/>
        </w:rPr>
      </w:pPr>
      <w:r>
        <w:rPr>
          <w:rFonts w:ascii="Times New Roman;serif" w:hAnsi="Times New Roman;serif"/>
          <w:b w:val="false"/>
          <w:color w:val="000000"/>
          <w:sz w:val="22"/>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pStyle w:val="TextBody"/>
        <w:bidi w:val="0"/>
        <w:spacing w:lineRule="auto" w:line="417" w:before="0" w:after="100"/>
        <w:jc w:val="both"/>
        <w:rPr>
          <w:rFonts w:ascii="Times New Roman;serif" w:hAnsi="Times New Roman;serif"/>
          <w:b w:val="false"/>
          <w:color w:val="000000"/>
          <w:sz w:val="22"/>
        </w:rPr>
      </w:pPr>
      <w:r>
        <w:rPr>
          <w:rFonts w:ascii="Times New Roman;serif" w:hAnsi="Times New Roman;serif"/>
          <w:b w:val="false"/>
          <w:color w:val="000000"/>
          <w:sz w:val="22"/>
        </w:rPr>
        <w:t xml:space="preserve">A telephonic replay of the conference call will be available until May 5, 2026, at 5:00 p.m. Eastern Time. To access the replay, please dial +1 855-669-9658 (within the U.S.) or +1 412-317-0088 (outside of the U.S.) and reference conference number 5490297. A replay and transcript of the earnings call will also be available in the investor relations section of the Company’s website. </w:t>
      </w:r>
    </w:p>
    <w:p>
      <w:pPr>
        <w:pStyle w:val="TextBody"/>
        <w:bidi w:val="0"/>
        <w:spacing w:lineRule="auto" w:line="288" w:before="80" w:after="80"/>
        <w:jc w:val="both"/>
        <w:rPr>
          <w:rFonts w:ascii="Times New Roman;serif" w:hAnsi="Times New Roman;serif"/>
          <w:b/>
          <w:color w:val="000000"/>
          <w:sz w:val="28"/>
          <w:u w:val="single"/>
        </w:rPr>
      </w:pPr>
      <w:r>
        <w:rPr>
          <w:rFonts w:ascii="Times New Roman;serif" w:hAnsi="Times New Roman;serif"/>
          <w:b/>
          <w:color w:val="000000"/>
          <w:sz w:val="28"/>
          <w:u w:val="single"/>
        </w:rPr>
        <w:t>Contacts</w:t>
      </w:r>
    </w:p>
    <w:p>
      <w:pPr>
        <w:pStyle w:val="TextBody"/>
        <w:bidi w:val="0"/>
        <w:spacing w:lineRule="auto" w:line="288" w:before="0" w:after="60"/>
        <w:jc w:val="both"/>
        <w:rPr>
          <w:rFonts w:ascii="Times New Roman;serif" w:hAnsi="Times New Roman;serif"/>
          <w:b/>
          <w:color w:val="000000"/>
          <w:sz w:val="22"/>
        </w:rPr>
      </w:pPr>
      <w:r>
        <w:rPr>
          <w:rFonts w:ascii="Times New Roman;serif" w:hAnsi="Times New Roman;serif"/>
          <w:b/>
          <w:color w:val="000000"/>
          <w:sz w:val="22"/>
        </w:rPr>
        <w:t>For Investors:</w:t>
      </w:r>
    </w:p>
    <w:p>
      <w:pPr>
        <w:pStyle w:val="TextBody"/>
        <w:bidi w:val="0"/>
        <w:spacing w:lineRule="auto" w:line="288" w:before="0" w:after="60"/>
        <w:jc w:val="both"/>
        <w:rPr>
          <w:rFonts w:ascii="Times New Roman;serif" w:hAnsi="Times New Roman;serif"/>
          <w:b w:val="false"/>
          <w:color w:val="000000"/>
          <w:sz w:val="22"/>
        </w:rPr>
      </w:pPr>
      <w:r>
        <w:rPr>
          <w:rFonts w:ascii="Times New Roman;serif" w:hAnsi="Times New Roman;serif"/>
          <w:b w:val="false"/>
          <w:color w:val="000000"/>
          <w:sz w:val="22"/>
        </w:rPr>
        <w:t>Luke Lemoine</w:t>
      </w:r>
    </w:p>
    <w:p>
      <w:pPr>
        <w:pStyle w:val="TextBody"/>
        <w:bidi w:val="0"/>
        <w:spacing w:lineRule="auto" w:line="288" w:before="0" w:after="60"/>
        <w:jc w:val="both"/>
        <w:rPr>
          <w:rFonts w:ascii="Times New Roman;serif" w:hAnsi="Times New Roman;serif"/>
          <w:b w:val="false"/>
          <w:color w:val="000000"/>
          <w:sz w:val="22"/>
        </w:rPr>
      </w:pPr>
      <w:r>
        <w:rPr>
          <w:rFonts w:ascii="Times New Roman;serif" w:hAnsi="Times New Roman;serif"/>
          <w:b w:val="false"/>
          <w:color w:val="000000"/>
          <w:sz w:val="22"/>
        </w:rPr>
        <w:t>Senior Vice President, Corporate Development &amp; Investor Relations</w:t>
      </w:r>
    </w:p>
    <w:p>
      <w:pPr>
        <w:pStyle w:val="TextBody"/>
        <w:bidi w:val="0"/>
        <w:spacing w:lineRule="auto" w:line="288" w:before="0" w:after="60"/>
        <w:jc w:val="both"/>
        <w:rPr>
          <w:rFonts w:ascii="Times New Roman;serif" w:hAnsi="Times New Roman;serif"/>
          <w:b w:val="false"/>
          <w:color w:val="000000"/>
          <w:sz w:val="22"/>
        </w:rPr>
      </w:pPr>
      <w:r>
        <w:rPr>
          <w:rFonts w:ascii="Times New Roman;serif" w:hAnsi="Times New Roman;serif"/>
          <w:b w:val="false"/>
          <w:color w:val="000000"/>
          <w:sz w:val="22"/>
        </w:rPr>
        <w:t>+1 713-836-7777</w:t>
      </w:r>
    </w:p>
    <w:p>
      <w:pPr>
        <w:pStyle w:val="TextBody"/>
        <w:bidi w:val="0"/>
        <w:spacing w:lineRule="auto" w:line="288" w:before="0" w:after="60"/>
        <w:jc w:val="both"/>
        <w:rPr>
          <w:rFonts w:ascii="Times New Roman;serif" w:hAnsi="Times New Roman;serif"/>
          <w:b w:val="false"/>
          <w:color w:val="0E32E1"/>
          <w:sz w:val="22"/>
          <w:u w:val="single"/>
        </w:rPr>
      </w:pPr>
      <w:r>
        <w:rPr>
          <w:rFonts w:ascii="Times New Roman;serif" w:hAnsi="Times New Roman;serif"/>
          <w:b w:val="false"/>
          <w:color w:val="0E32E1"/>
          <w:sz w:val="22"/>
          <w:u w:val="single"/>
        </w:rPr>
        <w:t>investor.relations@weatherford.com</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For Media:</w:t>
      </w:r>
    </w:p>
    <w:p>
      <w:pPr>
        <w:pStyle w:val="TextBody"/>
        <w:bidi w:val="0"/>
        <w:spacing w:lineRule="auto" w:line="288" w:before="0" w:after="60"/>
        <w:jc w:val="both"/>
        <w:rPr>
          <w:rFonts w:ascii="Times New Roman;serif" w:hAnsi="Times New Roman;serif"/>
          <w:b w:val="false"/>
          <w:color w:val="000000"/>
          <w:sz w:val="22"/>
        </w:rPr>
      </w:pPr>
      <w:r>
        <w:rPr>
          <w:rFonts w:ascii="Times New Roman;serif" w:hAnsi="Times New Roman;serif"/>
          <w:b w:val="false"/>
          <w:color w:val="000000"/>
          <w:sz w:val="22"/>
        </w:rPr>
        <w:t>Kelley Hughes</w:t>
      </w:r>
    </w:p>
    <w:p>
      <w:pPr>
        <w:pStyle w:val="TextBody"/>
        <w:bidi w:val="0"/>
        <w:spacing w:lineRule="auto" w:line="288" w:before="0" w:after="60"/>
        <w:jc w:val="both"/>
        <w:rPr>
          <w:rFonts w:ascii="Times New Roman;serif" w:hAnsi="Times New Roman;serif"/>
          <w:b w:val="false"/>
          <w:color w:val="000000"/>
          <w:sz w:val="22"/>
        </w:rPr>
      </w:pPr>
      <w:r>
        <w:rPr>
          <w:rFonts w:ascii="Times New Roman;serif" w:hAnsi="Times New Roman;serif"/>
          <w:b w:val="false"/>
          <w:color w:val="000000"/>
          <w:sz w:val="22"/>
        </w:rPr>
        <w:t>Senior Director, Communications, Marketing &amp; Sustainability</w:t>
      </w:r>
    </w:p>
    <w:p>
      <w:pPr>
        <w:pStyle w:val="TextBody"/>
        <w:bidi w:val="0"/>
        <w:spacing w:lineRule="auto" w:line="288" w:before="0" w:after="60"/>
        <w:jc w:val="both"/>
        <w:rPr>
          <w:rFonts w:ascii="Times New Roman;serif" w:hAnsi="Times New Roman;serif"/>
          <w:b w:val="false"/>
          <w:color w:val="0E32E1"/>
          <w:sz w:val="22"/>
          <w:u w:val="single"/>
        </w:rPr>
      </w:pPr>
      <w:r>
        <w:rPr>
          <w:rFonts w:ascii="Times New Roman;serif" w:hAnsi="Times New Roman;serif"/>
          <w:b w:val="false"/>
          <w:color w:val="0E32E1"/>
          <w:sz w:val="22"/>
          <w:u w:val="single"/>
        </w:rPr>
        <w:t>media@weatherford.com</w:t>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12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80" w:after="80"/>
        <w:jc w:val="both"/>
        <w:rPr>
          <w:rFonts w:ascii="Times New Roman;serif" w:hAnsi="Times New Roman;serif"/>
          <w:b/>
          <w:color w:val="000000"/>
          <w:sz w:val="28"/>
          <w:u w:val="single"/>
        </w:rPr>
      </w:pPr>
      <w:r>
        <w:rPr>
          <w:rFonts w:ascii="Times New Roman;serif" w:hAnsi="Times New Roman;serif"/>
          <w:b/>
          <w:color w:val="000000"/>
          <w:sz w:val="28"/>
          <w:u w:val="single"/>
        </w:rPr>
        <w:t>Forward-Looking Statements</w:t>
      </w:r>
    </w:p>
    <w:p>
      <w:pPr>
        <w:pStyle w:val="TextBody"/>
        <w:bidi w:val="0"/>
        <w:spacing w:lineRule="auto" w:line="384" w:before="300" w:after="100"/>
        <w:jc w:val="both"/>
        <w:rPr>
          <w:rFonts w:ascii="Times New Roman;serif" w:hAnsi="Times New Roman;serif"/>
          <w:b w:val="false"/>
          <w:color w:val="000000"/>
          <w:sz w:val="22"/>
        </w:rPr>
      </w:pPr>
      <w:r>
        <w:rPr>
          <w:rFonts w:ascii="Times New Roman;serif" w:hAnsi="Times New Roman;serif"/>
          <w:b w:val="false"/>
          <w:color w:val="000000"/>
          <w:sz w:val="22"/>
        </w:rPr>
        <w:t xml:space="preserve">This news release contains projections and forward-looking statements concerning, among other things, the Company’s adjusted EBITDA*, adjusted EBITDA margin*, adjusted free cash flow*, shareholder return program, forecasts or expectations regarding business outlook, prospects for its operations, capital expenditures, expectations regarding future financial results,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estimates and may differ materially from actual future events or results, based on factors including but not limited to: global political, economic and market conditions, political disturbances, war or other global conflicts, terrorist attacks, public health issues such as pandemics, changes in global trade policies, tariffs and sanctions, weak local economic conditions and international currency fluctuations; general global economic repercussions related to U.S. and global inflationary pressures and potential recessionary concerns; various effects from the Russia Ukraine conflict, conflicts in the Middle East (including the Iran conflict) or instability in Latin America, including, but not limited to, nationalization of assets, extended business interruptions, sanctions, treaties and regulations (including changes in the regulatory environment) imposed by various countries, associated operational and logistical challenges, and impacts to the overall global energy supply; cybersecurity issues; our ability to comply with, and respond to, climate change, environmental, social and governance and other sustainability initiatives and future legislative and regulatory measures both globally and in specific geographic regions; the price and price volatility of, and demand for, oil and natural gas; the macroeconomic outlook for the oil and gas industry; our ability to generate cash flow from operations to fund our operations; our ability to effectively and timely adapt our technology portfolio, products and services to remain competitive, and to address and participate in changes to the market demands, including for the transition to alternate sources of energy such as geothermal, carbon capture and responsible abandonment, including our digitalization efforts and our incorporation of artificial intelligence tools, increases in the prices and lead times, and the lack of availability of our procured products and services, including due to macroeconomic and geopolitical conditions such as tariffs and changes in trade policies, our ability to timely collect from customers; our ability to manage our workforce and systems, including the impact of our enterprise resource planning system implementation and business enhancements; our ability to effectively execute our capital allocation framework; our ability to return capital to shareholders, including those related to the timing and amounts (including any plans or commitments in respect thereof) of any dividends and share repurchases; the realization of additional cost savings and operational efficiencies, including as a result of our proposed Redomestication from Ireland to Texas; our ability to receive, in a timely manner and on satisfactory terms, required shareholder and court approval, and to satisfy the other conditions to the proposed Redomestication within the expected timeframe or at all; our ability to realize the expected benefits from the proposed Redomestication; the occurrence of difficulties in connection with the Redomestication, including any costs related thereto; the risk that the proposed Redomestication disrupts current plans and operations; any changes in tax laws, tax treaties or tax regulations or the interpretation or enforcement thereof by the tax authorities in Ireland, the United States and other jurisdictions following the proposed Redomestication; and the future financial performance of Weatherford following the Redomestication. </w:t>
      </w:r>
    </w:p>
    <w:p>
      <w:pPr>
        <w:pStyle w:val="TextBody"/>
        <w:bidi w:val="0"/>
        <w:spacing w:before="0" w:after="12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84" w:before="0" w:after="0"/>
        <w:jc w:val="both"/>
        <w:rPr/>
      </w:pPr>
      <w:r>
        <w:rPr>
          <w:rFonts w:ascii="Times New Roman;serif" w:hAnsi="Times New Roman;serif"/>
          <w:b w:val="false"/>
          <w:color w:val="000000"/>
          <w:sz w:val="22"/>
        </w:rPr>
        <w:t>These risks and uncertainties are more fully described in Weatherford’s reports and registration statements filed with the U.S. Securities and Exchange Commission (the “SEC”), including the risk factors described in the Company’s Annual Report on Form 10-K and Quarterly Reports on Form 10-Q. Accordingly, you should not place undue reliance on any of the Company’s forward-looking statements. 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r>
        <w:rPr>
          <w:rFonts w:ascii="Times New Roman;serif" w:hAnsi="Times New Roman;serif"/>
          <w:b w:val="false"/>
          <w:color w:val="000000"/>
          <w:sz w:val="22"/>
        </w:rPr>
        <w:t>.</w:t>
      </w:r>
    </w:p>
    <w:p>
      <w:pPr>
        <w:pStyle w:val="TextBody"/>
        <w:bidi w:val="0"/>
        <w:spacing w:lineRule="auto" w:line="417"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*Non-GAAP - refer to the section titled Non-GAAP Financial Measures Defined and GAAP to Non-GAAP Financial Measures Reconciled </w:t>
      </w:r>
    </w:p>
    <w:p>
      <w:pPr>
        <w:pStyle w:val="TextBody"/>
        <w:bidi w:val="0"/>
        <w:spacing w:before="0" w:after="0"/>
        <w:jc w:val="both"/>
        <w:rPr/>
      </w:pPr>
      <w:r>
        <w:rPr/>
      </w:r>
    </w:p>
    <w:p>
      <w:pPr>
        <w:pStyle w:val="TextBody"/>
        <w:bidi w:val="0"/>
        <w:spacing w:lineRule="auto" w:line="384" w:before="0" w:after="0"/>
        <w:jc w:val="both"/>
        <w:rPr>
          <w:rFonts w:ascii="Times New Roman;serif" w:hAnsi="Times New Roman;serif"/>
          <w:b/>
          <w:color w:val="000000"/>
          <w:sz w:val="28"/>
          <w:u w:val="single"/>
        </w:rPr>
      </w:pPr>
      <w:r>
        <w:rPr>
          <w:rFonts w:ascii="Times New Roman;serif" w:hAnsi="Times New Roman;serif"/>
          <w:b/>
          <w:color w:val="000000"/>
          <w:sz w:val="28"/>
          <w:u w:val="single"/>
        </w:rPr>
        <w:t>Additional Information and Where to Find It</w:t>
      </w:r>
    </w:p>
    <w:p>
      <w:pPr>
        <w:pStyle w:val="TextBody"/>
        <w:bidi w:val="0"/>
        <w:spacing w:lineRule="auto" w:line="38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connection with the proposed Redomestication, Weatherford filed a definitive proxy statement with the SEC on April 21, 2026. Weatherford may also file other relevant documents with the SEC regarding the proposed Redomestication. The definitive proxy statement will be mailed to shareholders of Weatherford. This communication is not a substitute for any proxy statement or any other document that may be filed with the SEC or sent to Weatherford’s shareholders in connection with the proposed Redomestication. </w:t>
      </w:r>
    </w:p>
    <w:p>
      <w:pPr>
        <w:pStyle w:val="TextBody"/>
        <w:bidi w:val="0"/>
        <w:spacing w:before="0" w:after="0"/>
        <w:jc w:val="both"/>
        <w:rPr/>
      </w:pPr>
      <w:r>
        <w:rPr/>
      </w:r>
    </w:p>
    <w:p>
      <w:pPr>
        <w:pStyle w:val="TextBody"/>
        <w:bidi w:val="0"/>
        <w:spacing w:lineRule="auto" w:line="38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INVESTORS AND SECURITY HOLDERS OF Weatherford ARE URGED TO READ THE PROXY STATEMENT AND ANY OTHER RELEVANT DOCUMENTS THAT MAY BE FILED WITH THE SEC, AS WELL AS ANY AMENDMENTS OR SUPPLEMENTS TO THESE DOCUMENTS, CAREFULLY AND IN THEIR ENTIRETY IF AND WHEN THEY BECOME AVAILABLE BECAUSE THEY CONTAIN OR WILL CONTAIN IMPORTANT INFORMATION ABOUT Weatherford AND THE PROPOSED REDOMESTICATION AND RELATED MATTERS. </w:t>
      </w:r>
    </w:p>
    <w:p>
      <w:pPr>
        <w:pStyle w:val="TextBody"/>
        <w:bidi w:val="0"/>
        <w:spacing w:before="0" w:after="0"/>
        <w:jc w:val="both"/>
        <w:rPr/>
      </w:pPr>
      <w:r>
        <w:rPr/>
      </w:r>
    </w:p>
    <w:p>
      <w:pPr>
        <w:pStyle w:val="TextBody"/>
        <w:bidi w:val="0"/>
        <w:spacing w:lineRule="auto" w:line="384" w:before="0" w:after="0"/>
        <w:jc w:val="both"/>
        <w:rPr>
          <w:rFonts w:ascii="Times New Roman;serif" w:hAnsi="Times New Roman;serif"/>
          <w:b w:val="false"/>
          <w:color w:val="000000"/>
          <w:sz w:val="22"/>
        </w:rPr>
      </w:pPr>
      <w:r>
        <w:rPr>
          <w:rFonts w:ascii="Times New Roman;serif" w:hAnsi="Times New Roman;serif"/>
          <w:b w:val="false"/>
          <w:color w:val="000000"/>
          <w:sz w:val="22"/>
        </w:rPr>
        <w:t>Investors and security holders are able to obtain free copies of the definitive proxy statement and other documents containing important information about Weatherford and the proposed Redomestication through the website maintained by the SEC at www.sec.gov. Copies of the documents filed with the SEC by Weatherford are available free of charge on Weatherford’s website at www.weatherford.com.</w:t>
      </w:r>
    </w:p>
    <w:p>
      <w:pPr>
        <w:pStyle w:val="TextBody"/>
        <w:bidi w:val="0"/>
        <w:spacing w:before="0" w:after="0"/>
        <w:jc w:val="left"/>
        <w:rPr/>
      </w:pPr>
      <w:r>
        <w:rPr/>
      </w:r>
    </w:p>
    <w:p>
      <w:pPr>
        <w:pStyle w:val="TextBody"/>
        <w:bidi w:val="0"/>
        <w:spacing w:lineRule="auto" w:line="384" w:before="0" w:after="0"/>
        <w:jc w:val="both"/>
        <w:rPr>
          <w:rFonts w:ascii="Times New Roman;serif" w:hAnsi="Times New Roman;serif"/>
          <w:b/>
          <w:color w:val="000000"/>
          <w:sz w:val="28"/>
          <w:u w:val="single"/>
        </w:rPr>
      </w:pPr>
      <w:r>
        <w:rPr>
          <w:rFonts w:ascii="Times New Roman;serif" w:hAnsi="Times New Roman;serif"/>
          <w:b/>
          <w:color w:val="000000"/>
          <w:sz w:val="28"/>
          <w:u w:val="single"/>
        </w:rPr>
        <w:t>Participants in the Solicitation</w:t>
      </w:r>
    </w:p>
    <w:p>
      <w:pPr>
        <w:pStyle w:val="TextBody"/>
        <w:bidi w:val="0"/>
        <w:spacing w:lineRule="auto" w:line="384" w:before="0" w:after="0"/>
        <w:jc w:val="both"/>
        <w:rPr/>
      </w:pPr>
      <w:r>
        <w:rPr>
          <w:rFonts w:ascii="Times New Roman;serif" w:hAnsi="Times New Roman;serif"/>
          <w:b w:val="false"/>
          <w:color w:val="000000"/>
          <w:sz w:val="22"/>
        </w:rPr>
        <w:t>Weatherford and its directors, executive officers and other members of management and employees may, under the rules of the SEC, be deemed to be participants in the solicitation of proxies from Weatherford’s shareholders in connection with the proposed Redomestication. Information about the directors and executive officers of Weatherford and their ownership of Weatherford’s securities is set forth in the definitive proxy statement relating to the proposed Redomestication (</w:t>
      </w:r>
      <w:hyperlink r:id="rId3">
        <w:r>
          <w:rPr>
            <w:rStyle w:val="InternetLink"/>
            <w:rFonts w:ascii="Times New Roman;serif" w:hAnsi="Times New Roman;serif"/>
            <w:b w:val="false"/>
            <w:color w:val="0000FF"/>
            <w:sz w:val="22"/>
            <w:u w:val="single"/>
          </w:rPr>
          <w:t>https://www.sec.gov/ix?doc=/Archives/edgar/data/0001603923/000119312526166847/d120523ddef14a.htm</w:t>
        </w:r>
      </w:hyperlink>
      <w:r>
        <w:rPr>
          <w:rFonts w:ascii="Times New Roman;serif" w:hAnsi="Times New Roman;serif"/>
          <w:b w:val="false"/>
          <w:color w:val="000000"/>
          <w:sz w:val="22"/>
        </w:rPr>
        <w:t>), which was filed with the SEC on April 21, 2026, including under the sections entitled “Director Compensation”, “2025 Summary Compensation Table”, “Grants of Plan-Based Awards”, “Outstanding Equity Awards at December 31, 2025”, “Option Exercises and Shares Vested in 2025”, and “Share Ownership”. You may obtain free copies of these documents using the sources indicated above.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718"/>
        <w:gridCol w:w="1403"/>
        <w:gridCol w:w="1413"/>
        <w:gridCol w:w="112"/>
        <w:gridCol w:w="112"/>
        <w:gridCol w:w="112"/>
        <w:gridCol w:w="331"/>
        <w:gridCol w:w="804"/>
        <w:gridCol w:w="170"/>
        <w:gridCol w:w="112"/>
        <w:gridCol w:w="112"/>
        <w:gridCol w:w="112"/>
        <w:gridCol w:w="395"/>
        <w:gridCol w:w="957"/>
        <w:gridCol w:w="206"/>
        <w:gridCol w:w="112"/>
        <w:gridCol w:w="112"/>
        <w:gridCol w:w="112"/>
        <w:gridCol w:w="331"/>
        <w:gridCol w:w="804"/>
        <w:gridCol w:w="170"/>
        <w:gridCol w:w="109"/>
        <w:gridCol w:w="109"/>
        <w:gridCol w:w="109"/>
        <w:gridCol w:w="168"/>
      </w:tblGrid>
      <w:tr>
        <w:trPr/>
        <w:tc>
          <w:tcPr>
            <w:tcW w:w="1718"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97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w:t>
            </w:r>
          </w:p>
        </w:tc>
        <w:tc>
          <w:tcPr>
            <w:tcW w:w="495" w:type="dxa"/>
            <w:gridSpan w:val="4"/>
            <w:tcBorders/>
          </w:tcPr>
          <w:p>
            <w:pPr>
              <w:pStyle w:val="TableContents"/>
              <w:bidi w:val="0"/>
              <w:spacing w:before="0" w:after="283"/>
              <w:jc w:val="left"/>
              <w:rPr>
                <w:sz w:val="4"/>
                <w:szCs w:val="4"/>
              </w:rPr>
            </w:pPr>
            <w:r>
              <w:rPr>
                <w:sz w:val="4"/>
                <w:szCs w:val="4"/>
              </w:rPr>
            </w:r>
          </w:p>
        </w:tc>
      </w:tr>
      <w:tr>
        <w:trPr/>
        <w:tc>
          <w:tcPr>
            <w:tcW w:w="97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Selected Statements of Operations (Unaudited)</w:t>
            </w:r>
          </w:p>
        </w:tc>
        <w:tc>
          <w:tcPr>
            <w:tcW w:w="495" w:type="dxa"/>
            <w:gridSpan w:val="4"/>
            <w:tcBorders/>
          </w:tcPr>
          <w:p>
            <w:pPr>
              <w:pStyle w:val="TableContents"/>
              <w:bidi w:val="0"/>
              <w:spacing w:before="0" w:after="283"/>
              <w:jc w:val="left"/>
              <w:rPr>
                <w:sz w:val="4"/>
                <w:szCs w:val="4"/>
              </w:rPr>
            </w:pPr>
            <w:r>
              <w:rPr>
                <w:sz w:val="4"/>
                <w:szCs w:val="4"/>
              </w:rPr>
            </w:r>
          </w:p>
        </w:tc>
      </w:tr>
      <w:tr>
        <w:trPr/>
        <w:tc>
          <w:tcPr>
            <w:tcW w:w="4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gridSpan w:val="2"/>
            <w:tcBorders/>
          </w:tcPr>
          <w:p>
            <w:pPr>
              <w:pStyle w:val="TableContents"/>
              <w:bidi w:val="0"/>
              <w:spacing w:before="0" w:after="283"/>
              <w:jc w:val="left"/>
              <w:rPr>
                <w:sz w:val="4"/>
                <w:szCs w:val="4"/>
              </w:rPr>
            </w:pPr>
            <w:r>
              <w:rPr>
                <w:sz w:val="4"/>
                <w:szCs w:val="4"/>
              </w:rPr>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xml:space="preserve">($ in Millions, Except Per Share Amounts) </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 Revenues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 Revenues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 Revenues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Other </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Revenues </w:t>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DRE Segment Adjusted EBITDA</w:t>
            </w:r>
            <w:r>
              <w:rPr>
                <w:rFonts w:ascii="Times New Roman;serif" w:hAnsi="Times New Roman;serif"/>
                <w:b w:val="false"/>
                <w:color w:val="000000"/>
                <w:sz w:val="13"/>
              </w:rPr>
              <w:t>[1]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WCC Segment Adjusted EBITDA</w:t>
            </w:r>
            <w:r>
              <w:rPr>
                <w:rFonts w:ascii="Times New Roman;serif" w:hAnsi="Times New Roman;serif"/>
                <w:b w:val="false"/>
                <w:color w:val="000000"/>
                <w:sz w:val="13"/>
              </w:rPr>
              <w:t>[1]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 Segment Adjusted EBITDA</w:t>
            </w:r>
            <w:r>
              <w:rPr>
                <w:rFonts w:ascii="Times New Roman;serif" w:hAnsi="Times New Roman;serif"/>
                <w:b w:val="false"/>
                <w:color w:val="000000"/>
                <w:sz w:val="13"/>
              </w:rPr>
              <w:t>[1]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w:t>
            </w:r>
            <w:r>
              <w:rPr>
                <w:rFonts w:ascii="Times New Roman;serif" w:hAnsi="Times New Roman;serif"/>
                <w:b w:val="false"/>
                <w:color w:val="000000"/>
                <w:sz w:val="13"/>
              </w:rPr>
              <w:t>[2]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w:t>
            </w:r>
            <w:r>
              <w:rPr>
                <w:rFonts w:ascii="Times New Roman;serif" w:hAnsi="Times New Roman;serif"/>
                <w:b w:val="false"/>
                <w:color w:val="000000"/>
                <w:sz w:val="13"/>
              </w:rPr>
              <w:t>[2]</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Share-based Compensation </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(Charges) Credits, Net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Expense:</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Income of $10, $10, and $11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 and Bond Redemption Premium</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Weatherford</w:t>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Per Share</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Income Per Share</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270"/>
        <w:jc w:val="left"/>
        <w:rPr/>
      </w:pPr>
      <w:r>
        <w:rPr>
          <w:rFonts w:ascii="sans-serif" w:hAnsi="sans-serif"/>
          <w:b w:val="false"/>
          <w:color w:val="000000"/>
          <w:sz w:val="10"/>
        </w:rPr>
        <w:t>[1]</w:t>
      </w:r>
      <w:r>
        <w:rPr>
          <w:rFonts w:ascii="Times New Roman;serif" w:hAnsi="Times New Roman;serif"/>
          <w:b w:val="false"/>
          <w:color w:val="000000"/>
          <w:sz w:val="16"/>
        </w:rPr>
        <w:t>Segment adjusted EBITDA is our primary measure of segment profitability under U.S. GAAP ASC 280 “Segment Reporting” and represents segment earnings before interest, taxes, depreciation, amortization, share-based compensation, restructuring charges and other adjustments. Research and development expenses are included in segment adjusted EBITDA.</w:t>
      </w:r>
    </w:p>
    <w:p>
      <w:pPr>
        <w:pStyle w:val="TextBody"/>
        <w:bidi w:val="0"/>
        <w:spacing w:lineRule="auto" w:line="288" w:before="0" w:after="0"/>
        <w:ind w:left="0" w:right="0" w:hanging="270"/>
        <w:jc w:val="left"/>
        <w:rPr/>
      </w:pPr>
      <w:r>
        <w:rPr>
          <w:rFonts w:ascii="sans-serif" w:hAnsi="sans-serif"/>
          <w:b w:val="false"/>
          <w:color w:val="000000"/>
          <w:sz w:val="10"/>
        </w:rPr>
        <w:t>[2]</w:t>
      </w:r>
      <w:r>
        <w:rPr>
          <w:rFonts w:ascii="Times New Roman;serif" w:hAnsi="Times New Roman;serif"/>
          <w:b w:val="false"/>
          <w:color w:val="000000"/>
          <w:sz w:val="16"/>
        </w:rPr>
        <w:t>All Other includes results from non-core business activities (including integrated services and projects), and Corporate includes overhead support and centrally managed or shared facilities costs. All Other and Corporate do not individually meet the criteria for segment reporting.</w:t>
      </w:r>
    </w:p>
    <w:p>
      <w:pPr>
        <w:pStyle w:val="TextBody"/>
        <w:bidi w:val="0"/>
        <w:spacing w:before="0" w:after="0"/>
        <w:ind w:left="0" w:right="0" w:firstLine="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6670" w:type="dxa"/>
        <w:jc w:val="center"/>
        <w:tblInd w:w="0" w:type="dxa"/>
        <w:tblLayout w:type="fixed"/>
        <w:tblCellMar>
          <w:top w:w="28" w:type="dxa"/>
          <w:left w:w="28" w:type="dxa"/>
          <w:bottom w:w="28" w:type="dxa"/>
          <w:right w:w="28" w:type="dxa"/>
        </w:tblCellMar>
      </w:tblPr>
      <w:tblGrid>
        <w:gridCol w:w="1080"/>
        <w:gridCol w:w="950"/>
        <w:gridCol w:w="954"/>
        <w:gridCol w:w="324"/>
        <w:gridCol w:w="949"/>
        <w:gridCol w:w="167"/>
        <w:gridCol w:w="159"/>
        <w:gridCol w:w="159"/>
        <w:gridCol w:w="159"/>
        <w:gridCol w:w="449"/>
        <w:gridCol w:w="993"/>
        <w:gridCol w:w="327"/>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667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w:t>
            </w:r>
          </w:p>
        </w:tc>
      </w:tr>
      <w:tr>
        <w:trPr/>
        <w:tc>
          <w:tcPr>
            <w:tcW w:w="667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Selected Balance Sheet Data (Unaudited)</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in Millions)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Benefits</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988"/>
        <w:gridCol w:w="1528"/>
        <w:gridCol w:w="1535"/>
        <w:gridCol w:w="110"/>
        <w:gridCol w:w="110"/>
        <w:gridCol w:w="110"/>
        <w:gridCol w:w="307"/>
        <w:gridCol w:w="680"/>
        <w:gridCol w:w="158"/>
        <w:gridCol w:w="110"/>
        <w:gridCol w:w="110"/>
        <w:gridCol w:w="110"/>
        <w:gridCol w:w="363"/>
        <w:gridCol w:w="830"/>
        <w:gridCol w:w="188"/>
        <w:gridCol w:w="110"/>
        <w:gridCol w:w="110"/>
        <w:gridCol w:w="110"/>
        <w:gridCol w:w="288"/>
        <w:gridCol w:w="715"/>
        <w:gridCol w:w="148"/>
        <w:gridCol w:w="109"/>
        <w:gridCol w:w="109"/>
        <w:gridCol w:w="109"/>
        <w:gridCol w:w="160"/>
      </w:tblGrid>
      <w:tr>
        <w:trPr/>
        <w:tc>
          <w:tcPr>
            <w:tcW w:w="198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w:t>
            </w:r>
          </w:p>
        </w:tc>
        <w:tc>
          <w:tcPr>
            <w:tcW w:w="487" w:type="dxa"/>
            <w:gridSpan w:val="4"/>
            <w:tcBorders/>
          </w:tcPr>
          <w:p>
            <w:pPr>
              <w:pStyle w:val="TableContents"/>
              <w:bidi w:val="0"/>
              <w:spacing w:before="0" w:after="283"/>
              <w:jc w:val="left"/>
              <w:rPr>
                <w:sz w:val="4"/>
                <w:szCs w:val="4"/>
              </w:rPr>
            </w:pPr>
            <w:r>
              <w:rPr>
                <w:sz w:val="4"/>
                <w:szCs w:val="4"/>
              </w:rPr>
            </w:r>
          </w:p>
        </w:tc>
      </w:tr>
      <w:tr>
        <w:trPr/>
        <w:tc>
          <w:tcPr>
            <w:tcW w:w="97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Selected Cash Flows Information (Unaudited)</w:t>
            </w:r>
          </w:p>
        </w:tc>
        <w:tc>
          <w:tcPr>
            <w:tcW w:w="487" w:type="dxa"/>
            <w:gridSpan w:val="4"/>
            <w:tcBorders/>
          </w:tcPr>
          <w:p>
            <w:pPr>
              <w:pStyle w:val="TableContents"/>
              <w:bidi w:val="0"/>
              <w:spacing w:before="0" w:after="283"/>
              <w:jc w:val="left"/>
              <w:rPr>
                <w:sz w:val="4"/>
                <w:szCs w:val="4"/>
              </w:rPr>
            </w:pPr>
            <w:r>
              <w:rPr>
                <w:sz w:val="4"/>
                <w:szCs w:val="4"/>
              </w:rPr>
            </w:r>
          </w:p>
        </w:tc>
      </w:tr>
      <w:tr>
        <w:trPr/>
        <w:tc>
          <w:tcPr>
            <w:tcW w:w="5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5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in Millions)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Reconcile Net Income to Net Cash Provided By Operating Activities: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Losses (Gain)</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 Provision (Benefit)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Accounts Receivable, Inventory, Accounts Payable and Accrued Salaries and Benefits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Changes, Net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for Property, Plant and Equipment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Disposition of Assets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Blue Chip Swap Securities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Blue Chip Swap Securities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Cash Used In Investing Activities </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of Long-term Debt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Debt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Distributions to Noncontrolling Interests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Remittance on Equity Awards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 Repurchases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Cash Used In Financing Activities </w:t>
            </w:r>
          </w:p>
        </w:tc>
        <w:tc>
          <w:tcPr>
            <w:tcW w:w="33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both"/>
        <w:rPr/>
      </w:pPr>
      <w:r>
        <w:rPr/>
      </w:r>
    </w:p>
    <w:tbl>
      <w:tblPr>
        <w:tblW w:w="4978" w:type="dxa"/>
        <w:jc w:val="left"/>
        <w:tblInd w:w="0" w:type="dxa"/>
        <w:tblLayout w:type="fixed"/>
        <w:tblCellMar>
          <w:top w:w="28" w:type="dxa"/>
          <w:left w:w="28" w:type="dxa"/>
          <w:bottom w:w="28" w:type="dxa"/>
          <w:right w:w="28" w:type="dxa"/>
        </w:tblCellMar>
      </w:tblPr>
      <w:tblGrid>
        <w:gridCol w:w="281"/>
        <w:gridCol w:w="248"/>
        <w:gridCol w:w="248"/>
        <w:gridCol w:w="248"/>
        <w:gridCol w:w="248"/>
        <w:gridCol w:w="248"/>
        <w:gridCol w:w="248"/>
        <w:gridCol w:w="248"/>
        <w:gridCol w:w="248"/>
        <w:gridCol w:w="248"/>
        <w:gridCol w:w="248"/>
        <w:gridCol w:w="248"/>
        <w:gridCol w:w="248"/>
        <w:gridCol w:w="248"/>
        <w:gridCol w:w="248"/>
        <w:gridCol w:w="248"/>
        <w:gridCol w:w="248"/>
        <w:gridCol w:w="248"/>
        <w:gridCol w:w="109"/>
        <w:gridCol w:w="109"/>
        <w:gridCol w:w="109"/>
        <w:gridCol w:w="154"/>
      </w:tblGrid>
      <w:tr>
        <w:trPr/>
        <w:tc>
          <w:tcPr>
            <w:tcW w:w="28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w:t>
            </w:r>
          </w:p>
        </w:tc>
        <w:tc>
          <w:tcPr>
            <w:tcW w:w="481" w:type="dxa"/>
            <w:gridSpan w:val="4"/>
            <w:tcBorders/>
          </w:tcPr>
          <w:p>
            <w:pPr>
              <w:pStyle w:val="TableContents"/>
              <w:bidi w:val="0"/>
              <w:spacing w:before="0" w:after="283"/>
              <w:jc w:val="left"/>
              <w:rPr>
                <w:sz w:val="4"/>
                <w:szCs w:val="4"/>
              </w:rPr>
            </w:pPr>
            <w:r>
              <w:rPr>
                <w:sz w:val="4"/>
                <w:szCs w:val="4"/>
              </w:rPr>
            </w:r>
          </w:p>
        </w:tc>
      </w:tr>
      <w:tr>
        <w:trPr/>
        <w:tc>
          <w:tcPr>
            <w:tcW w:w="449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 Financial Measures Defined (Unaudited)</w:t>
            </w:r>
          </w:p>
        </w:tc>
        <w:tc>
          <w:tcPr>
            <w:tcW w:w="481"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report our financial results in accordance with U.S. generally accepted accounting principles (GAAP). However, Weatherford’s management believes that certain non-GAAP financial measures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results reported in accordance with GAAP but should be viewed in addition to the Company’s reported results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 Adjusted EBITDA* is a non-GAAP measure and represents consolidated income before interest expense, net, income taxes, depreciation and amortization expense, and excludes, among other items, restructuring charges, share-based compensation expense, as well as other charges and credits. Management believes adjusted EBITDA* is useful to assess and understand normalized operating performance and trends. Adjusted EBITDA* should be considered in addition to, but not as a substitute for consolidated net income and should be viewed in addition to the Company's reported results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margin* - Adjusted EBITDA margin* is a non-GAAP measure which is calculated by dividing consolidated adjusted EBITDA* by consolidated revenues. Management believes adjusted EBITDA margin* is useful to assess and understand normalized operating performance and trends. Adjusted EBITDA margin* should be considered in addition to, but not as a substitute for consolidated net income margin and should be viewed in addition to the Company's reported results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Adjusted Free Cash Flow* - Adjusted Free Cash Flow* is a non-GAAP measure and represents cash flows provided by (used in) operating activities, less capital expenditures plus proceeds from the disposition of assets. Management believes adjusted free cash flow* is useful to understand our performance at generating cash and demonstrates our discipline around the use of cash. Adjusted free cash flow* should be considered in addition to, but not as a substitute for cash flows provided by operating activities and should be viewed in addition to the Company's reported results prepared in accordance with GAAP.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Debt* - Net Debt* is a non-GAAP measure that is calculated taking short and long-term debt less cash and cash equivalents and restricted cash. Management believes the net debt* is useful to assess the level of debt in excess of cash and cash and equivalents as we monitor our ability to repay and service our debt. Net debt* should be considered in addition to, but not as a substitute for overall debt and total cash and should be viewed in addition to the Company’s results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Leverage* - Net Leverage* is a non-GAAP measure which is calculated by taking net debt* divided by adjusted EBITDA* for the trailing 12 months. Management believes the net leverage* is useful to understand our ability to repay and service our debt. Net leverage* should be considered in addition to, but not as a substitute for the individual components of above defined net debt* divided by consolidated net income attributable to Weatherford and should be viewed in addition to the Company’s reported results prepared in accordance with GAAP.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60"/>
        <w:jc w:val="both"/>
        <w:rPr/>
      </w:pPr>
      <w:r>
        <w:rPr/>
      </w:r>
    </w:p>
    <w:p>
      <w:pPr>
        <w:pStyle w:val="TextBody"/>
        <w:bidi w:val="0"/>
        <w:spacing w:lineRule="auto" w:line="417" w:before="0" w:after="60"/>
        <w:jc w:val="center"/>
        <w:rPr>
          <w:rFonts w:ascii="Times New Roman;serif" w:hAnsi="Times New Roman;serif"/>
          <w:b w:val="false"/>
          <w:color w:val="000000"/>
          <w:sz w:val="18"/>
        </w:rPr>
      </w:pPr>
      <w:r>
        <w:rPr>
          <w:rFonts w:ascii="Times New Roman;serif" w:hAnsi="Times New Roman;serif"/>
          <w:b w:val="false"/>
          <w:color w:val="000000"/>
          <w:sz w:val="18"/>
        </w:rPr>
        <w:t>*Non-GAAP - as defined above and reconciled to the GAAP measures in the section titled GAAP to Non-GAAP Financial Measures Reconciled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524"/>
        <w:gridCol w:w="1247"/>
        <w:gridCol w:w="1253"/>
        <w:gridCol w:w="123"/>
        <w:gridCol w:w="123"/>
        <w:gridCol w:w="123"/>
        <w:gridCol w:w="254"/>
        <w:gridCol w:w="741"/>
        <w:gridCol w:w="325"/>
        <w:gridCol w:w="123"/>
        <w:gridCol w:w="123"/>
        <w:gridCol w:w="123"/>
        <w:gridCol w:w="289"/>
        <w:gridCol w:w="846"/>
        <w:gridCol w:w="371"/>
        <w:gridCol w:w="123"/>
        <w:gridCol w:w="123"/>
        <w:gridCol w:w="123"/>
        <w:gridCol w:w="254"/>
        <w:gridCol w:w="741"/>
        <w:gridCol w:w="325"/>
        <w:gridCol w:w="109"/>
        <w:gridCol w:w="109"/>
        <w:gridCol w:w="109"/>
        <w:gridCol w:w="109"/>
        <w:gridCol w:w="109"/>
        <w:gridCol w:w="109"/>
        <w:gridCol w:w="109"/>
        <w:gridCol w:w="165"/>
      </w:tblGrid>
      <w:tr>
        <w:trPr/>
        <w:tc>
          <w:tcPr>
            <w:tcW w:w="1524"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2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4"/>
            <w:tcBorders/>
          </w:tcPr>
          <w:p>
            <w:pPr>
              <w:pStyle w:val="TableContents"/>
              <w:bidi w:val="0"/>
              <w:spacing w:before="0" w:after="283"/>
              <w:jc w:val="left"/>
              <w:rPr>
                <w:sz w:val="4"/>
                <w:szCs w:val="4"/>
              </w:rPr>
            </w:pPr>
            <w:r>
              <w:rPr>
                <w:sz w:val="4"/>
                <w:szCs w:val="4"/>
              </w:rPr>
            </w:r>
          </w:p>
        </w:tc>
      </w:tr>
      <w:tr>
        <w:trPr/>
        <w:tc>
          <w:tcPr>
            <w:tcW w:w="92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 to Non-GAAP Financial Measures Reconciled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4"/>
            <w:tcBorders/>
          </w:tcPr>
          <w:p>
            <w:pPr>
              <w:pStyle w:val="TableContents"/>
              <w:bidi w:val="0"/>
              <w:spacing w:before="0" w:after="283"/>
              <w:jc w:val="left"/>
              <w:rPr>
                <w:sz w:val="4"/>
                <w:szCs w:val="4"/>
              </w:rPr>
            </w:pPr>
            <w:r>
              <w:rPr>
                <w:sz w:val="4"/>
                <w:szCs w:val="4"/>
              </w:rPr>
            </w:r>
          </w:p>
        </w:tc>
      </w:tr>
      <w:tr>
        <w:trPr/>
        <w:tc>
          <w:tcPr>
            <w:tcW w:w="9277"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8"/>
            <w:tcBorders/>
          </w:tcPr>
          <w:p>
            <w:pPr>
              <w:pStyle w:val="TableContents"/>
              <w:bidi w:val="0"/>
              <w:spacing w:before="0" w:after="283"/>
              <w:jc w:val="left"/>
              <w:rPr>
                <w:sz w:val="4"/>
                <w:szCs w:val="4"/>
              </w:rPr>
            </w:pPr>
            <w:r>
              <w:rPr>
                <w:sz w:val="4"/>
                <w:szCs w:val="4"/>
              </w:rPr>
            </w:r>
          </w:p>
        </w:tc>
      </w:tr>
      <w:tr>
        <w:trPr/>
        <w:tc>
          <w:tcPr>
            <w:tcW w:w="4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4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in Millions, Except Margin in Percentages)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Weatherford </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Margin </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Attributable to Weatherford </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Noncontrolling Interests </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Income of $10, $10, and $11</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 and Bond Redemption Premium</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Charges (Credits), Net</w:t>
            </w:r>
            <w:r>
              <w:rPr>
                <w:rFonts w:ascii="Times New Roman;serif" w:hAnsi="Times New Roman;serif"/>
                <w:b w:val="false"/>
                <w:color w:val="000000"/>
                <w:sz w:val="13"/>
              </w:rPr>
              <w:t>[1]</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for Property, Plant and Equipment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Disposition of Assets</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Free Cash Flow*</w:t>
            </w:r>
          </w:p>
        </w:tc>
        <w:tc>
          <w:tcPr>
            <w:tcW w:w="369"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ind w:left="0" w:right="0" w:hanging="270"/>
        <w:jc w:val="both"/>
        <w:rPr/>
      </w:pPr>
      <w:r>
        <w:rPr>
          <w:rFonts w:ascii="sans-serif" w:hAnsi="sans-serif"/>
          <w:b w:val="false"/>
          <w:color w:val="000000"/>
          <w:sz w:val="14"/>
        </w:rPr>
        <w:t>[1]</w:t>
      </w:r>
      <w:r>
        <w:rPr>
          <w:rFonts w:ascii="Times New Roman;serif" w:hAnsi="Times New Roman;serif"/>
          <w:b w:val="false"/>
          <w:color w:val="000000"/>
          <w:sz w:val="16"/>
        </w:rPr>
        <w:t>Other Charges, Net in the three months ended March 31, 2026 primarily includes legal fees related to the Redomestication. Other Charges, Net in the three months ended March 31, 2025 primarily includes fees to third-party financial institutions related to collections of certain receivables from our largest customer in Mexico.</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*Non-GAAP - as reconciled to the GAAP measures above and defined in the section titled Non-GAAP Financial Measures Defined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85"/>
        <w:gridCol w:w="1063"/>
        <w:gridCol w:w="1067"/>
        <w:gridCol w:w="147"/>
        <w:gridCol w:w="147"/>
        <w:gridCol w:w="147"/>
        <w:gridCol w:w="299"/>
        <w:gridCol w:w="875"/>
        <w:gridCol w:w="154"/>
        <w:gridCol w:w="147"/>
        <w:gridCol w:w="147"/>
        <w:gridCol w:w="147"/>
        <w:gridCol w:w="355"/>
        <w:gridCol w:w="1021"/>
        <w:gridCol w:w="179"/>
        <w:gridCol w:w="147"/>
        <w:gridCol w:w="147"/>
        <w:gridCol w:w="147"/>
        <w:gridCol w:w="299"/>
        <w:gridCol w:w="875"/>
        <w:gridCol w:w="154"/>
        <w:gridCol w:w="147"/>
        <w:gridCol w:w="147"/>
        <w:gridCol w:w="147"/>
        <w:gridCol w:w="109"/>
        <w:gridCol w:w="109"/>
        <w:gridCol w:w="109"/>
        <w:gridCol w:w="109"/>
        <w:gridCol w:w="109"/>
        <w:gridCol w:w="109"/>
        <w:gridCol w:w="161"/>
      </w:tblGrid>
      <w:tr>
        <w:trPr/>
        <w:tc>
          <w:tcPr>
            <w:tcW w:w="1285"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39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gridSpan w:val="3"/>
            <w:tcBorders/>
          </w:tcPr>
          <w:p>
            <w:pPr>
              <w:pStyle w:val="TableContents"/>
              <w:bidi w:val="0"/>
              <w:spacing w:before="0" w:after="283"/>
              <w:jc w:val="left"/>
              <w:rPr>
                <w:sz w:val="4"/>
                <w:szCs w:val="4"/>
              </w:rPr>
            </w:pPr>
            <w:r>
              <w:rPr>
                <w:sz w:val="4"/>
                <w:szCs w:val="4"/>
              </w:rPr>
            </w:r>
          </w:p>
        </w:tc>
      </w:tr>
      <w:tr>
        <w:trPr/>
        <w:tc>
          <w:tcPr>
            <w:tcW w:w="939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 to Non-GAAP Financial Measures Reconciled Continued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gridSpan w:val="3"/>
            <w:tcBorders/>
          </w:tcPr>
          <w:p>
            <w:pPr>
              <w:pStyle w:val="TableContents"/>
              <w:bidi w:val="0"/>
              <w:spacing w:before="0" w:after="283"/>
              <w:jc w:val="left"/>
              <w:rPr>
                <w:sz w:val="4"/>
                <w:szCs w:val="4"/>
              </w:rPr>
            </w:pPr>
            <w:r>
              <w:rPr>
                <w:sz w:val="4"/>
                <w:szCs w:val="4"/>
              </w:rPr>
            </w:r>
          </w:p>
        </w:tc>
      </w:tr>
      <w:tr>
        <w:trPr/>
        <w:tc>
          <w:tcPr>
            <w:tcW w:w="9390"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7"/>
            <w:tcBorders/>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in Millions)</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w:t>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Net Debt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Restricted Cash</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Debt*</w:t>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for trailing 12 months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for trailing 12 months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Leverage* (Net Debt*/Adjusted EBITDA*)</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x</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x</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Times New Roman;serif" w:hAnsi="Times New Roman;serif"/>
          <w:b w:val="false"/>
          <w:color w:val="000000"/>
          <w:sz w:val="18"/>
        </w:rPr>
      </w:pPr>
      <w:r>
        <w:rPr>
          <w:rFonts w:ascii="Times New Roman;serif" w:hAnsi="Times New Roman;serif"/>
          <w:b w:val="false"/>
          <w:color w:val="000000"/>
          <w:sz w:val="18"/>
        </w:rPr>
        <w:t>*Non-GAAP - as reconciled to the GAAP measures above and defined in the section titled Non-GAAP Financial Measures Defined</w:t>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603923/000119312526166847/d120523ddef14a.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6125</Words>
  <Characters>34779</Characters>
  <CharactersWithSpaces>40399</CharactersWithSpaces>
  <Paragraphs>877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