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SCHEDULE 13G/A</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Weatherford International plc</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(Name of Issuer)</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Ordinary Shares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G48833118</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(CUSIP Number)</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December 31, 2022</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(Date of Event Which Requires Filing of this Statement)</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ectPr>
          <w:pgSz w:w="11900" w:h="16838" w:orient="portrait"/>
          <w:cols w:equalWidth="0" w:num="1">
            <w:col w:w="11240"/>
          </w:cols>
          <w:pgMar w:left="320" w:top="459" w:right="339" w:bottom="1440" w:gutter="0" w:footer="0" w:header="0"/>
        </w:sectPr>
      </w:pPr>
    </w:p>
    <w:p>
      <w:pPr>
        <w:spacing w:after="0" w:line="186" w:lineRule="exact"/>
        <w:rPr>
          <w:sz w:val="24"/>
          <w:szCs w:val="24"/>
          <w:color w:val="auto"/>
        </w:rPr>
      </w:pPr>
    </w:p>
    <w:p>
      <w:pPr>
        <w:ind w:left="6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Rule 13d-1(b)</w:t>
      </w:r>
    </w:p>
    <w:p>
      <w:pPr>
        <w:spacing w:after="0" w:line="197" w:lineRule="exact"/>
        <w:rPr>
          <w:sz w:val="24"/>
          <w:szCs w:val="24"/>
          <w:color w:val="auto"/>
        </w:rPr>
      </w:pPr>
    </w:p>
    <w:p>
      <w:pPr>
        <w:sectPr>
          <w:pgSz w:w="11900" w:h="16838" w:orient="portrait"/>
          <w:cols w:equalWidth="0" w:num="2">
            <w:col w:w="1420" w:space="720"/>
            <w:col w:w="9100"/>
          </w:cols>
          <w:pgMar w:left="320" w:top="459" w:right="339" w:bottom="1440" w:gutter="0" w:footer="0" w:header="0"/>
          <w:type w:val="continuous"/>
        </w:sectPr>
      </w:pPr>
    </w:p>
    <w:p>
      <w:pPr>
        <w:ind w:left="6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Rule 13d-1(c)</w:t>
      </w:r>
    </w:p>
    <w:p>
      <w:pPr>
        <w:spacing w:after="0" w:line="197" w:lineRule="exact"/>
        <w:rPr>
          <w:sz w:val="24"/>
          <w:szCs w:val="24"/>
          <w:color w:val="auto"/>
        </w:rPr>
      </w:pPr>
    </w:p>
    <w:p>
      <w:pPr>
        <w:sectPr>
          <w:pgSz w:w="11900" w:h="16838" w:orient="portrait"/>
          <w:cols w:equalWidth="0" w:num="2">
            <w:col w:w="1420" w:space="720"/>
            <w:col w:w="9100"/>
          </w:cols>
          <w:pgMar w:left="320" w:top="459" w:right="339" w:bottom="1440" w:gutter="0" w:footer="0" w:header="0"/>
          <w:type w:val="continuous"/>
        </w:sectPr>
      </w:pPr>
    </w:p>
    <w:p>
      <w:pPr>
        <w:ind w:left="6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Rule 13d-1(d)</w:t>
      </w:r>
    </w:p>
    <w:p>
      <w:pPr>
        <w:spacing w:after="0" w:line="200" w:lineRule="exact"/>
        <w:rPr>
          <w:sz w:val="24"/>
          <w:szCs w:val="24"/>
          <w:color w:val="auto"/>
        </w:rPr>
      </w:pPr>
    </w:p>
    <w:p>
      <w:pPr>
        <w:sectPr>
          <w:pgSz w:w="11900" w:h="16838" w:orient="portrait"/>
          <w:cols w:equalWidth="0" w:num="2">
            <w:col w:w="1420" w:space="720"/>
            <w:col w:w="9100"/>
          </w:cols>
          <w:pgMar w:left="320" w:top="459" w:right="339" w:bottom="1440" w:gutter="0" w:footer="0" w:header="0"/>
          <w:type w:val="continuous"/>
        </w:sectPr>
      </w:pPr>
    </w:p>
    <w:p>
      <w:pPr>
        <w:spacing w:after="0" w:line="18" w:lineRule="exact"/>
        <w:rPr>
          <w:sz w:val="24"/>
          <w:szCs w:val="24"/>
          <w:color w:val="auto"/>
        </w:rPr>
      </w:pPr>
    </w:p>
    <w:p>
      <w:pPr>
        <w:jc w:val="both"/>
        <w:ind w:firstLine="8"/>
        <w:spacing w:after="0" w:line="244" w:lineRule="auto"/>
        <w:tabs>
          <w:tab w:leader="none" w:pos="217"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3"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type w:val="continuous"/>
        </w:sectPr>
      </w:pPr>
    </w:p>
    <w:bookmarkStart w:id="1" w:name="page2"/>
    <w:bookmarkEnd w:id="1"/>
    <w:p>
      <w:pPr>
        <w:ind w:left="1360" w:hanging="1190"/>
        <w:spacing w:after="0" w:line="182" w:lineRule="auto"/>
        <w:tabs>
          <w:tab w:leader="none" w:pos="1360" w:val="left"/>
        </w:tabs>
        <w:numPr>
          <w:ilvl w:val="0"/>
          <w:numId w:val="2"/>
        </w:numPr>
        <w:rPr>
          <w:rFonts w:ascii="Times New Roman" w:cs="Times New Roman" w:eastAsia="Times New Roman" w:hAnsi="Times New Roman"/>
          <w:sz w:val="38"/>
          <w:szCs w:val="38"/>
          <w:b w:val="1"/>
          <w:bCs w:val="1"/>
          <w:color w:val="auto"/>
          <w:vertAlign w:val="subscript"/>
        </w:rPr>
      </w:pPr>
      <w:r>
        <w:rPr>
          <w:rFonts w:ascii="Times New Roman" w:cs="Times New Roman" w:eastAsia="Times New Roman" w:hAnsi="Times New Roman"/>
          <w:sz w:val="13"/>
          <w:szCs w:val="13"/>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4697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697730"/>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82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22"/>
                <w:szCs w:val="22"/>
                <w:color w:val="auto"/>
              </w:rPr>
              <w:t>Yacktman Asset Management LP</w:t>
            </w:r>
          </w:p>
        </w:tc>
        <w:tc>
          <w:tcPr>
            <w:tcW w:w="2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20" w:type="dxa"/>
            <w:vAlign w:val="bottom"/>
            <w:vMerge w:val="restart"/>
          </w:tcPr>
          <w:p>
            <w:pPr>
              <w:jc w:val="right"/>
              <w:ind w:right="394"/>
              <w:spacing w:after="0" w:line="217" w:lineRule="exact"/>
              <w:rPr>
                <w:sz w:val="20"/>
                <w:szCs w:val="20"/>
                <w:color w:val="auto"/>
              </w:rPr>
            </w:pPr>
            <w:r>
              <w:rPr>
                <w:rFonts w:ascii="Times New Roman" w:cs="Times New Roman" w:eastAsia="Times New Roman" w:hAnsi="Times New Roman"/>
                <w:sz w:val="25"/>
                <w:szCs w:val="25"/>
                <w:b w:val="1"/>
                <w:bCs w:val="1"/>
                <w:color w:val="auto"/>
              </w:rPr>
              <w:t>2</w:t>
            </w:r>
          </w:p>
        </w:tc>
        <w:tc>
          <w:tcPr>
            <w:tcW w:w="75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CHECK THE APPROPRIATE BOX IF A MEMBER OF A GROUP (SEE INSTRUCTIONS)</w:t>
            </w:r>
          </w:p>
        </w:tc>
        <w:tc>
          <w:tcPr>
            <w:tcW w:w="2840" w:type="dxa"/>
            <w:vAlign w:val="bottom"/>
            <w:vMerge w:val="restart"/>
          </w:tcPr>
          <w:p>
            <w:pPr>
              <w:ind w:left="1580"/>
              <w:spacing w:after="0" w:line="196" w:lineRule="exact"/>
              <w:rPr>
                <w:sz w:val="20"/>
                <w:szCs w:val="20"/>
                <w:color w:val="auto"/>
              </w:rPr>
            </w:pPr>
            <w:r>
              <w:rPr>
                <w:rFonts w:ascii="Times New Roman" w:cs="Times New Roman" w:eastAsia="Times New Roman" w:hAnsi="Times New Roman"/>
                <w:sz w:val="14"/>
                <w:szCs w:val="14"/>
                <w:color w:val="auto"/>
              </w:rPr>
              <w:t xml:space="preserve">(a)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9"/>
        </w:trPr>
        <w:tc>
          <w:tcPr>
            <w:tcW w:w="820" w:type="dxa"/>
            <w:vAlign w:val="bottom"/>
            <w:vMerge w:val="continue"/>
          </w:tcPr>
          <w:p>
            <w:pPr>
              <w:spacing w:after="0"/>
              <w:rPr>
                <w:sz w:val="2"/>
                <w:szCs w:val="2"/>
                <w:color w:val="auto"/>
              </w:rPr>
            </w:pPr>
          </w:p>
        </w:tc>
        <w:tc>
          <w:tcPr>
            <w:tcW w:w="7580" w:type="dxa"/>
            <w:vAlign w:val="bottom"/>
          </w:tcPr>
          <w:p>
            <w:pPr>
              <w:spacing w:after="0"/>
              <w:rPr>
                <w:sz w:val="2"/>
                <w:szCs w:val="2"/>
                <w:color w:val="auto"/>
              </w:rPr>
            </w:pPr>
          </w:p>
        </w:tc>
        <w:tc>
          <w:tcPr>
            <w:tcW w:w="28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82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2840" w:type="dxa"/>
            <w:vAlign w:val="bottom"/>
          </w:tcPr>
          <w:p>
            <w:pPr>
              <w:ind w:left="1580"/>
              <w:spacing w:after="0" w:line="161" w:lineRule="exact"/>
              <w:rPr>
                <w:sz w:val="20"/>
                <w:szCs w:val="20"/>
                <w:color w:val="auto"/>
              </w:rPr>
            </w:pPr>
            <w:r>
              <w:rPr>
                <w:rFonts w:ascii="Times New Roman" w:cs="Times New Roman" w:eastAsia="Times New Roman" w:hAnsi="Times New Roman"/>
                <w:sz w:val="14"/>
                <w:szCs w:val="14"/>
                <w:color w:val="auto"/>
              </w:rPr>
              <w:t xml:space="preserve">(b)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left="1360" w:hanging="1190"/>
        <w:spacing w:after="0" w:line="181" w:lineRule="auto"/>
        <w:tabs>
          <w:tab w:leader="none" w:pos="1360" w:val="left"/>
        </w:tabs>
        <w:numPr>
          <w:ilvl w:val="0"/>
          <w:numId w:val="3"/>
        </w:numPr>
        <w:rPr>
          <w:rFonts w:ascii="Times New Roman" w:cs="Times New Roman" w:eastAsia="Times New Roman" w:hAnsi="Times New Roman"/>
          <w:sz w:val="41"/>
          <w:szCs w:val="41"/>
          <w:b w:val="1"/>
          <w:bCs w:val="1"/>
          <w:color w:val="auto"/>
          <w:vertAlign w:val="subscript"/>
        </w:rPr>
      </w:pPr>
      <w:r>
        <w:rPr>
          <w:rFonts w:ascii="Times New Roman" w:cs="Times New Roman" w:eastAsia="Times New Roman" w:hAnsi="Times New Roman"/>
          <w:sz w:val="13"/>
          <w:szCs w:val="13"/>
          <w:color w:val="auto"/>
        </w:rPr>
        <w:t>SEC USE ONLY</w:t>
      </w:r>
    </w:p>
    <w:p>
      <w:pPr>
        <w:ind w:left="1360" w:hanging="1190"/>
        <w:spacing w:after="0" w:line="183" w:lineRule="auto"/>
        <w:tabs>
          <w:tab w:leader="none" w:pos="1360" w:val="left"/>
        </w:tabs>
        <w:numPr>
          <w:ilvl w:val="0"/>
          <w:numId w:val="4"/>
        </w:numPr>
        <w:rPr>
          <w:rFonts w:ascii="Times New Roman" w:cs="Times New Roman" w:eastAsia="Times New Roman" w:hAnsi="Times New Roman"/>
          <w:sz w:val="37"/>
          <w:szCs w:val="37"/>
          <w:b w:val="1"/>
          <w:bCs w:val="1"/>
          <w:color w:val="auto"/>
          <w:vertAlign w:val="subscript"/>
        </w:rPr>
      </w:pPr>
      <w:r>
        <w:rPr>
          <w:rFonts w:ascii="Times New Roman" w:cs="Times New Roman" w:eastAsia="Times New Roman" w:hAnsi="Times New Roman"/>
          <w:sz w:val="13"/>
          <w:szCs w:val="13"/>
          <w:color w:val="auto"/>
        </w:rPr>
        <w:t>CITIZENSHIP OR PLACE OF ORGANIZATION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10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Borders>
              <w:right w:val="single" w:sz="8" w:color="auto"/>
            </w:tcBorders>
            <w:vMerge w:val="restart"/>
          </w:tcPr>
          <w:p>
            <w:pPr>
              <w:jc w:val="right"/>
              <w:ind w:right="529"/>
              <w:spacing w:after="0"/>
              <w:rPr>
                <w:sz w:val="20"/>
                <w:szCs w:val="20"/>
                <w:color w:val="auto"/>
              </w:rPr>
            </w:pPr>
            <w:r>
              <w:rPr>
                <w:rFonts w:ascii="Times New Roman" w:cs="Times New Roman" w:eastAsia="Times New Roman" w:hAnsi="Times New Roman"/>
                <w:sz w:val="25"/>
                <w:szCs w:val="25"/>
                <w:b w:val="1"/>
                <w:bCs w:val="1"/>
                <w:color w:val="auto"/>
              </w:rPr>
              <w:t>5</w:t>
            </w: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SOLE VOTING POWER</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480" w:type="dxa"/>
            <w:vAlign w:val="bottom"/>
          </w:tcPr>
          <w:p>
            <w:pPr>
              <w:spacing w:after="0"/>
              <w:rPr>
                <w:sz w:val="23"/>
                <w:szCs w:val="23"/>
                <w:color w:val="auto"/>
              </w:rPr>
            </w:pPr>
          </w:p>
        </w:tc>
        <w:tc>
          <w:tcPr>
            <w:tcW w:w="2200" w:type="dxa"/>
            <w:vAlign w:val="bottom"/>
            <w:tcBorders>
              <w:right w:val="single" w:sz="8" w:color="auto"/>
            </w:tcBorders>
            <w:gridSpan w:val="2"/>
          </w:tcPr>
          <w:p>
            <w:pPr>
              <w:jc w:val="center"/>
              <w:ind w:right="369"/>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00" w:type="dxa"/>
            <w:vAlign w:val="bottom"/>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22"/>
                <w:szCs w:val="22"/>
                <w:color w:val="auto"/>
              </w:rPr>
              <w:t>1,571,500</w:t>
            </w: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200" w:type="dxa"/>
            <w:vAlign w:val="bottom"/>
            <w:tcBorders>
              <w:right w:val="single" w:sz="8" w:color="auto"/>
            </w:tcBorders>
            <w:gridSpan w:val="2"/>
          </w:tcPr>
          <w:p>
            <w:pPr>
              <w:jc w:val="center"/>
              <w:ind w:right="389"/>
              <w:spacing w:after="0" w:line="27" w:lineRule="exact"/>
              <w:rPr>
                <w:sz w:val="20"/>
                <w:szCs w:val="20"/>
                <w:color w:val="auto"/>
              </w:rPr>
            </w:pPr>
            <w:r>
              <w:rPr>
                <w:rFonts w:ascii="Times New Roman" w:cs="Times New Roman" w:eastAsia="Times New Roman" w:hAnsi="Times New Roman"/>
                <w:sz w:val="3"/>
                <w:szCs w:val="3"/>
                <w:b w:val="1"/>
                <w:bCs w:val="1"/>
                <w:color w:val="auto"/>
              </w:rPr>
              <w:t>SHARES</w:t>
            </w:r>
          </w:p>
        </w:tc>
        <w:tc>
          <w:tcPr>
            <w:tcW w:w="30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jc w:val="right"/>
              <w:ind w:right="529"/>
              <w:spacing w:after="0" w:line="27" w:lineRule="exact"/>
              <w:rPr>
                <w:sz w:val="20"/>
                <w:szCs w:val="20"/>
                <w:color w:val="auto"/>
              </w:rPr>
            </w:pPr>
            <w:r>
              <w:rPr>
                <w:rFonts w:ascii="Times New Roman" w:cs="Times New Roman" w:eastAsia="Times New Roman" w:hAnsi="Times New Roman"/>
                <w:sz w:val="3"/>
                <w:szCs w:val="3"/>
                <w:b w:val="1"/>
                <w:bCs w:val="1"/>
                <w:color w:val="auto"/>
              </w:rPr>
              <w:t>6</w:t>
            </w:r>
          </w:p>
        </w:tc>
        <w:tc>
          <w:tcPr>
            <w:tcW w:w="556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SHARED VOTING POWER</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3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55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3,350,000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30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5560" w:type="dxa"/>
            <w:vAlign w:val="bottom"/>
            <w:vMerge w:val="continue"/>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200" w:type="dxa"/>
            <w:vAlign w:val="bottom"/>
            <w:tcBorders>
              <w:right w:val="single" w:sz="8" w:color="auto"/>
            </w:tcBorders>
            <w:gridSpan w:val="2"/>
          </w:tcPr>
          <w:p>
            <w:pPr>
              <w:jc w:val="center"/>
              <w:ind w:right="389"/>
              <w:spacing w:after="0" w:line="27" w:lineRule="exact"/>
              <w:rPr>
                <w:sz w:val="20"/>
                <w:szCs w:val="20"/>
                <w:color w:val="auto"/>
              </w:rPr>
            </w:pPr>
            <w:r>
              <w:rPr>
                <w:rFonts w:ascii="Times New Roman" w:cs="Times New Roman" w:eastAsia="Times New Roman" w:hAnsi="Times New Roman"/>
                <w:sz w:val="3"/>
                <w:szCs w:val="3"/>
                <w:b w:val="1"/>
                <w:bCs w:val="1"/>
                <w:color w:val="auto"/>
              </w:rPr>
              <w:t>EACH</w:t>
            </w:r>
          </w:p>
        </w:tc>
        <w:tc>
          <w:tcPr>
            <w:tcW w:w="30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jc w:val="right"/>
              <w:ind w:right="529"/>
              <w:spacing w:after="0" w:line="27" w:lineRule="exact"/>
              <w:rPr>
                <w:sz w:val="20"/>
                <w:szCs w:val="20"/>
                <w:color w:val="auto"/>
              </w:rPr>
            </w:pPr>
            <w:r>
              <w:rPr>
                <w:rFonts w:ascii="Times New Roman" w:cs="Times New Roman" w:eastAsia="Times New Roman" w:hAnsi="Times New Roman"/>
                <w:sz w:val="3"/>
                <w:szCs w:val="3"/>
                <w:b w:val="1"/>
                <w:bCs w:val="1"/>
                <w:color w:val="auto"/>
              </w:rPr>
              <w:t>7</w:t>
            </w:r>
          </w:p>
        </w:tc>
        <w:tc>
          <w:tcPr>
            <w:tcW w:w="556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SOLE DISPOSITIVE POWER</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3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55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1,571,500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556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2200" w:type="dxa"/>
            <w:vAlign w:val="bottom"/>
            <w:tcBorders>
              <w:right w:val="single" w:sz="8" w:color="auto"/>
            </w:tcBorders>
            <w:gridSpan w:val="2"/>
            <w:vMerge w:val="restart"/>
          </w:tcPr>
          <w:p>
            <w:pPr>
              <w:jc w:val="center"/>
              <w:ind w:right="389"/>
              <w:spacing w:after="0"/>
              <w:rPr>
                <w:sz w:val="20"/>
                <w:szCs w:val="20"/>
                <w:color w:val="auto"/>
              </w:rPr>
            </w:pPr>
            <w:r>
              <w:rPr>
                <w:rFonts w:ascii="Times New Roman" w:cs="Times New Roman" w:eastAsia="Times New Roman" w:hAnsi="Times New Roman"/>
                <w:sz w:val="18"/>
                <w:szCs w:val="18"/>
                <w:b w:val="1"/>
                <w:bCs w:val="1"/>
                <w:color w:val="auto"/>
              </w:rPr>
              <w:t>WITH</w:t>
            </w:r>
          </w:p>
        </w:tc>
        <w:tc>
          <w:tcPr>
            <w:tcW w:w="300" w:type="dxa"/>
            <w:vAlign w:val="bottom"/>
          </w:tcPr>
          <w:p>
            <w:pPr>
              <w:spacing w:after="0"/>
              <w:rPr>
                <w:sz w:val="16"/>
                <w:szCs w:val="16"/>
                <w:color w:val="auto"/>
              </w:rPr>
            </w:pPr>
          </w:p>
        </w:tc>
        <w:tc>
          <w:tcPr>
            <w:tcW w:w="1020" w:type="dxa"/>
            <w:vAlign w:val="bottom"/>
            <w:tcBorders>
              <w:right w:val="single" w:sz="8" w:color="auto"/>
            </w:tcBorders>
            <w:vMerge w:val="restart"/>
          </w:tcPr>
          <w:p>
            <w:pPr>
              <w:jc w:val="right"/>
              <w:ind w:right="529"/>
              <w:spacing w:after="0"/>
              <w:rPr>
                <w:sz w:val="20"/>
                <w:szCs w:val="20"/>
                <w:color w:val="auto"/>
              </w:rPr>
            </w:pPr>
            <w:r>
              <w:rPr>
                <w:rFonts w:ascii="Times New Roman" w:cs="Times New Roman" w:eastAsia="Times New Roman" w:hAnsi="Times New Roman"/>
                <w:sz w:val="25"/>
                <w:szCs w:val="25"/>
                <w:b w:val="1"/>
                <w:bCs w:val="1"/>
                <w:color w:val="auto"/>
              </w:rPr>
              <w:t>8</w:t>
            </w: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SHARED DISPOSITIVE POWER</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2200" w:type="dxa"/>
            <w:vAlign w:val="bottom"/>
            <w:tcBorders>
              <w:right w:val="single" w:sz="8" w:color="auto"/>
            </w:tcBorders>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3,350,000</w:t>
            </w: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80" w:type="dxa"/>
            <w:vAlign w:val="bottom"/>
            <w:vMerge w:val="restart"/>
          </w:tcPr>
          <w:p>
            <w:pPr>
              <w:jc w:val="right"/>
              <w:ind w:right="54"/>
              <w:spacing w:after="0"/>
              <w:rPr>
                <w:sz w:val="20"/>
                <w:szCs w:val="20"/>
                <w:color w:val="auto"/>
              </w:rPr>
            </w:pPr>
            <w:r>
              <w:rPr>
                <w:rFonts w:ascii="Times New Roman" w:cs="Times New Roman" w:eastAsia="Times New Roman" w:hAnsi="Times New Roman"/>
                <w:sz w:val="25"/>
                <w:szCs w:val="25"/>
                <w:b w:val="1"/>
                <w:bCs w:val="1"/>
                <w:color w:val="auto"/>
              </w:rPr>
              <w:t>9</w:t>
            </w:r>
          </w:p>
        </w:tc>
        <w:tc>
          <w:tcPr>
            <w:tcW w:w="880" w:type="dxa"/>
            <w:vAlign w:val="bottom"/>
            <w:tcBorders>
              <w:right w:val="single" w:sz="8" w:color="auto"/>
            </w:tcBorders>
          </w:tcPr>
          <w:p>
            <w:pPr>
              <w:spacing w:after="0"/>
              <w:rPr>
                <w:sz w:val="16"/>
                <w:szCs w:val="16"/>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AGGREGATE AMOUNT BENEFICIALLY</w:t>
            </w: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OWNED BY EACH REPORTING PERSON</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4,921,500</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80" w:type="dxa"/>
            <w:vAlign w:val="bottom"/>
          </w:tcPr>
          <w:p>
            <w:pPr>
              <w:ind w:left="40"/>
              <w:spacing w:after="0"/>
              <w:rPr>
                <w:sz w:val="20"/>
                <w:szCs w:val="20"/>
                <w:color w:val="auto"/>
              </w:rPr>
            </w:pPr>
            <w:r>
              <w:rPr>
                <w:rFonts w:ascii="Times New Roman" w:cs="Times New Roman" w:eastAsia="Times New Roman" w:hAnsi="Times New Roman"/>
                <w:sz w:val="25"/>
                <w:szCs w:val="25"/>
                <w:b w:val="1"/>
                <w:bCs w:val="1"/>
                <w:color w:val="auto"/>
              </w:rPr>
              <w:t>10</w:t>
            </w:r>
          </w:p>
        </w:tc>
        <w:tc>
          <w:tcPr>
            <w:tcW w:w="880" w:type="dxa"/>
            <w:vAlign w:val="bottom"/>
            <w:tcBorders>
              <w:right w:val="single" w:sz="8" w:color="auto"/>
            </w:tcBorders>
          </w:tcPr>
          <w:p>
            <w:pPr>
              <w:spacing w:after="0"/>
              <w:rPr>
                <w:sz w:val="24"/>
                <w:szCs w:val="24"/>
                <w:color w:val="auto"/>
              </w:rPr>
            </w:pPr>
          </w:p>
        </w:tc>
        <w:tc>
          <w:tcPr>
            <w:tcW w:w="82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CHECK BOX IF THE AGGREGATE AMOUNT IN ROW (9) EXCLUDES CERTAIN SHARES (SEE INSTRUCTIONS</w:t>
            </w:r>
            <w:r>
              <w:rPr>
                <w:rFonts w:ascii="Times New Roman" w:cs="Times New Roman" w:eastAsia="Times New Roman" w:hAnsi="Times New Roman"/>
                <w:sz w:val="17"/>
                <w:szCs w:val="17"/>
                <w:color w:val="auto"/>
              </w:rPr>
              <w:t>)</w:t>
            </w:r>
          </w:p>
        </w:tc>
        <w:tc>
          <w:tcPr>
            <w:tcW w:w="168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8"/>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Not Applicable</w:t>
            </w:r>
          </w:p>
        </w:tc>
        <w:tc>
          <w:tcPr>
            <w:tcW w:w="10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25"/>
                <w:szCs w:val="25"/>
                <w:b w:val="1"/>
                <w:bCs w:val="1"/>
                <w:color w:val="auto"/>
              </w:rPr>
              <w:t>11</w:t>
            </w:r>
          </w:p>
        </w:tc>
        <w:tc>
          <w:tcPr>
            <w:tcW w:w="880" w:type="dxa"/>
            <w:vAlign w:val="bottom"/>
            <w:tcBorders>
              <w:right w:val="single" w:sz="8" w:color="auto"/>
            </w:tcBorders>
          </w:tcPr>
          <w:p>
            <w:pPr>
              <w:spacing w:after="0"/>
              <w:rPr>
                <w:sz w:val="16"/>
                <w:szCs w:val="16"/>
                <w:color w:val="auto"/>
              </w:rPr>
            </w:pPr>
          </w:p>
        </w:tc>
        <w:tc>
          <w:tcPr>
            <w:tcW w:w="82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PERCENT OF CLASS REPRESENTED BY AMOUNT IN ROW (9)</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line="275" w:lineRule="exact"/>
              <w:rPr>
                <w:sz w:val="20"/>
                <w:szCs w:val="20"/>
                <w:color w:val="auto"/>
              </w:rPr>
            </w:pPr>
            <w:r>
              <w:rPr>
                <w:rFonts w:ascii="Times New Roman" w:cs="Times New Roman" w:eastAsia="Times New Roman" w:hAnsi="Times New Roman"/>
                <w:sz w:val="20"/>
                <w:szCs w:val="20"/>
                <w:color w:val="auto"/>
              </w:rPr>
              <w:t xml:space="preserve">7.0% </w:t>
            </w:r>
            <w:r>
              <w:rPr>
                <w:rFonts w:ascii="Times New Roman" w:cs="Times New Roman" w:eastAsia="Times New Roman" w:hAnsi="Times New Roman"/>
                <w:sz w:val="31"/>
                <w:szCs w:val="31"/>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25"/>
                <w:szCs w:val="25"/>
                <w:b w:val="1"/>
                <w:bCs w:val="1"/>
                <w:color w:val="auto"/>
              </w:rPr>
              <w:t>12</w:t>
            </w:r>
          </w:p>
        </w:tc>
        <w:tc>
          <w:tcPr>
            <w:tcW w:w="880" w:type="dxa"/>
            <w:vAlign w:val="bottom"/>
            <w:tcBorders>
              <w:right w:val="single" w:sz="8" w:color="auto"/>
            </w:tcBorders>
          </w:tcPr>
          <w:p>
            <w:pPr>
              <w:spacing w:after="0"/>
              <w:rPr>
                <w:sz w:val="16"/>
                <w:szCs w:val="16"/>
                <w:color w:val="auto"/>
              </w:rPr>
            </w:pPr>
          </w:p>
        </w:tc>
        <w:tc>
          <w:tcPr>
            <w:tcW w:w="82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TYPE OF REPORTING PERSON (SEE INSTRUCTIONS)</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IA</w:t>
            </w:r>
          </w:p>
        </w:tc>
        <w:tc>
          <w:tcPr>
            <w:tcW w:w="10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580" w:right="440" w:hanging="491"/>
        <w:spacing w:after="0" w:line="258" w:lineRule="auto"/>
        <w:tabs>
          <w:tab w:leader="none" w:pos="5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upon a total of 70,608,639 shares outstanding as of October 21, 2022, as reported on the Issuer’s Form 10-Q, as filed with the SEC on October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0" w:right="339" w:bottom="1440" w:gutter="0" w:footer="0" w:header="0"/>
        </w:sectPr>
      </w:pPr>
    </w:p>
    <w:bookmarkStart w:id="2" w:name="page3"/>
    <w:bookmarkEnd w:id="2"/>
    <w:p>
      <w:pPr>
        <w:ind w:left="1360" w:hanging="1190"/>
        <w:spacing w:after="0"/>
        <w:tabs>
          <w:tab w:leader="none" w:pos="1360" w:val="left"/>
        </w:tabs>
        <w:numPr>
          <w:ilvl w:val="0"/>
          <w:numId w:val="6"/>
        </w:numPr>
        <w:rPr>
          <w:rFonts w:ascii="Times New Roman" w:cs="Times New Roman" w:eastAsia="Times New Roman" w:hAnsi="Times New Roman"/>
          <w:sz w:val="50"/>
          <w:szCs w:val="50"/>
          <w:b w:val="1"/>
          <w:bCs w:val="1"/>
          <w:color w:val="auto"/>
          <w:vertAlign w:val="subscript"/>
        </w:rPr>
      </w:pPr>
      <w:r>
        <w:rPr>
          <w:rFonts w:ascii="Times New Roman" w:cs="Times New Roman" w:eastAsia="Times New Roman" w:hAnsi="Times New Roman"/>
          <w:sz w:val="14"/>
          <w:szCs w:val="14"/>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4697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69773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82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22"/>
                <w:szCs w:val="22"/>
                <w:color w:val="auto"/>
              </w:rPr>
              <w:t>AMG Yacktman Fund</w:t>
            </w:r>
          </w:p>
        </w:tc>
        <w:tc>
          <w:tcPr>
            <w:tcW w:w="2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20" w:type="dxa"/>
            <w:vAlign w:val="bottom"/>
            <w:vMerge w:val="restart"/>
          </w:tcPr>
          <w:p>
            <w:pPr>
              <w:jc w:val="right"/>
              <w:ind w:right="394"/>
              <w:spacing w:after="0" w:line="217" w:lineRule="exact"/>
              <w:rPr>
                <w:sz w:val="20"/>
                <w:szCs w:val="20"/>
                <w:color w:val="auto"/>
              </w:rPr>
            </w:pPr>
            <w:r>
              <w:rPr>
                <w:rFonts w:ascii="Times New Roman" w:cs="Times New Roman" w:eastAsia="Times New Roman" w:hAnsi="Times New Roman"/>
                <w:sz w:val="25"/>
                <w:szCs w:val="25"/>
                <w:b w:val="1"/>
                <w:bCs w:val="1"/>
                <w:color w:val="auto"/>
              </w:rPr>
              <w:t>2</w:t>
            </w:r>
          </w:p>
        </w:tc>
        <w:tc>
          <w:tcPr>
            <w:tcW w:w="75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CHECK THE APPROPRIATE BOX IF A MEMBER OF A GROUP (SEE INSTRUCTIONS)</w:t>
            </w:r>
          </w:p>
        </w:tc>
        <w:tc>
          <w:tcPr>
            <w:tcW w:w="2840" w:type="dxa"/>
            <w:vAlign w:val="bottom"/>
            <w:vMerge w:val="restart"/>
          </w:tcPr>
          <w:p>
            <w:pPr>
              <w:ind w:left="1580"/>
              <w:spacing w:after="0" w:line="196" w:lineRule="exact"/>
              <w:rPr>
                <w:sz w:val="20"/>
                <w:szCs w:val="20"/>
                <w:color w:val="auto"/>
              </w:rPr>
            </w:pPr>
            <w:r>
              <w:rPr>
                <w:rFonts w:ascii="Times New Roman" w:cs="Times New Roman" w:eastAsia="Times New Roman" w:hAnsi="Times New Roman"/>
                <w:sz w:val="14"/>
                <w:szCs w:val="14"/>
                <w:color w:val="auto"/>
              </w:rPr>
              <w:t xml:space="preserve">(a)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9"/>
        </w:trPr>
        <w:tc>
          <w:tcPr>
            <w:tcW w:w="820" w:type="dxa"/>
            <w:vAlign w:val="bottom"/>
            <w:vMerge w:val="continue"/>
          </w:tcPr>
          <w:p>
            <w:pPr>
              <w:spacing w:after="0"/>
              <w:rPr>
                <w:sz w:val="2"/>
                <w:szCs w:val="2"/>
                <w:color w:val="auto"/>
              </w:rPr>
            </w:pPr>
          </w:p>
        </w:tc>
        <w:tc>
          <w:tcPr>
            <w:tcW w:w="7580" w:type="dxa"/>
            <w:vAlign w:val="bottom"/>
          </w:tcPr>
          <w:p>
            <w:pPr>
              <w:spacing w:after="0"/>
              <w:rPr>
                <w:sz w:val="2"/>
                <w:szCs w:val="2"/>
                <w:color w:val="auto"/>
              </w:rPr>
            </w:pPr>
          </w:p>
        </w:tc>
        <w:tc>
          <w:tcPr>
            <w:tcW w:w="28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82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2840" w:type="dxa"/>
            <w:vAlign w:val="bottom"/>
          </w:tcPr>
          <w:p>
            <w:pPr>
              <w:ind w:left="1580"/>
              <w:spacing w:after="0" w:line="161" w:lineRule="exact"/>
              <w:rPr>
                <w:sz w:val="20"/>
                <w:szCs w:val="20"/>
                <w:color w:val="auto"/>
              </w:rPr>
            </w:pPr>
            <w:r>
              <w:rPr>
                <w:rFonts w:ascii="Times New Roman" w:cs="Times New Roman" w:eastAsia="Times New Roman" w:hAnsi="Times New Roman"/>
                <w:sz w:val="14"/>
                <w:szCs w:val="14"/>
                <w:color w:val="auto"/>
              </w:rPr>
              <w:t xml:space="preserve">(b)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left="1360" w:hanging="1190"/>
        <w:spacing w:after="0" w:line="181" w:lineRule="auto"/>
        <w:tabs>
          <w:tab w:leader="none" w:pos="1360" w:val="left"/>
        </w:tabs>
        <w:numPr>
          <w:ilvl w:val="0"/>
          <w:numId w:val="7"/>
        </w:numPr>
        <w:rPr>
          <w:rFonts w:ascii="Times New Roman" w:cs="Times New Roman" w:eastAsia="Times New Roman" w:hAnsi="Times New Roman"/>
          <w:sz w:val="41"/>
          <w:szCs w:val="41"/>
          <w:b w:val="1"/>
          <w:bCs w:val="1"/>
          <w:color w:val="auto"/>
          <w:vertAlign w:val="subscript"/>
        </w:rPr>
      </w:pPr>
      <w:r>
        <w:rPr>
          <w:rFonts w:ascii="Times New Roman" w:cs="Times New Roman" w:eastAsia="Times New Roman" w:hAnsi="Times New Roman"/>
          <w:sz w:val="13"/>
          <w:szCs w:val="13"/>
          <w:color w:val="auto"/>
        </w:rPr>
        <w:t>SEC USE ONLY</w:t>
      </w:r>
    </w:p>
    <w:p>
      <w:pPr>
        <w:ind w:left="1360" w:hanging="1190"/>
        <w:spacing w:after="0" w:line="183" w:lineRule="auto"/>
        <w:tabs>
          <w:tab w:leader="none" w:pos="1360" w:val="left"/>
        </w:tabs>
        <w:numPr>
          <w:ilvl w:val="0"/>
          <w:numId w:val="8"/>
        </w:numPr>
        <w:rPr>
          <w:rFonts w:ascii="Times New Roman" w:cs="Times New Roman" w:eastAsia="Times New Roman" w:hAnsi="Times New Roman"/>
          <w:sz w:val="37"/>
          <w:szCs w:val="37"/>
          <w:b w:val="1"/>
          <w:bCs w:val="1"/>
          <w:color w:val="auto"/>
          <w:vertAlign w:val="subscript"/>
        </w:rPr>
      </w:pPr>
      <w:r>
        <w:rPr>
          <w:rFonts w:ascii="Times New Roman" w:cs="Times New Roman" w:eastAsia="Times New Roman" w:hAnsi="Times New Roman"/>
          <w:sz w:val="13"/>
          <w:szCs w:val="13"/>
          <w:color w:val="auto"/>
        </w:rPr>
        <w:t>CITIZENSHIP OR PLACE OF ORGANIZATION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10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Borders>
              <w:right w:val="single" w:sz="8" w:color="auto"/>
            </w:tcBorders>
            <w:vMerge w:val="restart"/>
          </w:tcPr>
          <w:p>
            <w:pPr>
              <w:jc w:val="right"/>
              <w:ind w:right="529"/>
              <w:spacing w:after="0"/>
              <w:rPr>
                <w:sz w:val="20"/>
                <w:szCs w:val="20"/>
                <w:color w:val="auto"/>
              </w:rPr>
            </w:pPr>
            <w:r>
              <w:rPr>
                <w:rFonts w:ascii="Times New Roman" w:cs="Times New Roman" w:eastAsia="Times New Roman" w:hAnsi="Times New Roman"/>
                <w:sz w:val="25"/>
                <w:szCs w:val="25"/>
                <w:b w:val="1"/>
                <w:bCs w:val="1"/>
                <w:color w:val="auto"/>
              </w:rPr>
              <w:t>5</w:t>
            </w: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SOLE VOTING POWER</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480" w:type="dxa"/>
            <w:vAlign w:val="bottom"/>
          </w:tcPr>
          <w:p>
            <w:pPr>
              <w:spacing w:after="0"/>
              <w:rPr>
                <w:sz w:val="23"/>
                <w:szCs w:val="23"/>
                <w:color w:val="auto"/>
              </w:rPr>
            </w:pPr>
          </w:p>
        </w:tc>
        <w:tc>
          <w:tcPr>
            <w:tcW w:w="2200" w:type="dxa"/>
            <w:vAlign w:val="bottom"/>
            <w:tcBorders>
              <w:right w:val="single" w:sz="8" w:color="auto"/>
            </w:tcBorders>
            <w:gridSpan w:val="2"/>
          </w:tcPr>
          <w:p>
            <w:pPr>
              <w:jc w:val="center"/>
              <w:ind w:right="369"/>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00" w:type="dxa"/>
            <w:vAlign w:val="bottom"/>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22"/>
                <w:szCs w:val="22"/>
                <w:color w:val="auto"/>
              </w:rPr>
              <w:t>0</w:t>
            </w: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200" w:type="dxa"/>
            <w:vAlign w:val="bottom"/>
            <w:tcBorders>
              <w:right w:val="single" w:sz="8" w:color="auto"/>
            </w:tcBorders>
            <w:gridSpan w:val="2"/>
          </w:tcPr>
          <w:p>
            <w:pPr>
              <w:jc w:val="center"/>
              <w:ind w:right="389"/>
              <w:spacing w:after="0" w:line="27" w:lineRule="exact"/>
              <w:rPr>
                <w:sz w:val="20"/>
                <w:szCs w:val="20"/>
                <w:color w:val="auto"/>
              </w:rPr>
            </w:pPr>
            <w:r>
              <w:rPr>
                <w:rFonts w:ascii="Times New Roman" w:cs="Times New Roman" w:eastAsia="Times New Roman" w:hAnsi="Times New Roman"/>
                <w:sz w:val="3"/>
                <w:szCs w:val="3"/>
                <w:b w:val="1"/>
                <w:bCs w:val="1"/>
                <w:color w:val="auto"/>
              </w:rPr>
              <w:t>SHARES</w:t>
            </w:r>
          </w:p>
        </w:tc>
        <w:tc>
          <w:tcPr>
            <w:tcW w:w="30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jc w:val="right"/>
              <w:ind w:right="529"/>
              <w:spacing w:after="0" w:line="27" w:lineRule="exact"/>
              <w:rPr>
                <w:sz w:val="20"/>
                <w:szCs w:val="20"/>
                <w:color w:val="auto"/>
              </w:rPr>
            </w:pPr>
            <w:r>
              <w:rPr>
                <w:rFonts w:ascii="Times New Roman" w:cs="Times New Roman" w:eastAsia="Times New Roman" w:hAnsi="Times New Roman"/>
                <w:sz w:val="3"/>
                <w:szCs w:val="3"/>
                <w:b w:val="1"/>
                <w:bCs w:val="1"/>
                <w:color w:val="auto"/>
              </w:rPr>
              <w:t>6</w:t>
            </w:r>
          </w:p>
        </w:tc>
        <w:tc>
          <w:tcPr>
            <w:tcW w:w="556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SHARED VOTING POWER</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3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55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3,350,000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30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5560" w:type="dxa"/>
            <w:vAlign w:val="bottom"/>
            <w:vMerge w:val="continue"/>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200" w:type="dxa"/>
            <w:vAlign w:val="bottom"/>
            <w:tcBorders>
              <w:right w:val="single" w:sz="8" w:color="auto"/>
            </w:tcBorders>
            <w:gridSpan w:val="2"/>
          </w:tcPr>
          <w:p>
            <w:pPr>
              <w:jc w:val="center"/>
              <w:ind w:right="389"/>
              <w:spacing w:after="0" w:line="27" w:lineRule="exact"/>
              <w:rPr>
                <w:sz w:val="20"/>
                <w:szCs w:val="20"/>
                <w:color w:val="auto"/>
              </w:rPr>
            </w:pPr>
            <w:r>
              <w:rPr>
                <w:rFonts w:ascii="Times New Roman" w:cs="Times New Roman" w:eastAsia="Times New Roman" w:hAnsi="Times New Roman"/>
                <w:sz w:val="3"/>
                <w:szCs w:val="3"/>
                <w:b w:val="1"/>
                <w:bCs w:val="1"/>
                <w:color w:val="auto"/>
              </w:rPr>
              <w:t>EACH</w:t>
            </w:r>
          </w:p>
        </w:tc>
        <w:tc>
          <w:tcPr>
            <w:tcW w:w="30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jc w:val="right"/>
              <w:ind w:right="529"/>
              <w:spacing w:after="0" w:line="27" w:lineRule="exact"/>
              <w:rPr>
                <w:sz w:val="20"/>
                <w:szCs w:val="20"/>
                <w:color w:val="auto"/>
              </w:rPr>
            </w:pPr>
            <w:r>
              <w:rPr>
                <w:rFonts w:ascii="Times New Roman" w:cs="Times New Roman" w:eastAsia="Times New Roman" w:hAnsi="Times New Roman"/>
                <w:sz w:val="3"/>
                <w:szCs w:val="3"/>
                <w:b w:val="1"/>
                <w:bCs w:val="1"/>
                <w:color w:val="auto"/>
              </w:rPr>
              <w:t>7</w:t>
            </w:r>
          </w:p>
        </w:tc>
        <w:tc>
          <w:tcPr>
            <w:tcW w:w="556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SOLE DISPOSITIVE POWER</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3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55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556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2200" w:type="dxa"/>
            <w:vAlign w:val="bottom"/>
            <w:tcBorders>
              <w:right w:val="single" w:sz="8" w:color="auto"/>
            </w:tcBorders>
            <w:gridSpan w:val="2"/>
            <w:vMerge w:val="restart"/>
          </w:tcPr>
          <w:p>
            <w:pPr>
              <w:jc w:val="center"/>
              <w:ind w:right="389"/>
              <w:spacing w:after="0"/>
              <w:rPr>
                <w:sz w:val="20"/>
                <w:szCs w:val="20"/>
                <w:color w:val="auto"/>
              </w:rPr>
            </w:pPr>
            <w:r>
              <w:rPr>
                <w:rFonts w:ascii="Times New Roman" w:cs="Times New Roman" w:eastAsia="Times New Roman" w:hAnsi="Times New Roman"/>
                <w:sz w:val="18"/>
                <w:szCs w:val="18"/>
                <w:b w:val="1"/>
                <w:bCs w:val="1"/>
                <w:color w:val="auto"/>
              </w:rPr>
              <w:t>WITH</w:t>
            </w:r>
          </w:p>
        </w:tc>
        <w:tc>
          <w:tcPr>
            <w:tcW w:w="300" w:type="dxa"/>
            <w:vAlign w:val="bottom"/>
          </w:tcPr>
          <w:p>
            <w:pPr>
              <w:spacing w:after="0"/>
              <w:rPr>
                <w:sz w:val="16"/>
                <w:szCs w:val="16"/>
                <w:color w:val="auto"/>
              </w:rPr>
            </w:pPr>
          </w:p>
        </w:tc>
        <w:tc>
          <w:tcPr>
            <w:tcW w:w="1020" w:type="dxa"/>
            <w:vAlign w:val="bottom"/>
            <w:tcBorders>
              <w:right w:val="single" w:sz="8" w:color="auto"/>
            </w:tcBorders>
            <w:vMerge w:val="restart"/>
          </w:tcPr>
          <w:p>
            <w:pPr>
              <w:jc w:val="right"/>
              <w:ind w:right="529"/>
              <w:spacing w:after="0"/>
              <w:rPr>
                <w:sz w:val="20"/>
                <w:szCs w:val="20"/>
                <w:color w:val="auto"/>
              </w:rPr>
            </w:pPr>
            <w:r>
              <w:rPr>
                <w:rFonts w:ascii="Times New Roman" w:cs="Times New Roman" w:eastAsia="Times New Roman" w:hAnsi="Times New Roman"/>
                <w:sz w:val="25"/>
                <w:szCs w:val="25"/>
                <w:b w:val="1"/>
                <w:bCs w:val="1"/>
                <w:color w:val="auto"/>
              </w:rPr>
              <w:t>8</w:t>
            </w: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SHARED DISPOSITIVE POWER</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2200" w:type="dxa"/>
            <w:vAlign w:val="bottom"/>
            <w:tcBorders>
              <w:right w:val="single" w:sz="8" w:color="auto"/>
            </w:tcBorders>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3,350,000</w:t>
            </w: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80" w:type="dxa"/>
            <w:vAlign w:val="bottom"/>
            <w:vMerge w:val="restart"/>
          </w:tcPr>
          <w:p>
            <w:pPr>
              <w:jc w:val="right"/>
              <w:ind w:right="54"/>
              <w:spacing w:after="0"/>
              <w:rPr>
                <w:sz w:val="20"/>
                <w:szCs w:val="20"/>
                <w:color w:val="auto"/>
              </w:rPr>
            </w:pPr>
            <w:r>
              <w:rPr>
                <w:rFonts w:ascii="Times New Roman" w:cs="Times New Roman" w:eastAsia="Times New Roman" w:hAnsi="Times New Roman"/>
                <w:sz w:val="25"/>
                <w:szCs w:val="25"/>
                <w:b w:val="1"/>
                <w:bCs w:val="1"/>
                <w:color w:val="auto"/>
              </w:rPr>
              <w:t>9</w:t>
            </w:r>
          </w:p>
        </w:tc>
        <w:tc>
          <w:tcPr>
            <w:tcW w:w="880" w:type="dxa"/>
            <w:vAlign w:val="bottom"/>
            <w:tcBorders>
              <w:right w:val="single" w:sz="8" w:color="auto"/>
            </w:tcBorders>
          </w:tcPr>
          <w:p>
            <w:pPr>
              <w:spacing w:after="0"/>
              <w:rPr>
                <w:sz w:val="16"/>
                <w:szCs w:val="16"/>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AGGREGATE AMOUNT BENEFICIALLY</w:t>
            </w: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OWNED BY EACH REPORTING PERSON</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3,350,000</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80" w:type="dxa"/>
            <w:vAlign w:val="bottom"/>
          </w:tcPr>
          <w:p>
            <w:pPr>
              <w:ind w:left="40"/>
              <w:spacing w:after="0"/>
              <w:rPr>
                <w:sz w:val="20"/>
                <w:szCs w:val="20"/>
                <w:color w:val="auto"/>
              </w:rPr>
            </w:pPr>
            <w:r>
              <w:rPr>
                <w:rFonts w:ascii="Times New Roman" w:cs="Times New Roman" w:eastAsia="Times New Roman" w:hAnsi="Times New Roman"/>
                <w:sz w:val="25"/>
                <w:szCs w:val="25"/>
                <w:b w:val="1"/>
                <w:bCs w:val="1"/>
                <w:color w:val="auto"/>
              </w:rPr>
              <w:t>10</w:t>
            </w:r>
          </w:p>
        </w:tc>
        <w:tc>
          <w:tcPr>
            <w:tcW w:w="880" w:type="dxa"/>
            <w:vAlign w:val="bottom"/>
            <w:tcBorders>
              <w:right w:val="single" w:sz="8" w:color="auto"/>
            </w:tcBorders>
          </w:tcPr>
          <w:p>
            <w:pPr>
              <w:spacing w:after="0"/>
              <w:rPr>
                <w:sz w:val="24"/>
                <w:szCs w:val="24"/>
                <w:color w:val="auto"/>
              </w:rPr>
            </w:pPr>
          </w:p>
        </w:tc>
        <w:tc>
          <w:tcPr>
            <w:tcW w:w="82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CHECK BOX IF THE AGGREGATE AMOUNT IN ROW (9) EXCLUDES CERTAIN SHARES (SEE INSTRUCTIONS</w:t>
            </w:r>
            <w:r>
              <w:rPr>
                <w:rFonts w:ascii="Times New Roman" w:cs="Times New Roman" w:eastAsia="Times New Roman" w:hAnsi="Times New Roman"/>
                <w:sz w:val="17"/>
                <w:szCs w:val="17"/>
                <w:color w:val="auto"/>
              </w:rPr>
              <w:t>)</w:t>
            </w:r>
          </w:p>
        </w:tc>
        <w:tc>
          <w:tcPr>
            <w:tcW w:w="168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8"/>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Not Applicable</w:t>
            </w:r>
          </w:p>
        </w:tc>
        <w:tc>
          <w:tcPr>
            <w:tcW w:w="10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25"/>
                <w:szCs w:val="25"/>
                <w:b w:val="1"/>
                <w:bCs w:val="1"/>
                <w:color w:val="auto"/>
              </w:rPr>
              <w:t>11</w:t>
            </w:r>
          </w:p>
        </w:tc>
        <w:tc>
          <w:tcPr>
            <w:tcW w:w="880" w:type="dxa"/>
            <w:vAlign w:val="bottom"/>
            <w:tcBorders>
              <w:right w:val="single" w:sz="8" w:color="auto"/>
            </w:tcBorders>
          </w:tcPr>
          <w:p>
            <w:pPr>
              <w:spacing w:after="0"/>
              <w:rPr>
                <w:sz w:val="16"/>
                <w:szCs w:val="16"/>
                <w:color w:val="auto"/>
              </w:rPr>
            </w:pPr>
          </w:p>
        </w:tc>
        <w:tc>
          <w:tcPr>
            <w:tcW w:w="82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PERCENT OF CLASS REPRESENTED BY AMOUNT IN ROW (9)</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line="275" w:lineRule="exact"/>
              <w:rPr>
                <w:sz w:val="20"/>
                <w:szCs w:val="20"/>
                <w:color w:val="auto"/>
              </w:rPr>
            </w:pPr>
            <w:r>
              <w:rPr>
                <w:rFonts w:ascii="Times New Roman" w:cs="Times New Roman" w:eastAsia="Times New Roman" w:hAnsi="Times New Roman"/>
                <w:sz w:val="20"/>
                <w:szCs w:val="20"/>
                <w:color w:val="auto"/>
              </w:rPr>
              <w:t xml:space="preserve">4.7% </w:t>
            </w:r>
            <w:r>
              <w:rPr>
                <w:rFonts w:ascii="Times New Roman" w:cs="Times New Roman" w:eastAsia="Times New Roman" w:hAnsi="Times New Roman"/>
                <w:sz w:val="31"/>
                <w:szCs w:val="31"/>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25"/>
                <w:szCs w:val="25"/>
                <w:b w:val="1"/>
                <w:bCs w:val="1"/>
                <w:color w:val="auto"/>
              </w:rPr>
              <w:t>12</w:t>
            </w:r>
          </w:p>
        </w:tc>
        <w:tc>
          <w:tcPr>
            <w:tcW w:w="880" w:type="dxa"/>
            <w:vAlign w:val="bottom"/>
            <w:tcBorders>
              <w:right w:val="single" w:sz="8" w:color="auto"/>
            </w:tcBorders>
          </w:tcPr>
          <w:p>
            <w:pPr>
              <w:spacing w:after="0"/>
              <w:rPr>
                <w:sz w:val="16"/>
                <w:szCs w:val="16"/>
                <w:color w:val="auto"/>
              </w:rPr>
            </w:pPr>
          </w:p>
        </w:tc>
        <w:tc>
          <w:tcPr>
            <w:tcW w:w="82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TYPE OF REPORTING PERSON (SEE INSTRUCTIONS)</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IV</w:t>
            </w:r>
          </w:p>
        </w:tc>
        <w:tc>
          <w:tcPr>
            <w:tcW w:w="10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580" w:right="440" w:hanging="491"/>
        <w:spacing w:after="0" w:line="258" w:lineRule="auto"/>
        <w:tabs>
          <w:tab w:leader="none" w:pos="5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upon a total of 70,608,639 shares outstanding as of October 21, 2022, as reported on the Issuer’s Form 10-Q, as filed with the SEC on October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Item 1(a).</w:t>
            </w:r>
          </w:p>
        </w:tc>
        <w:tc>
          <w:tcPr>
            <w:tcW w:w="978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Name of Issuer:</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146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Weatherford International plc</w:t>
            </w:r>
          </w:p>
        </w:tc>
        <w:tc>
          <w:tcPr>
            <w:tcW w:w="0" w:type="dxa"/>
            <w:vAlign w:val="bottom"/>
          </w:tcPr>
          <w:p>
            <w:pPr>
              <w:spacing w:after="0"/>
              <w:rPr>
                <w:sz w:val="1"/>
                <w:szCs w:val="1"/>
                <w:color w:val="auto"/>
              </w:rPr>
            </w:pPr>
          </w:p>
        </w:tc>
      </w:tr>
      <w:tr>
        <w:trPr>
          <w:trHeight w:val="433"/>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Item 1(b).</w:t>
            </w:r>
          </w:p>
        </w:tc>
        <w:tc>
          <w:tcPr>
            <w:tcW w:w="978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tc>
        <w:tc>
          <w:tcPr>
            <w:tcW w:w="0" w:type="dxa"/>
            <w:vAlign w:val="bottom"/>
          </w:tcPr>
          <w:p>
            <w:pPr>
              <w:spacing w:after="0"/>
              <w:rPr>
                <w:sz w:val="1"/>
                <w:szCs w:val="1"/>
                <w:color w:val="auto"/>
              </w:rPr>
            </w:pPr>
          </w:p>
        </w:tc>
      </w:tr>
      <w:tr>
        <w:trPr>
          <w:trHeight w:val="479"/>
        </w:trPr>
        <w:tc>
          <w:tcPr>
            <w:tcW w:w="1460" w:type="dxa"/>
            <w:vAlign w:val="bottom"/>
          </w:tcPr>
          <w:p>
            <w:pPr>
              <w:spacing w:after="0"/>
              <w:rPr>
                <w:sz w:val="24"/>
                <w:szCs w:val="24"/>
                <w:color w:val="auto"/>
              </w:rPr>
            </w:pPr>
          </w:p>
        </w:tc>
        <w:tc>
          <w:tcPr>
            <w:tcW w:w="410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22"/>
                <w:szCs w:val="22"/>
                <w:color w:val="auto"/>
              </w:rPr>
              <w:t>2000 St. James Place</w:t>
            </w:r>
          </w:p>
        </w:tc>
        <w:tc>
          <w:tcPr>
            <w:tcW w:w="56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Houston, TX 77056</w:t>
            </w:r>
          </w:p>
        </w:tc>
        <w:tc>
          <w:tcPr>
            <w:tcW w:w="0" w:type="dxa"/>
            <w:vAlign w:val="bottom"/>
          </w:tcPr>
          <w:p>
            <w:pPr>
              <w:spacing w:after="0"/>
              <w:rPr>
                <w:sz w:val="1"/>
                <w:szCs w:val="1"/>
                <w:color w:val="auto"/>
              </w:rPr>
            </w:pPr>
          </w:p>
        </w:tc>
      </w:tr>
      <w:tr>
        <w:trPr>
          <w:trHeight w:val="433"/>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Item 2(a).</w:t>
            </w:r>
          </w:p>
        </w:tc>
        <w:tc>
          <w:tcPr>
            <w:tcW w:w="978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Name of Person Filing:</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46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Times New Roman" w:cs="Times New Roman" w:eastAsia="Times New Roman" w:hAnsi="Times New Roman"/>
                <w:sz w:val="22"/>
                <w:szCs w:val="22"/>
                <w:color w:val="auto"/>
                <w:w w:val="99"/>
              </w:rPr>
              <w:t>The persons filing this Schedule 13G are (i) Yacktman Asset Management LP, an investment adviser registered</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19"/>
                <w:szCs w:val="19"/>
                <w:color w:val="auto"/>
              </w:rPr>
            </w:pPr>
          </w:p>
        </w:tc>
        <w:tc>
          <w:tcPr>
            <w:tcW w:w="9780" w:type="dxa"/>
            <w:vAlign w:val="bottom"/>
            <w:gridSpan w:val="12"/>
          </w:tcPr>
          <w:p>
            <w:pPr>
              <w:spacing w:after="0" w:line="230" w:lineRule="exact"/>
              <w:rPr>
                <w:sz w:val="20"/>
                <w:szCs w:val="20"/>
                <w:color w:val="auto"/>
              </w:rPr>
            </w:pPr>
            <w:r>
              <w:rPr>
                <w:rFonts w:ascii="Times New Roman" w:cs="Times New Roman" w:eastAsia="Times New Roman" w:hAnsi="Times New Roman"/>
                <w:sz w:val="22"/>
                <w:szCs w:val="22"/>
                <w:color w:val="auto"/>
              </w:rPr>
              <w:t>under Section 203 of the Investment Advisers Act of 1940 (the “Adviser”); and (ii) AMG Yacktman Fund, a</w:t>
            </w:r>
          </w:p>
        </w:tc>
        <w:tc>
          <w:tcPr>
            <w:tcW w:w="0" w:type="dxa"/>
            <w:vAlign w:val="bottom"/>
          </w:tcPr>
          <w:p>
            <w:pPr>
              <w:spacing w:after="0"/>
              <w:rPr>
                <w:sz w:val="1"/>
                <w:szCs w:val="1"/>
                <w:color w:val="auto"/>
              </w:rPr>
            </w:pPr>
          </w:p>
        </w:tc>
      </w:tr>
      <w:tr>
        <w:trPr>
          <w:trHeight w:val="236"/>
        </w:trPr>
        <w:tc>
          <w:tcPr>
            <w:tcW w:w="1460" w:type="dxa"/>
            <w:vAlign w:val="bottom"/>
          </w:tcPr>
          <w:p>
            <w:pPr>
              <w:spacing w:after="0"/>
              <w:rPr>
                <w:sz w:val="20"/>
                <w:szCs w:val="20"/>
                <w:color w:val="auto"/>
              </w:rPr>
            </w:pPr>
          </w:p>
        </w:tc>
        <w:tc>
          <w:tcPr>
            <w:tcW w:w="5600" w:type="dxa"/>
            <w:vAlign w:val="bottom"/>
            <w:gridSpan w:val="9"/>
          </w:tcPr>
          <w:p>
            <w:pPr>
              <w:spacing w:after="0" w:line="236" w:lineRule="exact"/>
              <w:rPr>
                <w:sz w:val="20"/>
                <w:szCs w:val="20"/>
                <w:color w:val="auto"/>
              </w:rPr>
            </w:pPr>
            <w:r>
              <w:rPr>
                <w:rFonts w:ascii="Times New Roman" w:cs="Times New Roman" w:eastAsia="Times New Roman" w:hAnsi="Times New Roman"/>
                <w:sz w:val="22"/>
                <w:szCs w:val="22"/>
                <w:color w:val="auto"/>
              </w:rPr>
              <w:t>series of AMG Funds. AMG Funds is an investment company</w:t>
            </w:r>
          </w:p>
        </w:tc>
        <w:tc>
          <w:tcPr>
            <w:tcW w:w="68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w w:val="76"/>
              </w:rPr>
              <w:t>registered</w:t>
            </w:r>
          </w:p>
        </w:tc>
        <w:tc>
          <w:tcPr>
            <w:tcW w:w="3500" w:type="dxa"/>
            <w:vAlign w:val="bottom"/>
            <w:gridSpan w:val="2"/>
          </w:tcPr>
          <w:p>
            <w:pPr>
              <w:ind w:left="100"/>
              <w:spacing w:after="0" w:line="236" w:lineRule="exact"/>
              <w:rPr>
                <w:sz w:val="20"/>
                <w:szCs w:val="20"/>
                <w:color w:val="auto"/>
              </w:rPr>
            </w:pPr>
            <w:r>
              <w:rPr>
                <w:rFonts w:ascii="Times New Roman" w:cs="Times New Roman" w:eastAsia="Times New Roman" w:hAnsi="Times New Roman"/>
                <w:sz w:val="22"/>
                <w:szCs w:val="22"/>
                <w:color w:val="auto"/>
              </w:rPr>
              <w:t>under the Investment Company Act of</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19"/>
                <w:szCs w:val="19"/>
                <w:color w:val="auto"/>
              </w:rPr>
            </w:pPr>
          </w:p>
        </w:tc>
        <w:tc>
          <w:tcPr>
            <w:tcW w:w="9780" w:type="dxa"/>
            <w:vAlign w:val="bottom"/>
            <w:gridSpan w:val="12"/>
          </w:tcPr>
          <w:p>
            <w:pPr>
              <w:spacing w:after="0" w:line="230" w:lineRule="exact"/>
              <w:rPr>
                <w:sz w:val="20"/>
                <w:szCs w:val="20"/>
                <w:color w:val="auto"/>
              </w:rPr>
            </w:pPr>
            <w:r>
              <w:rPr>
                <w:rFonts w:ascii="Times New Roman" w:cs="Times New Roman" w:eastAsia="Times New Roman" w:hAnsi="Times New Roman"/>
                <w:sz w:val="22"/>
                <w:szCs w:val="22"/>
                <w:color w:val="auto"/>
              </w:rPr>
              <w:t>1940 (the “Trust”). Attached as Exhibit 1 hereto, which is incorporated by reference herein, is an agreement</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between</w:t>
            </w:r>
          </w:p>
        </w:tc>
        <w:tc>
          <w:tcPr>
            <w:tcW w:w="4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46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8800" w:type="dxa"/>
            <w:vAlign w:val="bottom"/>
            <w:gridSpan w:val="10"/>
          </w:tcPr>
          <w:p>
            <w:pPr>
              <w:spacing w:after="0" w:line="236" w:lineRule="exact"/>
              <w:rPr>
                <w:sz w:val="20"/>
                <w:szCs w:val="20"/>
                <w:color w:val="auto"/>
              </w:rPr>
            </w:pPr>
            <w:r>
              <w:rPr>
                <w:rFonts w:ascii="Times New Roman" w:cs="Times New Roman" w:eastAsia="Times New Roman" w:hAnsi="Times New Roman"/>
                <w:sz w:val="22"/>
                <w:szCs w:val="22"/>
                <w:color w:val="auto"/>
                <w:w w:val="95"/>
              </w:rPr>
              <w:t>Yacktman Asset Management LP and AMG Yacktman Fund that this Schedule 13G is filed on behalf of</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each of them.</w:t>
            </w:r>
          </w:p>
        </w:tc>
        <w:tc>
          <w:tcPr>
            <w:tcW w:w="0" w:type="dxa"/>
            <w:vAlign w:val="bottom"/>
          </w:tcPr>
          <w:p>
            <w:pPr>
              <w:spacing w:after="0"/>
              <w:rPr>
                <w:sz w:val="1"/>
                <w:szCs w:val="1"/>
                <w:color w:val="auto"/>
              </w:rPr>
            </w:pPr>
          </w:p>
        </w:tc>
      </w:tr>
      <w:tr>
        <w:trPr>
          <w:trHeight w:val="433"/>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Item 2(b).</w:t>
            </w:r>
          </w:p>
        </w:tc>
        <w:tc>
          <w:tcPr>
            <w:tcW w:w="978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Address of Principal Business Office or, if none, Residence:</w:t>
            </w:r>
          </w:p>
        </w:tc>
        <w:tc>
          <w:tcPr>
            <w:tcW w:w="0" w:type="dxa"/>
            <w:vAlign w:val="bottom"/>
          </w:tcPr>
          <w:p>
            <w:pPr>
              <w:spacing w:after="0"/>
              <w:rPr>
                <w:sz w:val="1"/>
                <w:szCs w:val="1"/>
                <w:color w:val="auto"/>
              </w:rPr>
            </w:pPr>
          </w:p>
        </w:tc>
      </w:tr>
      <w:tr>
        <w:trPr>
          <w:trHeight w:val="479"/>
        </w:trPr>
        <w:tc>
          <w:tcPr>
            <w:tcW w:w="1460" w:type="dxa"/>
            <w:vAlign w:val="bottom"/>
          </w:tcPr>
          <w:p>
            <w:pPr>
              <w:spacing w:after="0"/>
              <w:rPr>
                <w:sz w:val="24"/>
                <w:szCs w:val="24"/>
                <w:color w:val="auto"/>
              </w:rPr>
            </w:pPr>
          </w:p>
        </w:tc>
        <w:tc>
          <w:tcPr>
            <w:tcW w:w="514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22"/>
                <w:szCs w:val="22"/>
                <w:color w:val="auto"/>
              </w:rPr>
              <w:t>6300 Bridgepoint Parkway</w:t>
            </w:r>
          </w:p>
        </w:tc>
        <w:tc>
          <w:tcPr>
            <w:tcW w:w="46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9780" w:type="dxa"/>
            <w:vAlign w:val="bottom"/>
            <w:gridSpan w:val="12"/>
          </w:tcPr>
          <w:p>
            <w:pPr>
              <w:spacing w:after="0" w:line="243" w:lineRule="exact"/>
              <w:rPr>
                <w:sz w:val="20"/>
                <w:szCs w:val="20"/>
                <w:color w:val="auto"/>
              </w:rPr>
            </w:pPr>
            <w:r>
              <w:rPr>
                <w:rFonts w:ascii="Times New Roman" w:cs="Times New Roman" w:eastAsia="Times New Roman" w:hAnsi="Times New Roman"/>
                <w:sz w:val="22"/>
                <w:szCs w:val="22"/>
                <w:color w:val="auto"/>
              </w:rPr>
              <w:t>Building One, Suite 500</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Austin, TX 78730</w:t>
            </w:r>
          </w:p>
        </w:tc>
        <w:tc>
          <w:tcPr>
            <w:tcW w:w="0" w:type="dxa"/>
            <w:vAlign w:val="bottom"/>
          </w:tcPr>
          <w:p>
            <w:pPr>
              <w:spacing w:after="0"/>
              <w:rPr>
                <w:sz w:val="1"/>
                <w:szCs w:val="1"/>
                <w:color w:val="auto"/>
              </w:rPr>
            </w:pPr>
          </w:p>
        </w:tc>
      </w:tr>
      <w:tr>
        <w:trPr>
          <w:trHeight w:val="434"/>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Item 2(c).</w:t>
            </w:r>
          </w:p>
        </w:tc>
        <w:tc>
          <w:tcPr>
            <w:tcW w:w="978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Citizenship:</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0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46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The Adviser is a Delaware limited partnership. AMG Yacktman Fund is a series of the Trust, a Massachusetts</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business trust.</w:t>
            </w:r>
          </w:p>
        </w:tc>
        <w:tc>
          <w:tcPr>
            <w:tcW w:w="0" w:type="dxa"/>
            <w:vAlign w:val="bottom"/>
          </w:tcPr>
          <w:p>
            <w:pPr>
              <w:spacing w:after="0"/>
              <w:rPr>
                <w:sz w:val="1"/>
                <w:szCs w:val="1"/>
                <w:color w:val="auto"/>
              </w:rPr>
            </w:pPr>
          </w:p>
        </w:tc>
      </w:tr>
      <w:tr>
        <w:trPr>
          <w:trHeight w:val="433"/>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Item 2(d).</w:t>
            </w:r>
          </w:p>
        </w:tc>
        <w:tc>
          <w:tcPr>
            <w:tcW w:w="978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Title of Class of Securities:</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70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146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Ordinary Shares, par value $0.001 per share</w:t>
            </w:r>
          </w:p>
        </w:tc>
        <w:tc>
          <w:tcPr>
            <w:tcW w:w="0" w:type="dxa"/>
            <w:vAlign w:val="bottom"/>
          </w:tcPr>
          <w:p>
            <w:pPr>
              <w:spacing w:after="0"/>
              <w:rPr>
                <w:sz w:val="1"/>
                <w:szCs w:val="1"/>
                <w:color w:val="auto"/>
              </w:rPr>
            </w:pPr>
          </w:p>
        </w:tc>
      </w:tr>
      <w:tr>
        <w:trPr>
          <w:trHeight w:val="434"/>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Item 2(e).</w:t>
            </w:r>
          </w:p>
        </w:tc>
        <w:tc>
          <w:tcPr>
            <w:tcW w:w="978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CUSIP Number:</w:t>
            </w:r>
          </w:p>
        </w:tc>
        <w:tc>
          <w:tcPr>
            <w:tcW w:w="0" w:type="dxa"/>
            <w:vAlign w:val="bottom"/>
          </w:tcPr>
          <w:p>
            <w:pPr>
              <w:spacing w:after="0"/>
              <w:rPr>
                <w:sz w:val="1"/>
                <w:szCs w:val="1"/>
                <w:color w:val="auto"/>
              </w:rPr>
            </w:pPr>
          </w:p>
        </w:tc>
      </w:tr>
      <w:tr>
        <w:trPr>
          <w:trHeight w:val="518"/>
        </w:trPr>
        <w:tc>
          <w:tcPr>
            <w:tcW w:w="1460" w:type="dxa"/>
            <w:vAlign w:val="bottom"/>
          </w:tcPr>
          <w:p>
            <w:pPr>
              <w:spacing w:after="0"/>
              <w:rPr>
                <w:sz w:val="24"/>
                <w:szCs w:val="24"/>
                <w:color w:val="auto"/>
              </w:rPr>
            </w:pPr>
          </w:p>
        </w:tc>
        <w:tc>
          <w:tcPr>
            <w:tcW w:w="14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G48833118</w:t>
            </w:r>
          </w:p>
        </w:tc>
        <w:tc>
          <w:tcPr>
            <w:tcW w:w="83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Item 3.</w:t>
            </w:r>
          </w:p>
        </w:tc>
        <w:tc>
          <w:tcPr>
            <w:tcW w:w="978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If this statement is filed pursuant to sections 240.13d-1(b), or 240.13d-2(b) or (c), check whether the person</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9320" w:type="dxa"/>
            <w:vAlign w:val="bottom"/>
            <w:tcBorders>
              <w:top w:val="single" w:sz="8" w:color="auto"/>
            </w:tcBorders>
            <w:gridSpan w:val="11"/>
          </w:tcPr>
          <w:p>
            <w:pPr>
              <w:spacing w:after="0" w:line="223" w:lineRule="exact"/>
              <w:rPr>
                <w:sz w:val="20"/>
                <w:szCs w:val="20"/>
                <w:color w:val="auto"/>
              </w:rPr>
            </w:pPr>
            <w:r>
              <w:rPr>
                <w:rFonts w:ascii="Times New Roman" w:cs="Times New Roman" w:eastAsia="Times New Roman" w:hAnsi="Times New Roman"/>
                <w:sz w:val="22"/>
                <w:szCs w:val="22"/>
                <w:color w:val="auto"/>
              </w:rPr>
              <w:t>filing is a:</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1960" w:hanging="692"/>
        <w:spacing w:after="0"/>
        <w:tabs>
          <w:tab w:leader="none" w:pos="1960" w:val="left"/>
        </w:tabs>
        <w:numPr>
          <w:ilvl w:val="0"/>
          <w:numId w:val="10"/>
        </w:numPr>
        <w:rPr>
          <w:rFonts w:ascii="MS PGothic" w:cs="MS PGothic" w:eastAsia="MS PGothic" w:hAnsi="MS PGothic"/>
          <w:sz w:val="17"/>
          <w:szCs w:val="17"/>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44" w:lineRule="exact"/>
        <w:rPr>
          <w:rFonts w:ascii="MS PGothic" w:cs="MS PGothic" w:eastAsia="MS PGothic" w:hAnsi="MS PGothic"/>
          <w:sz w:val="17"/>
          <w:szCs w:val="17"/>
          <w:color w:val="auto"/>
        </w:rPr>
      </w:pPr>
    </w:p>
    <w:p>
      <w:pPr>
        <w:ind w:left="1960" w:hanging="692"/>
        <w:spacing w:after="0"/>
        <w:tabs>
          <w:tab w:leader="none" w:pos="1960"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An investment adviser in accordance with section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 w:name="page5"/>
    <w:bookmarkEnd w:id="4"/>
    <w:p>
      <w:pPr>
        <w:spacing w:after="0"/>
        <w:tabs>
          <w:tab w:leader="none" w:pos="14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u w:val="single" w:color="auto"/>
          <w:color w:val="auto"/>
        </w:rPr>
        <w:t>Ownership</w:t>
      </w:r>
      <w:r>
        <w:rPr>
          <w:rFonts w:ascii="Times New Roman" w:cs="Times New Roman" w:eastAsia="Times New Roman" w:hAnsi="Times New Roman"/>
          <w:sz w:val="21"/>
          <w:szCs w:val="21"/>
          <w:color w:val="auto"/>
        </w:rPr>
        <w:t>:</w:t>
      </w:r>
    </w:p>
    <w:p>
      <w:pPr>
        <w:spacing w:after="0" w:line="23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Yacktman Asset Management LP</w:t>
      </w:r>
    </w:p>
    <w:p>
      <w:pPr>
        <w:spacing w:after="0" w:line="237" w:lineRule="exact"/>
        <w:rPr>
          <w:sz w:val="20"/>
          <w:szCs w:val="20"/>
          <w:color w:val="auto"/>
        </w:rPr>
      </w:pPr>
    </w:p>
    <w:p>
      <w:pPr>
        <w:ind w:left="1960" w:hanging="494"/>
        <w:spacing w:after="0"/>
        <w:tabs>
          <w:tab w:leader="none" w:pos="1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4,921,500</w:t>
      </w:r>
    </w:p>
    <w:p>
      <w:pPr>
        <w:spacing w:after="0" w:line="233" w:lineRule="exact"/>
        <w:rPr>
          <w:rFonts w:ascii="Times New Roman" w:cs="Times New Roman" w:eastAsia="Times New Roman" w:hAnsi="Times New Roman"/>
          <w:sz w:val="22"/>
          <w:szCs w:val="22"/>
          <w:color w:val="auto"/>
        </w:rPr>
      </w:pPr>
    </w:p>
    <w:p>
      <w:pPr>
        <w:ind w:left="1960" w:hanging="494"/>
        <w:spacing w:after="0"/>
        <w:tabs>
          <w:tab w:leader="none" w:pos="1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7.0%</w:t>
      </w:r>
    </w:p>
    <w:p>
      <w:pPr>
        <w:spacing w:after="0" w:line="233" w:lineRule="exact"/>
        <w:rPr>
          <w:rFonts w:ascii="Times New Roman" w:cs="Times New Roman" w:eastAsia="Times New Roman" w:hAnsi="Times New Roman"/>
          <w:sz w:val="22"/>
          <w:szCs w:val="22"/>
          <w:color w:val="auto"/>
        </w:rPr>
      </w:pPr>
    </w:p>
    <w:p>
      <w:pPr>
        <w:ind w:left="1960" w:hanging="494"/>
        <w:spacing w:after="0"/>
        <w:tabs>
          <w:tab w:leader="none" w:pos="1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233" w:lineRule="exact"/>
        <w:rPr>
          <w:rFonts w:ascii="Times New Roman" w:cs="Times New Roman" w:eastAsia="Times New Roman" w:hAnsi="Times New Roman"/>
          <w:sz w:val="22"/>
          <w:szCs w:val="22"/>
          <w:color w:val="auto"/>
        </w:rPr>
      </w:pPr>
    </w:p>
    <w:p>
      <w:pPr>
        <w:ind w:left="2360" w:hanging="408"/>
        <w:spacing w:after="0"/>
        <w:tabs>
          <w:tab w:leader="none" w:pos="236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1,571,500</w:t>
      </w:r>
    </w:p>
    <w:p>
      <w:pPr>
        <w:spacing w:after="0" w:line="233"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3,350,000</w:t>
      </w:r>
    </w:p>
    <w:p>
      <w:pPr>
        <w:spacing w:after="0" w:line="233"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1,571,500</w:t>
      </w:r>
    </w:p>
    <w:p>
      <w:pPr>
        <w:spacing w:after="0" w:line="233"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3,350,000</w:t>
      </w:r>
    </w:p>
    <w:p>
      <w:pPr>
        <w:spacing w:after="0" w:line="22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AMG Yacktman Fund</w:t>
      </w:r>
    </w:p>
    <w:p>
      <w:pPr>
        <w:spacing w:after="0" w:line="237" w:lineRule="exact"/>
        <w:rPr>
          <w:sz w:val="20"/>
          <w:szCs w:val="20"/>
          <w:color w:val="auto"/>
        </w:rPr>
      </w:pPr>
    </w:p>
    <w:p>
      <w:pPr>
        <w:ind w:left="1960" w:hanging="494"/>
        <w:spacing w:after="0"/>
        <w:tabs>
          <w:tab w:leader="none" w:pos="1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3,350,000</w:t>
      </w:r>
    </w:p>
    <w:p>
      <w:pPr>
        <w:spacing w:after="0" w:line="233" w:lineRule="exact"/>
        <w:rPr>
          <w:rFonts w:ascii="Times New Roman" w:cs="Times New Roman" w:eastAsia="Times New Roman" w:hAnsi="Times New Roman"/>
          <w:sz w:val="22"/>
          <w:szCs w:val="22"/>
          <w:color w:val="auto"/>
        </w:rPr>
      </w:pPr>
    </w:p>
    <w:p>
      <w:pPr>
        <w:ind w:left="1960" w:hanging="494"/>
        <w:spacing w:after="0"/>
        <w:tabs>
          <w:tab w:leader="none" w:pos="1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4.7%</w:t>
      </w:r>
    </w:p>
    <w:p>
      <w:pPr>
        <w:spacing w:after="0" w:line="233" w:lineRule="exact"/>
        <w:rPr>
          <w:rFonts w:ascii="Times New Roman" w:cs="Times New Roman" w:eastAsia="Times New Roman" w:hAnsi="Times New Roman"/>
          <w:sz w:val="22"/>
          <w:szCs w:val="22"/>
          <w:color w:val="auto"/>
        </w:rPr>
      </w:pPr>
    </w:p>
    <w:p>
      <w:pPr>
        <w:ind w:left="1960" w:hanging="494"/>
        <w:spacing w:after="0"/>
        <w:tabs>
          <w:tab w:leader="none" w:pos="1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233" w:lineRule="exact"/>
        <w:rPr>
          <w:rFonts w:ascii="Times New Roman" w:cs="Times New Roman" w:eastAsia="Times New Roman" w:hAnsi="Times New Roman"/>
          <w:sz w:val="22"/>
          <w:szCs w:val="22"/>
          <w:color w:val="auto"/>
        </w:rPr>
      </w:pPr>
    </w:p>
    <w:p>
      <w:pPr>
        <w:ind w:left="2360" w:hanging="408"/>
        <w:spacing w:after="0"/>
        <w:tabs>
          <w:tab w:leader="none" w:pos="236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w:t>
      </w:r>
    </w:p>
    <w:p>
      <w:pPr>
        <w:spacing w:after="0" w:line="233"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3,350,000</w:t>
      </w:r>
    </w:p>
    <w:p>
      <w:pPr>
        <w:spacing w:after="0" w:line="233"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w:t>
      </w:r>
    </w:p>
    <w:p>
      <w:pPr>
        <w:spacing w:after="0" w:line="233"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3,350,000</w:t>
      </w:r>
    </w:p>
    <w:p>
      <w:pPr>
        <w:spacing w:after="0" w:line="233"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u w:val="single" w:color="auto"/>
          <w:color w:val="auto"/>
        </w:rPr>
        <w:t>Ownership of Five Percent or Less of a Class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460"/>
        <w:spacing w:after="0" w:line="258" w:lineRule="auto"/>
        <w:rPr>
          <w:sz w:val="20"/>
          <w:szCs w:val="20"/>
          <w:color w:val="auto"/>
        </w:rPr>
      </w:pPr>
      <w:r>
        <w:rPr>
          <w:rFonts w:ascii="Times New Roman" w:cs="Times New Roman" w:eastAsia="Times New Roman" w:hAnsi="Times New Roman"/>
          <w:sz w:val="22"/>
          <w:szCs w:val="22"/>
          <w:color w:val="auto"/>
        </w:rPr>
        <w:t>This statement reports the fact that as of the date hereof the AMG Yacktman Fund has ceased to be the beneficial owner of more than 5 percent of the class of securities [X].</w:t>
      </w:r>
    </w:p>
    <w:p>
      <w:pPr>
        <w:spacing w:after="0" w:line="158" w:lineRule="exact"/>
        <w:rPr>
          <w:sz w:val="20"/>
          <w:szCs w:val="20"/>
          <w:color w:val="auto"/>
        </w:rPr>
      </w:pPr>
    </w:p>
    <w:p>
      <w:pPr>
        <w:ind w:left="1460" w:right="200"/>
        <w:spacing w:after="0" w:line="258" w:lineRule="auto"/>
        <w:rPr>
          <w:sz w:val="20"/>
          <w:szCs w:val="20"/>
          <w:color w:val="auto"/>
        </w:rPr>
      </w:pPr>
      <w:r>
        <w:rPr>
          <w:rFonts w:ascii="Times New Roman" w:cs="Times New Roman" w:eastAsia="Times New Roman" w:hAnsi="Times New Roman"/>
          <w:sz w:val="22"/>
          <w:szCs w:val="22"/>
          <w:color w:val="auto"/>
        </w:rPr>
        <w:t>Yacktman Asset Management LP remains the beneficial owner of more than 5 percent of the class of securities as of the date hereof.</w:t>
      </w:r>
    </w:p>
    <w:p>
      <w:pPr>
        <w:spacing w:after="0" w:line="158"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u w:val="single" w:color="auto"/>
          <w:color w:val="auto"/>
        </w:rPr>
        <w:t>Ownership of More than Five Percent on Behalf of Another Person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460" w:right="40"/>
        <w:spacing w:after="0" w:line="235" w:lineRule="auto"/>
        <w:rPr>
          <w:sz w:val="20"/>
          <w:szCs w:val="20"/>
          <w:color w:val="auto"/>
        </w:rPr>
      </w:pPr>
      <w:r>
        <w:rPr>
          <w:rFonts w:ascii="Times New Roman" w:cs="Times New Roman" w:eastAsia="Times New Roman" w:hAnsi="Times New Roman"/>
          <w:sz w:val="22"/>
          <w:szCs w:val="22"/>
          <w:color w:val="auto"/>
        </w:rPr>
        <w:t>The securities reported in this statement are beneficially owned by advisory clients of the Adviser, which includes the AMG Yacktman Fund. The investment management contracts of these clients grant to the Adviser investment and voting power over the securities reported in this statement. Therefore, for purposes of Rule 13d-3 under the Securities Exchange Act of 1934, the Adviser is deemed to be a beneficial owner of the securities reported in this statement, and the AMG Yacktman Fund may also be deemed to be a beneficial owner of the securities it holds. The clients of the Adviser have the right to receive or power to direct the receipt of dividends from, as well as the proceeds from the sale of, the securities reported in this statement.</w:t>
      </w:r>
    </w:p>
    <w:p>
      <w:pPr>
        <w:spacing w:after="0" w:line="210" w:lineRule="exact"/>
        <w:rPr>
          <w:sz w:val="20"/>
          <w:szCs w:val="20"/>
          <w:color w:val="auto"/>
        </w:rPr>
      </w:pPr>
    </w:p>
    <w:p>
      <w:pPr>
        <w:ind w:left="1460" w:right="20" w:hanging="1457"/>
        <w:spacing w:after="0" w:line="258" w:lineRule="auto"/>
        <w:tabs>
          <w:tab w:leader="none" w:pos="144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2"/>
          <w:szCs w:val="22"/>
          <w:u w:val="single" w:color="auto"/>
          <w:color w:val="auto"/>
        </w:rPr>
        <w:t>Identification and Classification of the Subsidiary Which Acquired the Security Being Reported on by the Parent Holding Company or Control Person</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N/A</w:t>
      </w:r>
    </w:p>
    <w:p>
      <w:pPr>
        <w:spacing w:after="0" w:line="233"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u w:val="single" w:color="auto"/>
          <w:color w:val="auto"/>
        </w:rPr>
        <w:t>Identification and Classification of Members of the Group</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N/A</w:t>
      </w:r>
    </w:p>
    <w:p>
      <w:pPr>
        <w:spacing w:after="0" w:line="233"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u w:val="single" w:color="auto"/>
          <w:color w:val="auto"/>
        </w:rPr>
        <w:t>Notice of Dissolution of Group</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680" w:gutter="0" w:footer="0" w:header="0"/>
        </w:sectPr>
      </w:pPr>
    </w:p>
    <w:bookmarkStart w:id="5" w:name="page6"/>
    <w:bookmarkEnd w:id="5"/>
    <w:p>
      <w:pPr>
        <w:spacing w:after="0"/>
        <w:tabs>
          <w:tab w:leader="none" w:pos="144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u w:val="single" w:color="auto"/>
          <w:color w:val="auto"/>
        </w:rPr>
        <w:t>Certification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460" w:right="60"/>
        <w:spacing w:after="0" w:line="255"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460" w:right="160"/>
        <w:spacing w:after="0" w:line="258" w:lineRule="auto"/>
        <w:rPr>
          <w:rFonts w:ascii="Times New Roman" w:cs="Times New Roman" w:eastAsia="Times New Roman" w:hAnsi="Times New Roman"/>
          <w:sz w:val="22"/>
          <w:szCs w:val="22"/>
          <w:color w:val="0000EE"/>
        </w:rPr>
      </w:pPr>
      <w:hyperlink r:id="rId15">
        <w:r>
          <w:rPr>
            <w:rFonts w:ascii="Times New Roman" w:cs="Times New Roman" w:eastAsia="Times New Roman" w:hAnsi="Times New Roman"/>
            <w:sz w:val="22"/>
            <w:szCs w:val="22"/>
            <w:u w:val="single" w:color="auto"/>
            <w:color w:val="0000EE"/>
          </w:rPr>
          <w:t>Agreement to file Schedule 13G jointly</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(previously</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filed as Exhibit 1 to the Reporting Person’s Schedule 13G</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filed April 8, 2020).</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0"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February 2, 2023</w:t>
      </w:r>
    </w:p>
    <w:p>
      <w:pPr>
        <w:spacing w:after="0" w:line="200" w:lineRule="exact"/>
        <w:rPr>
          <w:sz w:val="20"/>
          <w:szCs w:val="20"/>
          <w:color w:val="auto"/>
        </w:rPr>
      </w:pPr>
    </w:p>
    <w:p>
      <w:pPr>
        <w:spacing w:after="0" w:line="27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YACKTMAN ASSET MANAGEMENT LP</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/s/Russell G. Wilkins</w:t>
      </w:r>
    </w:p>
    <w:p>
      <w:pPr>
        <w:spacing w:after="0" w:line="1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Russell G. Wilkins, Partner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AMG FUNDS ON BEHALF OF ITS SERIES</w:t>
      </w:r>
    </w:p>
    <w:p>
      <w:pPr>
        <w:spacing w:after="0" w:line="1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AMG YACKTMAN FUND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/s/Patrick Spellman</w:t>
      </w:r>
    </w:p>
    <w:p>
      <w:pPr>
        <w:spacing w:after="0" w:line="1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Patrick Spellman, Chief Compliance Officer</w:t>
      </w:r>
    </w:p>
    <w:sectPr>
      <w:pgSz w:w="11900" w:h="16838" w:orient="portrait"/>
      <w:cols w:equalWidth="0" w:num="1">
        <w:col w:w="11120"/>
      </w:cols>
      <w:pgMar w:left="320" w:top="35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bullet"/>
      <w:start w:val="1"/>
    </w:lvl>
  </w:abstractNum>
  <w:abstractNum w:abstractNumId="6">
    <w:nsid w:val="12200854"/>
    <w:multiLevelType w:val="hybridMultilevel"/>
    <w:lvl w:ilvl="0">
      <w:lvlJc w:val="left"/>
      <w:lvlText w:val="3"/>
      <w:numFmt w:val="bullet"/>
      <w:start w:val="1"/>
    </w:lvl>
  </w:abstractNum>
  <w:abstractNum w:abstractNumId="7">
    <w:nsid w:val="4DB127F8"/>
    <w:multiLevelType w:val="hybridMultilevel"/>
    <w:lvl w:ilvl="0">
      <w:lvlJc w:val="left"/>
      <w:lvlText w:val="4"/>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lowerLetter"/>
      <w:start w:val="1"/>
    </w:lvl>
    <w:lvl w:ilvl="1">
      <w:lvlJc w:val="left"/>
      <w:lvlText w:val="(%2)"/>
      <w:numFmt w:val="lowerRoman"/>
      <w:start w:val="1"/>
    </w:lvl>
  </w:abstractNum>
  <w:abstractNum w:abstractNumId="11">
    <w:nsid w:val="66EF438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hyperlink" Target="https://www.sec.gov/Archives/edgar/data/905567/000089706920000186/cmw2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2023-02-02T15:33:13Z</dcterms:created>
  <dcterms:modified xsi:type="dcterms:W3CDTF">2023-02-02T15:33:13Z</dcterms:modified>
</cp:coreProperties>
</file>