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413861.xml.htm"/>
      <w:bookmarkStart w:id="1" w:name="kswkform4_17704138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Desmond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25,487</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99.97</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23,017</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2023 Annual 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performance share units ("PSUs") granted on January 18, 2023 under Issuer's 2019 Equity Incentive Plan, as amended and restated (the "2019 EIP"). The award vested at 153% of target based on achievement of performance metrics during the three-year performance period, which ended on December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of a portion of vested PSUs to satisfy the reporting person's tax obligations upon vesting, pursuant to the 2019 EIP and the relevant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969"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3625</Characters>
  <CharactersWithSpaces>4220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