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83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933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Dhruv Anuj Hasit</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02"/>
        <w:spacing w:after="0"/>
        <w:rPr>
          <w:sz w:val="20"/>
          <w:szCs w:val="20"/>
          <w:color w:val="auto"/>
        </w:rPr>
      </w:pPr>
      <w:r>
        <w:rPr>
          <w:rFonts w:ascii="Times New Roman" w:cs="Times New Roman" w:eastAsia="Times New Roman" w:hAnsi="Times New Roman"/>
          <w:sz w:val="17"/>
          <w:szCs w:val="17"/>
          <w:color w:val="0000FF"/>
        </w:rPr>
        <w:t>EVP and CFO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8,256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8,256</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8,256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12,384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jc w:val="right"/>
              <w:ind w:right="61"/>
              <w:spacing w:after="0" w:line="128" w:lineRule="exact"/>
              <w:rPr>
                <w:sz w:val="20"/>
                <w:szCs w:val="20"/>
                <w:color w:val="auto"/>
              </w:rPr>
            </w:pPr>
            <w:r>
              <w:rPr>
                <w:rFonts w:ascii="Times New Roman" w:cs="Times New Roman" w:eastAsia="Times New Roman" w:hAnsi="Times New Roman"/>
                <w:sz w:val="13"/>
                <w:szCs w:val="13"/>
                <w:color w:val="0000FF"/>
              </w:rPr>
              <w:t>12,384</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12,384</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-2345690</wp:posOffset>
            </wp:positionV>
            <wp:extent cx="29210" cy="235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2026 pursuant to the Issuer's 2019 Equity Incentive Plan, as amended and restated (the "2019 EIP"). The RSUs vest in three equal annual installments over the three-year period following the grant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59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2026-03-10T16:12:03Z</dcterms:created>
  <dcterms:modified xsi:type="dcterms:W3CDTF">2026-03-10T16:12:03Z</dcterms:modified>
</cp:coreProperties>
</file>