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0" w:lineRule="exact"/>
        <w:rPr>
          <w:sz w:val="24"/>
          <w:szCs w:val="24"/>
          <w:color w:val="auto"/>
        </w:rPr>
      </w:pPr>
    </w:p>
    <w:p>
      <w:pPr>
        <w:ind w:left="340" w:right="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-224790</wp:posOffset>
            </wp:positionV>
            <wp:extent cx="121920" cy="1219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4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-654685</wp:posOffset>
            </wp:positionV>
            <wp:extent cx="121920" cy="1219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9"/>
        </w:trPr>
        <w:tc>
          <w:tcPr>
            <w:tcW w:w="626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5241925</wp:posOffset>
            </wp:positionH>
            <wp:positionV relativeFrom="paragraph">
              <wp:posOffset>-621665</wp:posOffset>
            </wp:positionV>
            <wp:extent cx="57785" cy="6350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5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3964940</wp:posOffset>
            </wp:positionH>
            <wp:positionV relativeFrom="paragraph">
              <wp:posOffset>-621665</wp:posOffset>
            </wp:positionV>
            <wp:extent cx="57785" cy="6350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5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737870</wp:posOffset>
            </wp:positionV>
            <wp:extent cx="7047230" cy="50025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5002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00"/>
            <w:col w:w="848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Reed David John</w:t>
        </w:r>
      </w:hyperlink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2000 ST JAMES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Weatherford International plc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WFRD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2" w:right="640" w:hanging="2"/>
        <w:spacing w:after="0" w:line="255" w:lineRule="auto"/>
        <w:tabs>
          <w:tab w:leader="none" w:pos="14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22"/>
        <w:spacing w:after="0"/>
        <w:tabs>
          <w:tab w:leader="none" w:pos="208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22"/>
        <w:spacing w:after="0"/>
        <w:tabs>
          <w:tab w:leader="none" w:pos="208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2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Chief Commercial Officer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200" w:space="638"/>
            <w:col w:w="3342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26,377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26,377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10,506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72.29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15,871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60" w:type="dxa"/>
            <w:vAlign w:val="bottom"/>
            <w:gridSpan w:val="10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2021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Program</w:t>
            </w:r>
          </w:p>
        </w:tc>
        <w:tc>
          <w:tcPr>
            <w:tcW w:w="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01/02/2025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26,377</w:t>
            </w:r>
          </w:p>
        </w:tc>
        <w:tc>
          <w:tcPr>
            <w:tcW w:w="7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26,377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Performance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Shares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Share Units</w:t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 w:right="140" w:firstLine="1"/>
        <w:spacing w:after="0" w:line="239" w:lineRule="auto"/>
        <w:tabs>
          <w:tab w:leader="none" w:pos="168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vesting of (i) 21,377 performance share units ("PSUs") granted on November 1, 2021 and (ii) 5,000 PSUs granted on June 30, 2022, under the 2021 Weatherford Accelerating Growth &amp; Efficiency ("WAGE") Program under the Issuer's 2019 Equity Incentive Plan, as amended (the "Plan"). The awards vested at 100% based on achievement of performance metrics during the three-year performance period which ended on December 31, 2024.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Transaction was a withholding of a portion of vested PSUs to satisfy the reporting person's tax obligations upon vesting, pursuant to the Plan, and the relevant award agreement.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Kathy Medford by Power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01/03/2025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18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18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1"/>
        <w:spacing w:after="0" w:line="334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2008318" TargetMode="External"/><Relationship Id="rId14" Type="http://schemas.openxmlformats.org/officeDocument/2006/relationships/hyperlink" Target="http://www.sec.gov/cgi-bin/browse-edgar?action=getcompany&amp;CIK=00016039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2025-01-03T15:43:22Z</dcterms:created>
  <dcterms:modified xsi:type="dcterms:W3CDTF">2025-01-03T15:43:22Z</dcterms:modified>
</cp:coreProperties>
</file>