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506095</wp:posOffset>
            </wp:positionH>
            <wp:positionV relativeFrom="page">
              <wp:posOffset>719455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May 26, 2021</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Weatherford International plc</w:t>
      </w:r>
    </w:p>
    <w:p>
      <w:pPr>
        <w:spacing w:after="0" w:line="57"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6820" w:type="dxa"/>
            <w:vAlign w:val="bottom"/>
            <w:gridSpan w:val="2"/>
          </w:tcPr>
          <w:p>
            <w:pPr>
              <w:jc w:val="center"/>
              <w:ind w:left="2411"/>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5"/>
        </w:trPr>
        <w:tc>
          <w:tcPr>
            <w:tcW w:w="8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Ireland</w:t>
            </w:r>
          </w:p>
        </w:tc>
        <w:tc>
          <w:tcPr>
            <w:tcW w:w="3360" w:type="dxa"/>
            <w:vAlign w:val="bottom"/>
            <w:tcBorders>
              <w:bottom w:val="single" w:sz="8" w:color="auto"/>
            </w:tcBorders>
          </w:tcPr>
          <w:p>
            <w:pPr>
              <w:jc w:val="center"/>
              <w:ind w:right="891"/>
              <w:spacing w:after="0"/>
              <w:rPr>
                <w:sz w:val="20"/>
                <w:szCs w:val="20"/>
                <w:color w:val="auto"/>
              </w:rPr>
            </w:pPr>
            <w:r>
              <w:rPr>
                <w:rFonts w:ascii="Arial" w:cs="Arial" w:eastAsia="Arial" w:hAnsi="Arial"/>
                <w:sz w:val="18"/>
                <w:szCs w:val="18"/>
                <w:b w:val="1"/>
                <w:bCs w:val="1"/>
                <w:color w:val="auto"/>
                <w:w w:val="90"/>
              </w:rPr>
              <w:t>001-36504</w:t>
            </w:r>
          </w:p>
        </w:tc>
        <w:tc>
          <w:tcPr>
            <w:tcW w:w="250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3"/>
        </w:trPr>
        <w:tc>
          <w:tcPr>
            <w:tcW w:w="4260" w:type="dxa"/>
            <w:vAlign w:val="bottom"/>
            <w:gridSpan w:val="2"/>
          </w:tcPr>
          <w:p>
            <w:pPr>
              <w:ind w:left="240"/>
              <w:spacing w:after="0"/>
              <w:rPr>
                <w:sz w:val="20"/>
                <w:szCs w:val="20"/>
                <w:color w:val="auto"/>
              </w:rPr>
            </w:pPr>
            <w:r>
              <w:rPr>
                <w:rFonts w:ascii="Arial" w:cs="Arial" w:eastAsia="Arial" w:hAnsi="Arial"/>
                <w:sz w:val="18"/>
                <w:szCs w:val="18"/>
                <w:color w:val="auto"/>
              </w:rPr>
              <w:t>(State or other jurisdiction of incorporation)</w:t>
            </w:r>
          </w:p>
        </w:tc>
        <w:tc>
          <w:tcPr>
            <w:tcW w:w="3360" w:type="dxa"/>
            <w:vAlign w:val="bottom"/>
          </w:tcPr>
          <w:p>
            <w:pPr>
              <w:jc w:val="center"/>
              <w:ind w:right="891"/>
              <w:spacing w:after="0"/>
              <w:rPr>
                <w:sz w:val="20"/>
                <w:szCs w:val="20"/>
                <w:color w:val="auto"/>
              </w:rPr>
            </w:pPr>
            <w:r>
              <w:rPr>
                <w:rFonts w:ascii="Arial" w:cs="Arial" w:eastAsia="Arial" w:hAnsi="Arial"/>
                <w:sz w:val="18"/>
                <w:szCs w:val="18"/>
                <w:color w:val="auto"/>
                <w:w w:val="92"/>
              </w:rPr>
              <w:t>(Commission File Number)</w:t>
            </w:r>
          </w:p>
        </w:tc>
        <w:tc>
          <w:tcPr>
            <w:tcW w:w="33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(I.R.S. Employer Identification No.)</w:t>
            </w:r>
          </w:p>
        </w:tc>
      </w:tr>
      <w:tr>
        <w:trPr>
          <w:trHeight w:val="334"/>
        </w:trPr>
        <w:tc>
          <w:tcPr>
            <w:tcW w:w="800" w:type="dxa"/>
            <w:vAlign w:val="bottom"/>
          </w:tcPr>
          <w:p>
            <w:pPr>
              <w:spacing w:after="0"/>
              <w:rPr>
                <w:sz w:val="24"/>
                <w:szCs w:val="24"/>
                <w:color w:val="auto"/>
              </w:rPr>
            </w:pPr>
          </w:p>
        </w:tc>
        <w:tc>
          <w:tcPr>
            <w:tcW w:w="346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w w:val="97"/>
              </w:rPr>
              <w:t>2000 St. James Place ,  Houston,</w:t>
            </w:r>
          </w:p>
        </w:tc>
        <w:tc>
          <w:tcPr>
            <w:tcW w:w="33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Texas</w:t>
            </w:r>
          </w:p>
        </w:tc>
        <w:tc>
          <w:tcPr>
            <w:tcW w:w="2500" w:type="dxa"/>
            <w:vAlign w:val="bottom"/>
            <w:tcBorders>
              <w:bottom w:val="single" w:sz="8" w:color="auto"/>
            </w:tcBorders>
          </w:tcPr>
          <w:p>
            <w:pPr>
              <w:jc w:val="right"/>
              <w:ind w:right="631"/>
              <w:spacing w:after="0"/>
              <w:rPr>
                <w:sz w:val="20"/>
                <w:szCs w:val="20"/>
                <w:color w:val="auto"/>
              </w:rPr>
            </w:pPr>
            <w:r>
              <w:rPr>
                <w:rFonts w:ascii="Arial" w:cs="Arial" w:eastAsia="Arial" w:hAnsi="Arial"/>
                <w:sz w:val="18"/>
                <w:szCs w:val="18"/>
                <w:b w:val="1"/>
                <w:bCs w:val="1"/>
                <w:color w:val="auto"/>
              </w:rPr>
              <w:t>77056</w:t>
            </w:r>
          </w:p>
        </w:tc>
        <w:tc>
          <w:tcPr>
            <w:tcW w:w="820" w:type="dxa"/>
            <w:vAlign w:val="bottom"/>
          </w:tcPr>
          <w:p>
            <w:pPr>
              <w:spacing w:after="0"/>
              <w:rPr>
                <w:sz w:val="24"/>
                <w:szCs w:val="24"/>
                <w:color w:val="auto"/>
              </w:rPr>
            </w:pPr>
          </w:p>
        </w:tc>
      </w:tr>
      <w:tr>
        <w:trPr>
          <w:trHeight w:val="223"/>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500" w:type="dxa"/>
            <w:vAlign w:val="bottom"/>
          </w:tcPr>
          <w:p>
            <w:pPr>
              <w:jc w:val="center"/>
              <w:ind w:left="511"/>
              <w:spacing w:after="0"/>
              <w:rPr>
                <w:sz w:val="20"/>
                <w:szCs w:val="20"/>
                <w:color w:val="auto"/>
              </w:rPr>
            </w:pPr>
            <w:r>
              <w:rPr>
                <w:rFonts w:ascii="Arial" w:cs="Arial" w:eastAsia="Arial" w:hAnsi="Arial"/>
                <w:sz w:val="18"/>
                <w:szCs w:val="18"/>
                <w:color w:val="auto"/>
                <w:w w:val="91"/>
              </w:rPr>
              <w:t>(Zip Code)</w:t>
            </w:r>
          </w:p>
        </w:tc>
        <w:tc>
          <w:tcPr>
            <w:tcW w:w="820" w:type="dxa"/>
            <w:vAlign w:val="bottom"/>
          </w:tcPr>
          <w:p>
            <w:pPr>
              <w:spacing w:after="0"/>
              <w:rPr>
                <w:sz w:val="19"/>
                <w:szCs w:val="19"/>
                <w:color w:val="auto"/>
              </w:rPr>
            </w:pPr>
          </w:p>
        </w:tc>
      </w:tr>
    </w:tbl>
    <w:p>
      <w:pPr>
        <w:spacing w:after="0" w:line="74"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713.836.4000</w:t>
      </w:r>
    </w:p>
    <w:p>
      <w:pPr>
        <w:spacing w:after="0" w:line="142" w:lineRule="exact"/>
        <w:rPr>
          <w:sz w:val="24"/>
          <w:szCs w:val="24"/>
          <w:color w:val="auto"/>
        </w:rPr>
      </w:pPr>
    </w:p>
    <w:p>
      <w:pPr>
        <w:ind w:left="54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464820</wp:posOffset>
            </wp:positionH>
            <wp:positionV relativeFrom="paragraph">
              <wp:posOffset>16510</wp:posOffset>
            </wp:positionV>
            <wp:extent cx="6195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5695" cy="8255"/>
                    </a:xfrm>
                    <a:prstGeom prst="rect">
                      <a:avLst/>
                    </a:prstGeom>
                    <a:noFill/>
                  </pic:spPr>
                </pic:pic>
              </a:graphicData>
            </a:graphic>
          </wp:anchor>
        </w:drawing>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88" w:lineRule="exact"/>
        <w:rPr>
          <w:sz w:val="24"/>
          <w:szCs w:val="24"/>
          <w:color w:val="auto"/>
        </w:rPr>
      </w:pPr>
    </w:p>
    <w:p>
      <w:pPr>
        <w:spacing w:after="0" w:line="27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2"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21"/>
          <w:szCs w:val="21"/>
          <w:color w:val="auto"/>
        </w:rPr>
      </w:pPr>
    </w:p>
    <w:p>
      <w:pPr>
        <w:ind w:left="240" w:hanging="233"/>
        <w:spacing w:after="0"/>
        <w:tabs>
          <w:tab w:leader="none" w:pos="240" w:val="left"/>
        </w:tabs>
        <w:numPr>
          <w:ilvl w:val="0"/>
          <w:numId w:val="1"/>
        </w:numPr>
        <w:rPr>
          <w:rFonts w:ascii="MS PGothic" w:cs="MS PGothic" w:eastAsia="MS PGothic" w:hAnsi="MS PGothic"/>
          <w:sz w:val="21"/>
          <w:szCs w:val="21"/>
          <w:color w:val="auto"/>
        </w:rPr>
      </w:pPr>
      <w:r>
        <w:rPr>
          <w:rFonts w:ascii="Arial" w:cs="Arial" w:eastAsia="Arial" w:hAnsi="Arial"/>
          <w:sz w:val="18"/>
          <w:szCs w:val="18"/>
          <w:color w:val="auto"/>
        </w:rPr>
        <w:t>Pre-commencement communications pursuant to Rule 13e-4(c) under the Exchange Act (17 CFR 240.13e-4(c))</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3" w:lineRule="exact"/>
        <w:rPr>
          <w:sz w:val="24"/>
          <w:szCs w:val="24"/>
          <w:color w:val="auto"/>
        </w:rPr>
      </w:pPr>
    </w:p>
    <w:tbl>
      <w:tblPr>
        <w:tblLayout w:type="fixed"/>
        <w:tblInd w:w="90" w:type="dxa"/>
        <w:tblCellMar>
          <w:top w:w="0" w:type="dxa"/>
          <w:left w:w="0" w:type="dxa"/>
          <w:bottom w:w="0" w:type="dxa"/>
          <w:right w:w="0" w:type="dxa"/>
        </w:tblCellMar>
      </w:tblPr>
      <w:tr>
        <w:trPr>
          <w:trHeight w:val="242"/>
        </w:trPr>
        <w:tc>
          <w:tcPr>
            <w:tcW w:w="4160" w:type="dxa"/>
            <w:vAlign w:val="bottom"/>
            <w:tcBorders>
              <w:top w:val="single" w:sz="8" w:color="auto"/>
              <w:left w:val="single" w:sz="8" w:color="auto"/>
              <w:bottom w:val="single" w:sz="8" w:color="auto"/>
              <w:right w:val="single" w:sz="8" w:color="auto"/>
            </w:tcBorders>
          </w:tcPr>
          <w:p>
            <w:pPr>
              <w:ind w:left="1420"/>
              <w:spacing w:after="0"/>
              <w:rPr>
                <w:sz w:val="20"/>
                <w:szCs w:val="20"/>
                <w:color w:val="auto"/>
              </w:rPr>
            </w:pPr>
            <w:r>
              <w:rPr>
                <w:rFonts w:ascii="Arial" w:cs="Arial" w:eastAsia="Arial" w:hAnsi="Arial"/>
                <w:sz w:val="18"/>
                <w:szCs w:val="18"/>
                <w:color w:val="auto"/>
              </w:rPr>
              <w:t>Title of each class</w:t>
            </w:r>
          </w:p>
        </w:tc>
        <w:tc>
          <w:tcPr>
            <w:tcW w:w="236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Trading Symbol(s)</w:t>
            </w:r>
          </w:p>
        </w:tc>
        <w:tc>
          <w:tcPr>
            <w:tcW w:w="460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Name of each exchange on which registered</w:t>
            </w:r>
          </w:p>
        </w:tc>
      </w:tr>
      <w:tr>
        <w:trPr>
          <w:trHeight w:val="248"/>
        </w:trPr>
        <w:tc>
          <w:tcPr>
            <w:tcW w:w="416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4600" w:type="dxa"/>
            <w:vAlign w:val="bottom"/>
            <w:tcBorders>
              <w:bottom w:val="single" w:sz="8" w:color="auto"/>
              <w:right w:val="single" w:sz="8" w:color="auto"/>
            </w:tcBorders>
          </w:tcPr>
          <w:p>
            <w:pPr>
              <w:spacing w:after="0"/>
              <w:rPr>
                <w:sz w:val="21"/>
                <w:szCs w:val="21"/>
                <w:color w:val="auto"/>
              </w:rPr>
            </w:pPr>
          </w:p>
        </w:tc>
      </w:tr>
    </w:tbl>
    <w:p>
      <w:pPr>
        <w:spacing w:after="0" w:line="80" w:lineRule="exact"/>
        <w:rPr>
          <w:sz w:val="24"/>
          <w:szCs w:val="24"/>
          <w:color w:val="auto"/>
        </w:rPr>
      </w:pPr>
    </w:p>
    <w:p>
      <w:pPr>
        <w:ind w:right="560"/>
        <w:spacing w:after="0" w:line="25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4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15" w:lineRule="exact"/>
        <w:rPr>
          <w:sz w:val="24"/>
          <w:szCs w:val="24"/>
          <w:color w:val="auto"/>
        </w:rPr>
      </w:pPr>
    </w:p>
    <w:p>
      <w:pPr>
        <w:ind w:right="2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861695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2" w:right="359" w:bottom="1440" w:gutter="0" w:footer="0" w:header="0"/>
        </w:sectPr>
      </w:pPr>
    </w:p>
    <w:bookmarkStart w:id="1" w:name="page2"/>
    <w:bookmarkEnd w:id="1"/>
    <w:p>
      <w:pPr>
        <w:ind w:left="20"/>
        <w:spacing w:after="0"/>
        <w:tabs>
          <w:tab w:leader="none" w:pos="16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36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2021 Annual General Meeting of Shareholders (the “Annual Meeting”) of Weatherford International plc (the “Company”) was held on May 26,</w:t>
      </w:r>
    </w:p>
    <w:p>
      <w:pPr>
        <w:spacing w:after="0" w:line="71" w:lineRule="exact"/>
        <w:rPr>
          <w:sz w:val="20"/>
          <w:szCs w:val="20"/>
          <w:color w:val="auto"/>
        </w:rPr>
      </w:pPr>
    </w:p>
    <w:p>
      <w:pPr>
        <w:ind w:right="740"/>
        <w:spacing w:after="0" w:line="274" w:lineRule="auto"/>
        <w:rPr>
          <w:sz w:val="20"/>
          <w:szCs w:val="20"/>
          <w:color w:val="auto"/>
        </w:rPr>
      </w:pPr>
      <w:r>
        <w:rPr>
          <w:rFonts w:ascii="Arial" w:cs="Arial" w:eastAsia="Arial" w:hAnsi="Arial"/>
          <w:sz w:val="18"/>
          <w:szCs w:val="18"/>
          <w:color w:val="auto"/>
        </w:rPr>
        <w:t>2021. At the Annual Meeting 58,117,594 ordinary shares, nominal value $0.001 per share, or approximately 82.88%, of the 70,120,153 issued and outstanding ordinary shares entitled to vote at the Annual Meeting were present in person or by proxies.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Set forth below are the results of the matters voted upon by the shareholders at Annual Meeting.</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Agenda Item</w:t>
            </w:r>
          </w:p>
        </w:tc>
        <w:tc>
          <w:tcPr>
            <w:tcW w:w="1440" w:type="dxa"/>
            <w:vAlign w:val="bottom"/>
          </w:tcPr>
          <w:p>
            <w:pPr>
              <w:jc w:val="center"/>
              <w:ind w:right="31"/>
              <w:spacing w:after="0"/>
              <w:rPr>
                <w:sz w:val="20"/>
                <w:szCs w:val="20"/>
                <w:color w:val="auto"/>
              </w:rPr>
            </w:pPr>
            <w:r>
              <w:rPr>
                <w:rFonts w:ascii="Arial" w:cs="Arial" w:eastAsia="Arial" w:hAnsi="Arial"/>
                <w:sz w:val="18"/>
                <w:szCs w:val="18"/>
                <w:color w:val="auto"/>
                <w:w w:val="87"/>
              </w:rPr>
              <w:t>Votes For</w:t>
            </w:r>
          </w:p>
        </w:tc>
        <w:tc>
          <w:tcPr>
            <w:tcW w:w="1640" w:type="dxa"/>
            <w:vAlign w:val="bottom"/>
          </w:tcPr>
          <w:p>
            <w:pPr>
              <w:jc w:val="center"/>
              <w:ind w:left="31"/>
              <w:spacing w:after="0"/>
              <w:rPr>
                <w:sz w:val="20"/>
                <w:szCs w:val="20"/>
                <w:color w:val="auto"/>
              </w:rPr>
            </w:pPr>
            <w:r>
              <w:rPr>
                <w:rFonts w:ascii="Arial" w:cs="Arial" w:eastAsia="Arial" w:hAnsi="Arial"/>
                <w:sz w:val="18"/>
                <w:szCs w:val="18"/>
                <w:color w:val="auto"/>
                <w:w w:val="89"/>
              </w:rPr>
              <w:t>Votes Against</w:t>
            </w:r>
          </w:p>
        </w:tc>
        <w:tc>
          <w:tcPr>
            <w:tcW w:w="1700" w:type="dxa"/>
            <w:vAlign w:val="bottom"/>
          </w:tcPr>
          <w:p>
            <w:pPr>
              <w:ind w:left="280"/>
              <w:spacing w:after="0"/>
              <w:rPr>
                <w:sz w:val="20"/>
                <w:szCs w:val="20"/>
                <w:color w:val="auto"/>
              </w:rPr>
            </w:pPr>
            <w:r>
              <w:rPr>
                <w:rFonts w:ascii="Arial" w:cs="Arial" w:eastAsia="Arial" w:hAnsi="Arial"/>
                <w:sz w:val="18"/>
                <w:szCs w:val="18"/>
                <w:color w:val="auto"/>
              </w:rPr>
              <w:t>Votes Abstaining</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Broker Non-Votes</w:t>
            </w:r>
          </w:p>
        </w:tc>
      </w:tr>
      <w:tr>
        <w:trPr>
          <w:trHeight w:val="228"/>
        </w:trPr>
        <w:tc>
          <w:tcPr>
            <w:tcW w:w="740" w:type="dxa"/>
            <w:vAlign w:val="bottom"/>
          </w:tcPr>
          <w:p>
            <w:pPr>
              <w:ind w:left="20"/>
              <w:spacing w:after="0"/>
              <w:rPr>
                <w:sz w:val="20"/>
                <w:szCs w:val="20"/>
                <w:color w:val="auto"/>
              </w:rPr>
            </w:pPr>
            <w:r>
              <w:rPr>
                <w:rFonts w:ascii="Arial" w:cs="Arial" w:eastAsia="Arial" w:hAnsi="Arial"/>
                <w:sz w:val="18"/>
                <w:szCs w:val="18"/>
                <w:color w:val="auto"/>
              </w:rPr>
              <w:t>Item 1.</w:t>
            </w:r>
          </w:p>
        </w:tc>
        <w:tc>
          <w:tcPr>
            <w:tcW w:w="4060" w:type="dxa"/>
            <w:vAlign w:val="bottom"/>
          </w:tcPr>
          <w:p>
            <w:pPr>
              <w:ind w:left="200"/>
              <w:spacing w:after="0"/>
              <w:rPr>
                <w:sz w:val="20"/>
                <w:szCs w:val="20"/>
                <w:color w:val="auto"/>
              </w:rPr>
            </w:pPr>
            <w:r>
              <w:rPr>
                <w:rFonts w:ascii="Arial" w:cs="Arial" w:eastAsia="Arial" w:hAnsi="Arial"/>
                <w:sz w:val="18"/>
                <w:szCs w:val="18"/>
                <w:color w:val="auto"/>
              </w:rPr>
              <w:t>Election of the following directors:</w:t>
            </w: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8"/>
        </w:trPr>
        <w:tc>
          <w:tcPr>
            <w:tcW w:w="74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Benjamin C. Duster IV</w:t>
            </w:r>
          </w:p>
        </w:tc>
        <w:tc>
          <w:tcPr>
            <w:tcW w:w="1440" w:type="dxa"/>
            <w:vAlign w:val="bottom"/>
          </w:tcPr>
          <w:p>
            <w:pPr>
              <w:jc w:val="center"/>
              <w:ind w:right="31"/>
              <w:spacing w:after="0"/>
              <w:rPr>
                <w:sz w:val="20"/>
                <w:szCs w:val="20"/>
                <w:color w:val="auto"/>
              </w:rPr>
            </w:pPr>
            <w:r>
              <w:rPr>
                <w:rFonts w:ascii="Arial" w:cs="Arial" w:eastAsia="Arial" w:hAnsi="Arial"/>
                <w:sz w:val="18"/>
                <w:szCs w:val="18"/>
                <w:color w:val="auto"/>
                <w:w w:val="88"/>
              </w:rPr>
              <w:t>57,940,678</w:t>
            </w:r>
          </w:p>
        </w:tc>
        <w:tc>
          <w:tcPr>
            <w:tcW w:w="1640" w:type="dxa"/>
            <w:vAlign w:val="bottom"/>
          </w:tcPr>
          <w:p>
            <w:pPr>
              <w:jc w:val="center"/>
              <w:ind w:left="11"/>
              <w:spacing w:after="0"/>
              <w:rPr>
                <w:sz w:val="20"/>
                <w:szCs w:val="20"/>
                <w:color w:val="auto"/>
              </w:rPr>
            </w:pPr>
            <w:r>
              <w:rPr>
                <w:rFonts w:ascii="Arial" w:cs="Arial" w:eastAsia="Arial" w:hAnsi="Arial"/>
                <w:sz w:val="18"/>
                <w:szCs w:val="18"/>
                <w:color w:val="auto"/>
                <w:w w:val="89"/>
              </w:rPr>
              <w:t>168,565</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8,351</w:t>
            </w:r>
          </w:p>
        </w:tc>
        <w:tc>
          <w:tcPr>
            <w:tcW w:w="1660" w:type="dxa"/>
            <w:vAlign w:val="bottom"/>
          </w:tcPr>
          <w:p>
            <w:pPr>
              <w:jc w:val="center"/>
              <w:spacing w:after="0"/>
              <w:rPr>
                <w:sz w:val="20"/>
                <w:szCs w:val="20"/>
                <w:color w:val="auto"/>
              </w:rPr>
            </w:pPr>
            <w:r>
              <w:rPr>
                <w:rFonts w:ascii="Arial" w:cs="Arial" w:eastAsia="Arial" w:hAnsi="Arial"/>
                <w:sz w:val="18"/>
                <w:szCs w:val="18"/>
                <w:color w:val="auto"/>
                <w:w w:val="79"/>
              </w:rPr>
              <w:t>–</w:t>
            </w:r>
          </w:p>
        </w:tc>
      </w:tr>
      <w:tr>
        <w:trPr>
          <w:trHeight w:val="228"/>
        </w:trPr>
        <w:tc>
          <w:tcPr>
            <w:tcW w:w="74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Neal P. Goldman</w:t>
            </w:r>
          </w:p>
        </w:tc>
        <w:tc>
          <w:tcPr>
            <w:tcW w:w="1440" w:type="dxa"/>
            <w:vAlign w:val="bottom"/>
          </w:tcPr>
          <w:p>
            <w:pPr>
              <w:jc w:val="center"/>
              <w:ind w:right="31"/>
              <w:spacing w:after="0"/>
              <w:rPr>
                <w:sz w:val="20"/>
                <w:szCs w:val="20"/>
                <w:color w:val="auto"/>
              </w:rPr>
            </w:pPr>
            <w:r>
              <w:rPr>
                <w:rFonts w:ascii="Arial" w:cs="Arial" w:eastAsia="Arial" w:hAnsi="Arial"/>
                <w:sz w:val="18"/>
                <w:szCs w:val="18"/>
                <w:color w:val="auto"/>
                <w:w w:val="88"/>
              </w:rPr>
              <w:t>57,937,900</w:t>
            </w:r>
          </w:p>
        </w:tc>
        <w:tc>
          <w:tcPr>
            <w:tcW w:w="1640" w:type="dxa"/>
            <w:vAlign w:val="bottom"/>
          </w:tcPr>
          <w:p>
            <w:pPr>
              <w:jc w:val="center"/>
              <w:ind w:left="11"/>
              <w:spacing w:after="0"/>
              <w:rPr>
                <w:sz w:val="20"/>
                <w:szCs w:val="20"/>
                <w:color w:val="auto"/>
              </w:rPr>
            </w:pPr>
            <w:r>
              <w:rPr>
                <w:rFonts w:ascii="Arial" w:cs="Arial" w:eastAsia="Arial" w:hAnsi="Arial"/>
                <w:sz w:val="18"/>
                <w:szCs w:val="18"/>
                <w:color w:val="auto"/>
                <w:w w:val="89"/>
              </w:rPr>
              <w:t>171,369</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8,325</w:t>
            </w:r>
          </w:p>
        </w:tc>
        <w:tc>
          <w:tcPr>
            <w:tcW w:w="1660" w:type="dxa"/>
            <w:vAlign w:val="bottom"/>
          </w:tcPr>
          <w:p>
            <w:pPr>
              <w:jc w:val="center"/>
              <w:spacing w:after="0"/>
              <w:rPr>
                <w:sz w:val="20"/>
                <w:szCs w:val="20"/>
                <w:color w:val="auto"/>
              </w:rPr>
            </w:pPr>
            <w:r>
              <w:rPr>
                <w:rFonts w:ascii="Arial" w:cs="Arial" w:eastAsia="Arial" w:hAnsi="Arial"/>
                <w:sz w:val="18"/>
                <w:szCs w:val="18"/>
                <w:color w:val="auto"/>
                <w:w w:val="79"/>
              </w:rPr>
              <w:t>–</w:t>
            </w:r>
          </w:p>
        </w:tc>
      </w:tr>
      <w:tr>
        <w:trPr>
          <w:trHeight w:val="228"/>
        </w:trPr>
        <w:tc>
          <w:tcPr>
            <w:tcW w:w="74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Jacqueline C. Mutschler</w:t>
            </w:r>
          </w:p>
        </w:tc>
        <w:tc>
          <w:tcPr>
            <w:tcW w:w="1440" w:type="dxa"/>
            <w:vAlign w:val="bottom"/>
          </w:tcPr>
          <w:p>
            <w:pPr>
              <w:jc w:val="center"/>
              <w:ind w:right="31"/>
              <w:spacing w:after="0"/>
              <w:rPr>
                <w:sz w:val="20"/>
                <w:szCs w:val="20"/>
                <w:color w:val="auto"/>
              </w:rPr>
            </w:pPr>
            <w:r>
              <w:rPr>
                <w:rFonts w:ascii="Arial" w:cs="Arial" w:eastAsia="Arial" w:hAnsi="Arial"/>
                <w:sz w:val="18"/>
                <w:szCs w:val="18"/>
                <w:color w:val="auto"/>
                <w:w w:val="88"/>
              </w:rPr>
              <w:t>57,939,327</w:t>
            </w:r>
          </w:p>
        </w:tc>
        <w:tc>
          <w:tcPr>
            <w:tcW w:w="1640" w:type="dxa"/>
            <w:vAlign w:val="bottom"/>
          </w:tcPr>
          <w:p>
            <w:pPr>
              <w:jc w:val="center"/>
              <w:ind w:left="11"/>
              <w:spacing w:after="0"/>
              <w:rPr>
                <w:sz w:val="20"/>
                <w:szCs w:val="20"/>
                <w:color w:val="auto"/>
              </w:rPr>
            </w:pPr>
            <w:r>
              <w:rPr>
                <w:rFonts w:ascii="Arial" w:cs="Arial" w:eastAsia="Arial" w:hAnsi="Arial"/>
                <w:sz w:val="18"/>
                <w:szCs w:val="18"/>
                <w:color w:val="auto"/>
                <w:w w:val="89"/>
              </w:rPr>
              <w:t>169,931</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8,336</w:t>
            </w:r>
          </w:p>
        </w:tc>
        <w:tc>
          <w:tcPr>
            <w:tcW w:w="1660" w:type="dxa"/>
            <w:vAlign w:val="bottom"/>
          </w:tcPr>
          <w:p>
            <w:pPr>
              <w:jc w:val="center"/>
              <w:spacing w:after="0"/>
              <w:rPr>
                <w:sz w:val="20"/>
                <w:szCs w:val="20"/>
                <w:color w:val="auto"/>
              </w:rPr>
            </w:pPr>
            <w:r>
              <w:rPr>
                <w:rFonts w:ascii="Arial" w:cs="Arial" w:eastAsia="Arial" w:hAnsi="Arial"/>
                <w:sz w:val="18"/>
                <w:szCs w:val="18"/>
                <w:color w:val="auto"/>
                <w:w w:val="79"/>
              </w:rPr>
              <w:t>–</w:t>
            </w:r>
          </w:p>
        </w:tc>
      </w:tr>
      <w:tr>
        <w:trPr>
          <w:trHeight w:val="228"/>
        </w:trPr>
        <w:tc>
          <w:tcPr>
            <w:tcW w:w="74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Girishchandra K. Saligram</w:t>
            </w:r>
          </w:p>
        </w:tc>
        <w:tc>
          <w:tcPr>
            <w:tcW w:w="1440" w:type="dxa"/>
            <w:vAlign w:val="bottom"/>
          </w:tcPr>
          <w:p>
            <w:pPr>
              <w:jc w:val="center"/>
              <w:ind w:right="31"/>
              <w:spacing w:after="0"/>
              <w:rPr>
                <w:sz w:val="20"/>
                <w:szCs w:val="20"/>
                <w:color w:val="auto"/>
              </w:rPr>
            </w:pPr>
            <w:r>
              <w:rPr>
                <w:rFonts w:ascii="Arial" w:cs="Arial" w:eastAsia="Arial" w:hAnsi="Arial"/>
                <w:sz w:val="18"/>
                <w:szCs w:val="18"/>
                <w:color w:val="auto"/>
                <w:w w:val="88"/>
              </w:rPr>
              <w:t>57,936,072</w:t>
            </w:r>
          </w:p>
        </w:tc>
        <w:tc>
          <w:tcPr>
            <w:tcW w:w="1640" w:type="dxa"/>
            <w:vAlign w:val="bottom"/>
          </w:tcPr>
          <w:p>
            <w:pPr>
              <w:jc w:val="center"/>
              <w:ind w:left="11"/>
              <w:spacing w:after="0"/>
              <w:rPr>
                <w:sz w:val="20"/>
                <w:szCs w:val="20"/>
                <w:color w:val="auto"/>
              </w:rPr>
            </w:pPr>
            <w:r>
              <w:rPr>
                <w:rFonts w:ascii="Arial" w:cs="Arial" w:eastAsia="Arial" w:hAnsi="Arial"/>
                <w:sz w:val="18"/>
                <w:szCs w:val="18"/>
                <w:color w:val="auto"/>
                <w:w w:val="89"/>
              </w:rPr>
              <w:t>170,642</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10,880</w:t>
            </w:r>
          </w:p>
        </w:tc>
        <w:tc>
          <w:tcPr>
            <w:tcW w:w="1660" w:type="dxa"/>
            <w:vAlign w:val="bottom"/>
          </w:tcPr>
          <w:p>
            <w:pPr>
              <w:jc w:val="center"/>
              <w:spacing w:after="0"/>
              <w:rPr>
                <w:sz w:val="20"/>
                <w:szCs w:val="20"/>
                <w:color w:val="auto"/>
              </w:rPr>
            </w:pPr>
            <w:r>
              <w:rPr>
                <w:rFonts w:ascii="Arial" w:cs="Arial" w:eastAsia="Arial" w:hAnsi="Arial"/>
                <w:sz w:val="18"/>
                <w:szCs w:val="18"/>
                <w:color w:val="auto"/>
                <w:w w:val="79"/>
              </w:rPr>
              <w:t>–</w:t>
            </w:r>
          </w:p>
        </w:tc>
      </w:tr>
      <w:tr>
        <w:trPr>
          <w:trHeight w:val="229"/>
        </w:trPr>
        <w:tc>
          <w:tcPr>
            <w:tcW w:w="74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Charles M. Sledge</w:t>
            </w:r>
          </w:p>
        </w:tc>
        <w:tc>
          <w:tcPr>
            <w:tcW w:w="1440" w:type="dxa"/>
            <w:vAlign w:val="bottom"/>
          </w:tcPr>
          <w:p>
            <w:pPr>
              <w:jc w:val="center"/>
              <w:ind w:right="31"/>
              <w:spacing w:after="0"/>
              <w:rPr>
                <w:sz w:val="20"/>
                <w:szCs w:val="20"/>
                <w:color w:val="auto"/>
              </w:rPr>
            </w:pPr>
            <w:r>
              <w:rPr>
                <w:rFonts w:ascii="Arial" w:cs="Arial" w:eastAsia="Arial" w:hAnsi="Arial"/>
                <w:sz w:val="18"/>
                <w:szCs w:val="18"/>
                <w:color w:val="auto"/>
                <w:w w:val="88"/>
              </w:rPr>
              <w:t>57,764,771</w:t>
            </w:r>
          </w:p>
        </w:tc>
        <w:tc>
          <w:tcPr>
            <w:tcW w:w="1640" w:type="dxa"/>
            <w:vAlign w:val="bottom"/>
          </w:tcPr>
          <w:p>
            <w:pPr>
              <w:jc w:val="center"/>
              <w:ind w:left="11"/>
              <w:spacing w:after="0"/>
              <w:rPr>
                <w:sz w:val="20"/>
                <w:szCs w:val="20"/>
                <w:color w:val="auto"/>
              </w:rPr>
            </w:pPr>
            <w:r>
              <w:rPr>
                <w:rFonts w:ascii="Arial" w:cs="Arial" w:eastAsia="Arial" w:hAnsi="Arial"/>
                <w:sz w:val="18"/>
                <w:szCs w:val="18"/>
                <w:color w:val="auto"/>
                <w:w w:val="89"/>
              </w:rPr>
              <w:t>344,508</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8,315</w:t>
            </w:r>
          </w:p>
        </w:tc>
        <w:tc>
          <w:tcPr>
            <w:tcW w:w="1660" w:type="dxa"/>
            <w:vAlign w:val="bottom"/>
          </w:tcPr>
          <w:p>
            <w:pPr>
              <w:jc w:val="center"/>
              <w:spacing w:after="0"/>
              <w:rPr>
                <w:sz w:val="20"/>
                <w:szCs w:val="20"/>
                <w:color w:val="auto"/>
              </w:rPr>
            </w:pPr>
            <w:r>
              <w:rPr>
                <w:rFonts w:ascii="Arial" w:cs="Arial" w:eastAsia="Arial" w:hAnsi="Arial"/>
                <w:sz w:val="18"/>
                <w:szCs w:val="18"/>
                <w:color w:val="auto"/>
                <w:w w:val="79"/>
              </w:rPr>
              <w:t>–</w:t>
            </w:r>
          </w:p>
        </w:tc>
      </w:tr>
      <w:tr>
        <w:trPr>
          <w:trHeight w:val="495"/>
        </w:trPr>
        <w:tc>
          <w:tcPr>
            <w:tcW w:w="7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440" w:type="dxa"/>
            <w:vAlign w:val="bottom"/>
          </w:tcPr>
          <w:p>
            <w:pPr>
              <w:jc w:val="center"/>
              <w:ind w:right="31"/>
              <w:spacing w:after="0"/>
              <w:rPr>
                <w:sz w:val="20"/>
                <w:szCs w:val="20"/>
                <w:color w:val="auto"/>
              </w:rPr>
            </w:pPr>
            <w:r>
              <w:rPr>
                <w:rFonts w:ascii="Arial" w:cs="Arial" w:eastAsia="Arial" w:hAnsi="Arial"/>
                <w:sz w:val="18"/>
                <w:szCs w:val="18"/>
                <w:color w:val="auto"/>
                <w:w w:val="87"/>
              </w:rPr>
              <w:t>Votes For</w:t>
            </w:r>
          </w:p>
        </w:tc>
        <w:tc>
          <w:tcPr>
            <w:tcW w:w="1640" w:type="dxa"/>
            <w:vAlign w:val="bottom"/>
          </w:tcPr>
          <w:p>
            <w:pPr>
              <w:jc w:val="center"/>
              <w:ind w:left="31"/>
              <w:spacing w:after="0"/>
              <w:rPr>
                <w:sz w:val="20"/>
                <w:szCs w:val="20"/>
                <w:color w:val="auto"/>
              </w:rPr>
            </w:pPr>
            <w:r>
              <w:rPr>
                <w:rFonts w:ascii="Arial" w:cs="Arial" w:eastAsia="Arial" w:hAnsi="Arial"/>
                <w:sz w:val="18"/>
                <w:szCs w:val="18"/>
                <w:color w:val="auto"/>
                <w:w w:val="89"/>
              </w:rPr>
              <w:t>Votes Against</w:t>
            </w:r>
          </w:p>
        </w:tc>
        <w:tc>
          <w:tcPr>
            <w:tcW w:w="1700" w:type="dxa"/>
            <w:vAlign w:val="bottom"/>
          </w:tcPr>
          <w:p>
            <w:pPr>
              <w:ind w:left="280"/>
              <w:spacing w:after="0"/>
              <w:rPr>
                <w:sz w:val="20"/>
                <w:szCs w:val="20"/>
                <w:color w:val="auto"/>
              </w:rPr>
            </w:pPr>
            <w:r>
              <w:rPr>
                <w:rFonts w:ascii="Arial" w:cs="Arial" w:eastAsia="Arial" w:hAnsi="Arial"/>
                <w:sz w:val="18"/>
                <w:szCs w:val="18"/>
                <w:color w:val="auto"/>
              </w:rPr>
              <w:t>Votes Abstaining</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Broker Non-Votes</w:t>
            </w:r>
          </w:p>
        </w:tc>
      </w:tr>
      <w:tr>
        <w:trPr>
          <w:trHeight w:val="175"/>
        </w:trPr>
        <w:tc>
          <w:tcPr>
            <w:tcW w:w="740" w:type="dxa"/>
            <w:vAlign w:val="bottom"/>
          </w:tcPr>
          <w:p>
            <w:pPr>
              <w:ind w:left="20"/>
              <w:spacing w:after="0" w:line="176" w:lineRule="exact"/>
              <w:rPr>
                <w:sz w:val="20"/>
                <w:szCs w:val="20"/>
                <w:color w:val="auto"/>
              </w:rPr>
            </w:pPr>
            <w:r>
              <w:rPr>
                <w:rFonts w:ascii="Arial" w:cs="Arial" w:eastAsia="Arial" w:hAnsi="Arial"/>
                <w:sz w:val="18"/>
                <w:szCs w:val="18"/>
                <w:color w:val="auto"/>
              </w:rPr>
              <w:t>Item 2.</w:t>
            </w:r>
          </w:p>
        </w:tc>
        <w:tc>
          <w:tcPr>
            <w:tcW w:w="4060" w:type="dxa"/>
            <w:vAlign w:val="bottom"/>
          </w:tcPr>
          <w:p>
            <w:pPr>
              <w:ind w:left="200"/>
              <w:spacing w:after="0" w:line="176" w:lineRule="exact"/>
              <w:rPr>
                <w:sz w:val="20"/>
                <w:szCs w:val="20"/>
                <w:color w:val="auto"/>
              </w:rPr>
            </w:pPr>
            <w:r>
              <w:rPr>
                <w:rFonts w:ascii="Arial" w:cs="Arial" w:eastAsia="Arial" w:hAnsi="Arial"/>
                <w:sz w:val="18"/>
                <w:szCs w:val="18"/>
                <w:color w:val="auto"/>
              </w:rPr>
              <w:t>Ratify the appointment of KPMG LLP as the</w:t>
            </w:r>
          </w:p>
        </w:tc>
        <w:tc>
          <w:tcPr>
            <w:tcW w:w="1440" w:type="dxa"/>
            <w:vAlign w:val="bottom"/>
          </w:tcPr>
          <w:p>
            <w:pPr>
              <w:jc w:val="center"/>
              <w:ind w:right="31"/>
              <w:spacing w:after="0" w:line="176" w:lineRule="exact"/>
              <w:rPr>
                <w:sz w:val="20"/>
                <w:szCs w:val="20"/>
                <w:color w:val="auto"/>
              </w:rPr>
            </w:pPr>
            <w:r>
              <w:rPr>
                <w:rFonts w:ascii="Arial" w:cs="Arial" w:eastAsia="Arial" w:hAnsi="Arial"/>
                <w:sz w:val="18"/>
                <w:szCs w:val="18"/>
                <w:color w:val="auto"/>
                <w:w w:val="88"/>
              </w:rPr>
              <w:t>57,941,129</w:t>
            </w:r>
          </w:p>
        </w:tc>
        <w:tc>
          <w:tcPr>
            <w:tcW w:w="1640" w:type="dxa"/>
            <w:vAlign w:val="bottom"/>
          </w:tcPr>
          <w:p>
            <w:pPr>
              <w:jc w:val="center"/>
              <w:ind w:left="11"/>
              <w:spacing w:after="0" w:line="176" w:lineRule="exact"/>
              <w:rPr>
                <w:sz w:val="20"/>
                <w:szCs w:val="20"/>
                <w:color w:val="auto"/>
              </w:rPr>
            </w:pPr>
            <w:r>
              <w:rPr>
                <w:rFonts w:ascii="Arial" w:cs="Arial" w:eastAsia="Arial" w:hAnsi="Arial"/>
                <w:sz w:val="18"/>
                <w:szCs w:val="18"/>
                <w:color w:val="auto"/>
                <w:w w:val="89"/>
              </w:rPr>
              <w:t>172,359</w:t>
            </w:r>
          </w:p>
        </w:tc>
        <w:tc>
          <w:tcPr>
            <w:tcW w:w="1700" w:type="dxa"/>
            <w:vAlign w:val="bottom"/>
          </w:tcPr>
          <w:p>
            <w:pPr>
              <w:jc w:val="center"/>
              <w:spacing w:after="0" w:line="176" w:lineRule="exact"/>
              <w:rPr>
                <w:sz w:val="20"/>
                <w:szCs w:val="20"/>
                <w:color w:val="auto"/>
              </w:rPr>
            </w:pPr>
            <w:r>
              <w:rPr>
                <w:rFonts w:ascii="Arial" w:cs="Arial" w:eastAsia="Arial" w:hAnsi="Arial"/>
                <w:sz w:val="18"/>
                <w:szCs w:val="18"/>
                <w:color w:val="auto"/>
                <w:w w:val="88"/>
              </w:rPr>
              <w:t>4,106</w:t>
            </w:r>
          </w:p>
        </w:tc>
        <w:tc>
          <w:tcPr>
            <w:tcW w:w="1660" w:type="dxa"/>
            <w:vAlign w:val="bottom"/>
          </w:tcPr>
          <w:p>
            <w:pPr>
              <w:jc w:val="center"/>
              <w:spacing w:after="0" w:line="176" w:lineRule="exact"/>
              <w:rPr>
                <w:sz w:val="20"/>
                <w:szCs w:val="20"/>
                <w:color w:val="auto"/>
              </w:rPr>
            </w:pPr>
            <w:r>
              <w:rPr>
                <w:rFonts w:ascii="Arial" w:cs="Arial" w:eastAsia="Arial" w:hAnsi="Arial"/>
                <w:sz w:val="18"/>
                <w:szCs w:val="18"/>
                <w:color w:val="auto"/>
                <w:w w:val="79"/>
              </w:rPr>
              <w:t>–</w:t>
            </w:r>
          </w:p>
        </w:tc>
      </w:tr>
      <w:tr>
        <w:trPr>
          <w:trHeight w:val="174"/>
        </w:trPr>
        <w:tc>
          <w:tcPr>
            <w:tcW w:w="740" w:type="dxa"/>
            <w:vAlign w:val="bottom"/>
          </w:tcPr>
          <w:p>
            <w:pPr>
              <w:spacing w:after="0"/>
              <w:rPr>
                <w:sz w:val="15"/>
                <w:szCs w:val="15"/>
                <w:color w:val="auto"/>
              </w:rPr>
            </w:pPr>
          </w:p>
        </w:tc>
        <w:tc>
          <w:tcPr>
            <w:tcW w:w="4060" w:type="dxa"/>
            <w:vAlign w:val="bottom"/>
          </w:tcPr>
          <w:p>
            <w:pPr>
              <w:ind w:left="200"/>
              <w:spacing w:after="0" w:line="175" w:lineRule="exact"/>
              <w:rPr>
                <w:sz w:val="20"/>
                <w:szCs w:val="20"/>
                <w:color w:val="auto"/>
              </w:rPr>
            </w:pPr>
            <w:r>
              <w:rPr>
                <w:rFonts w:ascii="Arial" w:cs="Arial" w:eastAsia="Arial" w:hAnsi="Arial"/>
                <w:sz w:val="18"/>
                <w:szCs w:val="18"/>
                <w:color w:val="auto"/>
              </w:rPr>
              <w:t>Company’s independent registered public</w:t>
            </w:r>
          </w:p>
        </w:tc>
        <w:tc>
          <w:tcPr>
            <w:tcW w:w="1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4"/>
        </w:trPr>
        <w:tc>
          <w:tcPr>
            <w:tcW w:w="740" w:type="dxa"/>
            <w:vAlign w:val="bottom"/>
          </w:tcPr>
          <w:p>
            <w:pPr>
              <w:spacing w:after="0"/>
              <w:rPr>
                <w:sz w:val="15"/>
                <w:szCs w:val="15"/>
                <w:color w:val="auto"/>
              </w:rPr>
            </w:pPr>
          </w:p>
        </w:tc>
        <w:tc>
          <w:tcPr>
            <w:tcW w:w="4060" w:type="dxa"/>
            <w:vAlign w:val="bottom"/>
          </w:tcPr>
          <w:p>
            <w:pPr>
              <w:ind w:left="200"/>
              <w:spacing w:after="0" w:line="175" w:lineRule="exact"/>
              <w:rPr>
                <w:sz w:val="20"/>
                <w:szCs w:val="20"/>
                <w:color w:val="auto"/>
              </w:rPr>
            </w:pPr>
            <w:r>
              <w:rPr>
                <w:rFonts w:ascii="Arial" w:cs="Arial" w:eastAsia="Arial" w:hAnsi="Arial"/>
                <w:sz w:val="18"/>
                <w:szCs w:val="18"/>
                <w:color w:val="auto"/>
                <w:w w:val="99"/>
              </w:rPr>
              <w:t>accounting firm and auditor for the financial year</w:t>
            </w:r>
          </w:p>
        </w:tc>
        <w:tc>
          <w:tcPr>
            <w:tcW w:w="1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4"/>
        </w:trPr>
        <w:tc>
          <w:tcPr>
            <w:tcW w:w="740" w:type="dxa"/>
            <w:vAlign w:val="bottom"/>
          </w:tcPr>
          <w:p>
            <w:pPr>
              <w:spacing w:after="0"/>
              <w:rPr>
                <w:sz w:val="15"/>
                <w:szCs w:val="15"/>
                <w:color w:val="auto"/>
              </w:rPr>
            </w:pPr>
          </w:p>
        </w:tc>
        <w:tc>
          <w:tcPr>
            <w:tcW w:w="4060" w:type="dxa"/>
            <w:vAlign w:val="bottom"/>
          </w:tcPr>
          <w:p>
            <w:pPr>
              <w:ind w:left="200"/>
              <w:spacing w:after="0" w:line="175" w:lineRule="exact"/>
              <w:rPr>
                <w:sz w:val="20"/>
                <w:szCs w:val="20"/>
                <w:color w:val="auto"/>
              </w:rPr>
            </w:pPr>
            <w:r>
              <w:rPr>
                <w:rFonts w:ascii="Arial" w:cs="Arial" w:eastAsia="Arial" w:hAnsi="Arial"/>
                <w:sz w:val="18"/>
                <w:szCs w:val="18"/>
                <w:color w:val="auto"/>
              </w:rPr>
              <w:t>ending December 31, 2021 and to authorize the</w:t>
            </w:r>
          </w:p>
        </w:tc>
        <w:tc>
          <w:tcPr>
            <w:tcW w:w="1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4"/>
        </w:trPr>
        <w:tc>
          <w:tcPr>
            <w:tcW w:w="740" w:type="dxa"/>
            <w:vAlign w:val="bottom"/>
          </w:tcPr>
          <w:p>
            <w:pPr>
              <w:spacing w:after="0"/>
              <w:rPr>
                <w:sz w:val="15"/>
                <w:szCs w:val="15"/>
                <w:color w:val="auto"/>
              </w:rPr>
            </w:pPr>
          </w:p>
        </w:tc>
        <w:tc>
          <w:tcPr>
            <w:tcW w:w="4060" w:type="dxa"/>
            <w:vAlign w:val="bottom"/>
          </w:tcPr>
          <w:p>
            <w:pPr>
              <w:ind w:left="200"/>
              <w:spacing w:after="0" w:line="175" w:lineRule="exact"/>
              <w:rPr>
                <w:sz w:val="20"/>
                <w:szCs w:val="20"/>
                <w:color w:val="auto"/>
              </w:rPr>
            </w:pPr>
            <w:r>
              <w:rPr>
                <w:rFonts w:ascii="Arial" w:cs="Arial" w:eastAsia="Arial" w:hAnsi="Arial"/>
                <w:sz w:val="18"/>
                <w:szCs w:val="18"/>
                <w:color w:val="auto"/>
                <w:w w:val="96"/>
              </w:rPr>
              <w:t>board of directors of the Company, acting through</w:t>
            </w:r>
          </w:p>
        </w:tc>
        <w:tc>
          <w:tcPr>
            <w:tcW w:w="1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74"/>
        </w:trPr>
        <w:tc>
          <w:tcPr>
            <w:tcW w:w="740" w:type="dxa"/>
            <w:vAlign w:val="bottom"/>
          </w:tcPr>
          <w:p>
            <w:pPr>
              <w:spacing w:after="0"/>
              <w:rPr>
                <w:sz w:val="15"/>
                <w:szCs w:val="15"/>
                <w:color w:val="auto"/>
              </w:rPr>
            </w:pPr>
          </w:p>
        </w:tc>
        <w:tc>
          <w:tcPr>
            <w:tcW w:w="4060" w:type="dxa"/>
            <w:vAlign w:val="bottom"/>
          </w:tcPr>
          <w:p>
            <w:pPr>
              <w:ind w:left="200"/>
              <w:spacing w:after="0" w:line="175" w:lineRule="exact"/>
              <w:rPr>
                <w:sz w:val="20"/>
                <w:szCs w:val="20"/>
                <w:color w:val="auto"/>
              </w:rPr>
            </w:pPr>
            <w:r>
              <w:rPr>
                <w:rFonts w:ascii="Arial" w:cs="Arial" w:eastAsia="Arial" w:hAnsi="Arial"/>
                <w:sz w:val="18"/>
                <w:szCs w:val="18"/>
                <w:color w:val="auto"/>
              </w:rPr>
              <w:t>the Audit Committee, to determine auditor’s</w:t>
            </w:r>
          </w:p>
        </w:tc>
        <w:tc>
          <w:tcPr>
            <w:tcW w:w="14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29"/>
        </w:trPr>
        <w:tc>
          <w:tcPr>
            <w:tcW w:w="740" w:type="dxa"/>
            <w:vAlign w:val="bottom"/>
          </w:tcPr>
          <w:p>
            <w:pPr>
              <w:spacing w:after="0"/>
              <w:rPr>
                <w:sz w:val="19"/>
                <w:szCs w:val="19"/>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remuneration.</w:t>
            </w:r>
          </w:p>
        </w:tc>
        <w:tc>
          <w:tcPr>
            <w:tcW w:w="1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958"/>
        </w:trPr>
        <w:tc>
          <w:tcPr>
            <w:tcW w:w="74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23"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w:t>
      </w:r>
    </w:p>
    <w:p>
      <w:pPr>
        <w:spacing w:after="0" w:line="253" w:lineRule="exact"/>
        <w:rPr>
          <w:sz w:val="20"/>
          <w:szCs w:val="20"/>
          <w:color w:val="auto"/>
        </w:rPr>
      </w:pPr>
    </w:p>
    <w:p>
      <w:pPr>
        <w:ind w:right="600" w:firstLine="443"/>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5"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Weatherford International plc</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Date: May 27, 2021</w:t>
      </w:r>
    </w:p>
    <w:p>
      <w:pPr>
        <w:spacing w:after="0" w:line="21"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3396615</wp:posOffset>
            </wp:positionH>
            <wp:positionV relativeFrom="paragraph">
              <wp:posOffset>13335</wp:posOffset>
            </wp:positionV>
            <wp:extent cx="38042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4285" cy="8255"/>
                    </a:xfrm>
                    <a:prstGeom prst="rect">
                      <a:avLst/>
                    </a:prstGeom>
                    <a:noFill/>
                  </pic:spPr>
                </pic:pic>
              </a:graphicData>
            </a:graphic>
          </wp:anchor>
        </w:drawing>
      </w:r>
    </w:p>
    <w:p>
      <w:pPr>
        <w:spacing w:after="0" w:line="13"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Scott C. Weatherholt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 General Counsel and Chief Compliance Officer</w:t>
      </w:r>
    </w:p>
    <w:sectPr>
      <w:pgSz w:w="11900" w:h="16838" w:orient="portrait"/>
      <w:cols w:equalWidth="0" w:num="1">
        <w:col w:w="11260"/>
      </w:cols>
      <w:pgMar w:left="320" w:top="88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2021-05-27T20:53:57Z</dcterms:created>
  <dcterms:modified xsi:type="dcterms:W3CDTF">2021-05-27T20:53:57Z</dcterms:modified>
</cp:coreProperties>
</file>