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-224155</wp:posOffset>
            </wp:positionV>
            <wp:extent cx="6474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15, 2016</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6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349250</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60" w:space="720"/>
            <w:col w:w="9840"/>
          </w:cols>
          <w:pgMar w:left="280" w:top="742" w:right="299" w:bottom="1440" w:gutter="0" w:footer="0" w:header="0"/>
        </w:sectPr>
      </w:pPr>
    </w:p>
    <w:p>
      <w:pPr>
        <w:spacing w:after="0" w:line="74" w:lineRule="exact"/>
        <w:rPr>
          <w:sz w:val="20"/>
          <w:szCs w:val="20"/>
          <w:color w:val="auto"/>
        </w:rPr>
      </w:pPr>
    </w:p>
    <w:p>
      <w:pPr>
        <w:ind w:left="-40" w:firstLine="332"/>
        <w:spacing w:after="0" w:line="255" w:lineRule="auto"/>
        <w:tabs>
          <w:tab w:leader="none" w:pos="699"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2016 Annual General Meeting of Shareholders (the “Annual Meeting”) of Weatherford International plc (the “Company”) held on June 15, 2016, shareholders approved the Company’s Employee Stock Purchase Plan (the “Plan”). A description of the material terms and conditions of the Plan is set forth on pages 53-55 of the Company’s definitive proxy statement filed with the Securities and Exchange Commission on April 26, 2016 (the “Proxy Statement”), and is incorporated herein by reference. The description of the Plan incorporated herein by reference does not purport to be complete and is qualified in its entirety by reference to the full text of the Plan, which was included as Annex A to the Proxy Statement and incorporated herein by reference as Exhibit 10.1.</w:t>
      </w:r>
    </w:p>
    <w:p>
      <w:pPr>
        <w:sectPr>
          <w:pgSz w:w="11900" w:h="16838" w:orient="portrait"/>
          <w:cols w:equalWidth="0" w:num="1">
            <w:col w:w="11320"/>
          </w:cols>
          <w:pgMar w:left="280" w:top="742" w:right="299" w:bottom="1440" w:gutter="0" w:footer="0" w:header="0"/>
          <w:type w:val="continuous"/>
        </w:sectPr>
      </w:pPr>
    </w:p>
    <w:bookmarkStart w:id="2" w:name="page3"/>
    <w:bookmarkEnd w:id="2"/>
    <w:p>
      <w:pPr>
        <w:ind w:left="40"/>
        <w:spacing w:after="0"/>
        <w:tabs>
          <w:tab w:leader="none" w:pos="16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are the results of the matters voted upon by the shareholders at the Annual Meeting, each of which is more fully described in the Proxy Statement: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40"/>
              <w:spacing w:after="0"/>
              <w:rPr>
                <w:sz w:val="20"/>
                <w:szCs w:val="20"/>
                <w:color w:val="auto"/>
              </w:rPr>
            </w:pPr>
            <w:r>
              <w:rPr>
                <w:rFonts w:ascii="Arial" w:cs="Arial" w:eastAsia="Arial" w:hAnsi="Arial"/>
                <w:sz w:val="18"/>
                <w:szCs w:val="18"/>
                <w:color w:val="auto"/>
                <w:w w:val="97"/>
              </w:rPr>
              <w:t>Agenda Item</w:t>
            </w:r>
          </w:p>
        </w:tc>
        <w:tc>
          <w:tcPr>
            <w:tcW w:w="358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Votes For</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Votes Against</w:t>
            </w: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Votes Abstaining</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99"/>
              </w:rPr>
              <w:t>Broker Non-Votes</w:t>
            </w:r>
          </w:p>
        </w:tc>
      </w:tr>
      <w:tr>
        <w:trPr>
          <w:trHeight w:val="27"/>
        </w:trPr>
        <w:tc>
          <w:tcPr>
            <w:tcW w:w="10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Election of the following directors:</w:t>
            </w:r>
          </w:p>
        </w:tc>
        <w:tc>
          <w:tcPr>
            <w:tcW w:w="15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Mohamed A. Awad</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699,290,439</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47,855,005</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263,767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52,957,700</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David J. Butters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668,901,359</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78,161,486</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346,366</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52,957,700</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Dr. Bernard J. Duroc-Danner</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678,808,293</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65,144,025</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3,456,893</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52,957,700</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John D. Gass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695,340,024</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51,759,273</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309,914</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52,957,700</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Sir Emyr Jones Parry</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699,094,589</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47,951,102</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363,520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52,957,700</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Francis S. Kalman</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699,455,663</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47,636,935</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316,613</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52,957,700</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William E. Macaulay</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677,778,482</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69,345,393</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285,336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52,957,700</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Robert K. Moses, Jr.</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674,900,153</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72,216,741</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292,317</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52,957,700</w:t>
            </w:r>
          </w:p>
        </w:tc>
      </w:tr>
      <w:tr>
        <w:trPr>
          <w:trHeight w:val="243"/>
        </w:trPr>
        <w:tc>
          <w:tcPr>
            <w:tcW w:w="1060" w:type="dxa"/>
            <w:vAlign w:val="bottom"/>
          </w:tcPr>
          <w:p>
            <w:pPr>
              <w:spacing w:after="0"/>
              <w:rPr>
                <w:sz w:val="21"/>
                <w:szCs w:val="21"/>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Dr. Guillermo Ortiz</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688,992,602</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58,109,912</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306,697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52,957,700</w:t>
            </w:r>
          </w:p>
        </w:tc>
      </w:tr>
      <w:tr>
        <w:trPr>
          <w:trHeight w:val="27"/>
        </w:trPr>
        <w:tc>
          <w:tcPr>
            <w:tcW w:w="10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Robert A. Rayne</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678,726,081</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68,373,474</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309,656</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52,957,700</w:t>
            </w:r>
          </w:p>
        </w:tc>
      </w:tr>
      <w:tr>
        <w:trPr>
          <w:trHeight w:val="32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2.</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Ratify the appointment of KPMG LLP as the</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798,510,145</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1,362,274</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494,492</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Company’s independent registered public</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accounting firm and auditor for the financial</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year ending December 31, 2016 and to</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authorize the board of directors of the</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 acting through the Audit</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Committee, to determine auditor’s</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remuneration.</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Adopt an advisory resolution approving</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530,248,276</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216,641,549</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519,386</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52,957,700</w:t>
            </w:r>
          </w:p>
        </w:tc>
      </w:tr>
      <w:tr>
        <w:trPr>
          <w:trHeight w:val="216"/>
        </w:trPr>
        <w:tc>
          <w:tcPr>
            <w:tcW w:w="1060" w:type="dxa"/>
            <w:vAlign w:val="bottom"/>
            <w:shd w:val="clear" w:color="auto" w:fill="CCEEFF"/>
          </w:tcPr>
          <w:p>
            <w:pPr>
              <w:spacing w:after="0"/>
              <w:rPr>
                <w:sz w:val="18"/>
                <w:szCs w:val="18"/>
                <w:color w:val="auto"/>
              </w:rPr>
            </w:pP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of the named executive</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officers.</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4.</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Approve the Weatherford International plc</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744,005,129</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3,072,801</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331,281</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52,957,700</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Employee Stock Purchase Plan.</w:t>
            </w:r>
          </w:p>
        </w:tc>
        <w:tc>
          <w:tcPr>
            <w:tcW w:w="15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594"/>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3580" w:type="dxa"/>
            <w:vAlign w:val="bottom"/>
          </w:tcPr>
          <w:p>
            <w:pPr>
              <w:ind w:left="580"/>
              <w:spacing w:after="0"/>
              <w:rPr>
                <w:sz w:val="20"/>
                <w:szCs w:val="20"/>
                <w:color w:val="auto"/>
              </w:rPr>
            </w:pPr>
            <w:r>
              <w:rPr>
                <w:rFonts w:ascii="Arial" w:cs="Arial" w:eastAsia="Arial" w:hAnsi="Arial"/>
                <w:sz w:val="18"/>
                <w:szCs w:val="18"/>
                <w:b w:val="1"/>
                <w:bCs w:val="1"/>
                <w:color w:val="auto"/>
              </w:rPr>
              <w:t>Financial Statements and Exhibits.</w:t>
            </w: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56" w:lineRule="exact"/>
        <w:rPr>
          <w:sz w:val="20"/>
          <w:szCs w:val="20"/>
          <w:color w:val="auto"/>
        </w:rPr>
      </w:pPr>
    </w:p>
    <w:p>
      <w:pPr>
        <w:ind w:left="1640" w:hanging="933"/>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49"/>
        </w:trPr>
        <w:tc>
          <w:tcPr>
            <w:tcW w:w="1440" w:type="dxa"/>
            <w:vAlign w:val="bottom"/>
          </w:tcPr>
          <w:p>
            <w:pPr>
              <w:ind w:left="20"/>
              <w:spacing w:after="0"/>
              <w:rPr>
                <w:sz w:val="20"/>
                <w:szCs w:val="20"/>
                <w:color w:val="auto"/>
              </w:rPr>
            </w:pPr>
            <w:r>
              <w:rPr>
                <w:rFonts w:ascii="Arial" w:cs="Arial" w:eastAsia="Arial" w:hAnsi="Arial"/>
                <w:sz w:val="18"/>
                <w:szCs w:val="18"/>
                <w:color w:val="auto"/>
              </w:rPr>
              <w:t>10.1</w:t>
            </w:r>
          </w:p>
        </w:tc>
        <w:tc>
          <w:tcPr>
            <w:tcW w:w="9920" w:type="dxa"/>
            <w:vAlign w:val="bottom"/>
          </w:tcPr>
          <w:p>
            <w:pPr>
              <w:ind w:left="180"/>
              <w:spacing w:after="0"/>
              <w:rPr>
                <w:sz w:val="20"/>
                <w:szCs w:val="20"/>
                <w:color w:val="auto"/>
              </w:rPr>
            </w:pPr>
            <w:r>
              <w:rPr>
                <w:rFonts w:ascii="Arial" w:cs="Arial" w:eastAsia="Arial" w:hAnsi="Arial"/>
                <w:sz w:val="18"/>
                <w:szCs w:val="18"/>
                <w:color w:val="auto"/>
                <w:w w:val="94"/>
              </w:rPr>
              <w:t>Weatherford International plc Employee Stock Purchase Plan (incorporated by reference to Annex A of Weatherford International</w:t>
            </w:r>
          </w:p>
        </w:tc>
      </w:tr>
      <w:tr>
        <w:trPr>
          <w:trHeight w:val="230"/>
        </w:trPr>
        <w:tc>
          <w:tcPr>
            <w:tcW w:w="144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plc’s Definitive Proxy Statement on Schedule 14A filed on April 26, 2016 (File No. 001-36504)).</w:t>
            </w:r>
          </w:p>
        </w:tc>
      </w:tr>
    </w:tbl>
    <w:p>
      <w:pPr>
        <w:sectPr>
          <w:pgSz w:w="11900" w:h="16838" w:orient="portrait"/>
          <w:cols w:equalWidth="0" w:num="1">
            <w:col w:w="11400"/>
          </w:cols>
          <w:pgMar w:left="240" w:top="742" w:right="2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16, 2016</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40"/>
          </w:cols>
          <w:pgMar w:left="240" w:top="580"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9960" w:type="dxa"/>
            <w:vAlign w:val="bottom"/>
          </w:tcPr>
          <w:p>
            <w:pPr>
              <w:ind w:left="3600"/>
              <w:spacing w:after="0"/>
              <w:rPr>
                <w:sz w:val="20"/>
                <w:szCs w:val="20"/>
                <w:color w:val="auto"/>
              </w:rPr>
            </w:pPr>
            <w:r>
              <w:rPr>
                <w:rFonts w:ascii="Arial" w:cs="Arial" w:eastAsia="Arial" w:hAnsi="Arial"/>
                <w:sz w:val="18"/>
                <w:szCs w:val="18"/>
                <w:color w:val="auto"/>
              </w:rPr>
              <w:t>EXHIBIT INDEX</w:t>
            </w:r>
          </w:p>
        </w:tc>
      </w:tr>
      <w:tr>
        <w:trPr>
          <w:trHeight w:val="635"/>
        </w:trPr>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Exhibit Number</w:t>
            </w:r>
          </w:p>
        </w:tc>
        <w:tc>
          <w:tcPr>
            <w:tcW w:w="996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60" w:type="dxa"/>
            <w:vAlign w:val="bottom"/>
            <w:tcBorders>
              <w:bottom w:val="single" w:sz="8" w:color="auto"/>
            </w:tcBorders>
          </w:tcPr>
          <w:p>
            <w:pPr>
              <w:spacing w:after="0"/>
              <w:rPr>
                <w:sz w:val="2"/>
                <w:szCs w:val="2"/>
                <w:color w:val="auto"/>
              </w:rPr>
            </w:pPr>
          </w:p>
        </w:tc>
        <w:tc>
          <w:tcPr>
            <w:tcW w:w="9960" w:type="dxa"/>
            <w:vAlign w:val="bottom"/>
            <w:tcBorders>
              <w:bottom w:val="single" w:sz="8" w:color="auto"/>
            </w:tcBorders>
          </w:tcPr>
          <w:p>
            <w:pPr>
              <w:spacing w:after="0"/>
              <w:rPr>
                <w:sz w:val="2"/>
                <w:szCs w:val="2"/>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8"/>
                <w:szCs w:val="18"/>
                <w:color w:val="auto"/>
              </w:rPr>
              <w:t>10.1</w:t>
            </w:r>
          </w:p>
        </w:tc>
        <w:tc>
          <w:tcPr>
            <w:tcW w:w="9960" w:type="dxa"/>
            <w:vAlign w:val="bottom"/>
          </w:tcPr>
          <w:p>
            <w:pPr>
              <w:ind w:left="180"/>
              <w:spacing w:after="0"/>
              <w:rPr>
                <w:sz w:val="20"/>
                <w:szCs w:val="20"/>
                <w:color w:val="auto"/>
              </w:rPr>
            </w:pPr>
            <w:r>
              <w:rPr>
                <w:rFonts w:ascii="Arial" w:cs="Arial" w:eastAsia="Arial" w:hAnsi="Arial"/>
                <w:sz w:val="18"/>
                <w:szCs w:val="18"/>
                <w:color w:val="auto"/>
                <w:w w:val="91"/>
              </w:rPr>
              <w:t>Weatherford International plc Employee Stock Purchase Plan (incorporated by reference to Annex A of Weatherford International plc’s</w:t>
            </w:r>
          </w:p>
        </w:tc>
      </w:tr>
      <w:tr>
        <w:trPr>
          <w:trHeight w:val="230"/>
        </w:trPr>
        <w:tc>
          <w:tcPr>
            <w:tcW w:w="146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rPr>
              <w:t>Definitive Proxy Statement on Schedule 14A filed on April 26, 2016 (File No. 001-36504)).</w:t>
            </w:r>
          </w:p>
        </w:tc>
      </w:tr>
    </w:tbl>
    <w:p>
      <w:pPr>
        <w:spacing w:after="0" w:line="1" w:lineRule="exact"/>
        <w:rPr>
          <w:sz w:val="20"/>
          <w:szCs w:val="20"/>
          <w:color w:val="auto"/>
        </w:rPr>
      </w:pP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2019-12-09T00:16:58Z</dcterms:created>
  <dcterms:modified xsi:type="dcterms:W3CDTF">2019-12-09T00:16:58Z</dcterms:modified>
</cp:coreProperties>
</file>