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Mehta Dharmesh</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WFT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45"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02/27/2015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43"/>
        <w:spacing w:after="0"/>
        <w:rPr>
          <w:sz w:val="20"/>
          <w:szCs w:val="20"/>
          <w:color w:val="auto"/>
        </w:rPr>
      </w:pPr>
      <w:r>
        <w:rPr>
          <w:rFonts w:ascii="Arial" w:cs="Arial" w:eastAsia="Arial" w:hAnsi="Arial"/>
          <w:sz w:val="18"/>
          <w:szCs w:val="18"/>
          <w:color w:val="0000FF"/>
        </w:rPr>
        <w:t>EVP - Corporate Strategy</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77056</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02/27/2015</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87"/>
              </w:rPr>
              <w:t>12,885</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12.53</w:t>
            </w:r>
          </w:p>
        </w:tc>
        <w:tc>
          <w:tcPr>
            <w:tcW w:w="1240" w:type="dxa"/>
            <w:vAlign w:val="bottom"/>
            <w:tcBorders>
              <w:bottom w:val="single" w:sz="8" w:color="2C2C2C"/>
            </w:tcBorders>
            <w:gridSpan w:val="2"/>
          </w:tcPr>
          <w:p>
            <w:pPr>
              <w:jc w:val="right"/>
              <w:ind w:right="297"/>
              <w:spacing w:after="0"/>
              <w:rPr>
                <w:sz w:val="20"/>
                <w:szCs w:val="20"/>
                <w:color w:val="auto"/>
              </w:rPr>
            </w:pPr>
            <w:r>
              <w:rPr>
                <w:rFonts w:ascii="Arial" w:cs="Arial" w:eastAsia="Arial" w:hAnsi="Arial"/>
                <w:sz w:val="18"/>
                <w:szCs w:val="18"/>
                <w:color w:val="0000FF"/>
              </w:rPr>
              <w:t>618,903</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ind w:right="377"/>
              <w:spacing w:after="0"/>
              <w:rPr>
                <w:sz w:val="20"/>
                <w:szCs w:val="20"/>
                <w:color w:val="auto"/>
              </w:rPr>
            </w:pPr>
            <w:r>
              <w:rPr>
                <w:rFonts w:ascii="Arial" w:cs="Arial" w:eastAsia="Arial" w:hAnsi="Arial"/>
                <w:sz w:val="18"/>
                <w:szCs w:val="18"/>
                <w:color w:val="0000FF"/>
                <w:w w:val="93"/>
              </w:rPr>
              <w:t>4,361</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plan</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4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8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8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Transaction was a withholding of a portion of vested restricted stock awards to satisfy the reporting person's tax withholding obligations upon vesting, pursuant to the award agreement and associated equity incentive plan under which the award was granted.</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5"/>
              </w:rPr>
              <w:t>Charity R. Kohl, by Power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03/02/2015</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4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6731"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2019-12-24T08:45:01Z</dcterms:created>
  <dcterms:modified xsi:type="dcterms:W3CDTF">2019-12-24T08:45:01Z</dcterms:modified>
</cp:coreProperties>
</file>