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505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5054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Saligram Girish</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3"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53"/>
        <w:spacing w:after="0"/>
        <w:rPr>
          <w:sz w:val="20"/>
          <w:szCs w:val="20"/>
          <w:color w:val="auto"/>
        </w:rPr>
      </w:pPr>
      <w:r>
        <w:rPr>
          <w:rFonts w:ascii="Arial" w:cs="Arial" w:eastAsia="Arial" w:hAnsi="Arial"/>
          <w:sz w:val="17"/>
          <w:szCs w:val="17"/>
          <w:color w:val="0000FF"/>
        </w:rPr>
        <w:t>President and CEO</w:t>
      </w:r>
    </w:p>
    <w:p>
      <w:pPr>
        <w:spacing w:after="0" w:line="263" w:lineRule="exact"/>
        <w:rPr>
          <w:sz w:val="24"/>
          <w:szCs w:val="24"/>
          <w:color w:val="auto"/>
        </w:rPr>
      </w:pPr>
    </w:p>
    <w:p>
      <w:pPr>
        <w:sectPr>
          <w:pgSz w:w="11900" w:h="16838" w:orient="portrait"/>
          <w:cols w:equalWidth="0" w:num="3">
            <w:col w:w="3180" w:space="720"/>
            <w:col w:w="3180" w:space="647"/>
            <w:col w:w="3353"/>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56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420"/>
              <w:spacing w:after="0" w:line="145" w:lineRule="exact"/>
              <w:rPr>
                <w:sz w:val="20"/>
                <w:szCs w:val="20"/>
                <w:color w:val="auto"/>
              </w:rPr>
            </w:pPr>
            <w:r>
              <w:rPr>
                <w:rFonts w:ascii="Arial" w:cs="Arial" w:eastAsia="Arial" w:hAnsi="Arial"/>
                <w:sz w:val="13"/>
                <w:szCs w:val="13"/>
                <w:color w:val="auto"/>
              </w:rPr>
              <w:t>Line)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080" w:type="dxa"/>
            <w:vAlign w:val="bottom"/>
          </w:tcPr>
          <w:p>
            <w:pPr>
              <w:ind w:left="40"/>
              <w:spacing w:after="0"/>
              <w:rPr>
                <w:sz w:val="20"/>
                <w:szCs w:val="20"/>
                <w:color w:val="auto"/>
              </w:rPr>
            </w:pPr>
            <w:r>
              <w:rPr>
                <w:rFonts w:ascii="Arial" w:cs="Arial" w:eastAsia="Arial" w:hAnsi="Arial"/>
                <w:sz w:val="17"/>
                <w:szCs w:val="17"/>
                <w:color w:val="0000FF"/>
              </w:rPr>
              <w:t>77056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80" w:type="dxa"/>
            <w:vAlign w:val="bottom"/>
            <w:gridSpan w:val="10"/>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5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6"/>
              </w:rPr>
              <w:t>01/04/2022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124,926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261,989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6"/>
              </w:rPr>
              <w:t>01/04/2022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49,420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212,569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6"/>
              </w:rPr>
              <w:t>01/04/2022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25,337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237,906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6"/>
              </w:rPr>
              <w:t>01/04/2022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25,337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27.6766</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212,569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6"/>
              </w:rPr>
              <w:t>Ordinary</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124,926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Share</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56"/>
              <w:spacing w:after="0" w:line="124" w:lineRule="exact"/>
              <w:rPr>
                <w:sz w:val="20"/>
                <w:szCs w:val="20"/>
                <w:color w:val="auto"/>
              </w:rPr>
            </w:pPr>
            <w:r>
              <w:rPr>
                <w:rFonts w:ascii="Arial" w:cs="Arial" w:eastAsia="Arial" w:hAnsi="Arial"/>
                <w:sz w:val="13"/>
                <w:szCs w:val="13"/>
                <w:color w:val="0000FF"/>
              </w:rPr>
              <w:t>01/04/2022</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ind w:left="20"/>
              <w:spacing w:after="0" w:line="124"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3"/>
                <w:szCs w:val="13"/>
                <w:color w:val="0000FF"/>
              </w:rPr>
              <w:t>124,926</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jc w:val="right"/>
              <w:ind w:right="203"/>
              <w:spacing w:after="0" w:line="124" w:lineRule="exact"/>
              <w:rPr>
                <w:sz w:val="20"/>
                <w:szCs w:val="20"/>
                <w:color w:val="auto"/>
              </w:rPr>
            </w:pPr>
            <w:r>
              <w:rPr>
                <w:rFonts w:ascii="Arial" w:cs="Arial" w:eastAsia="Arial" w:hAnsi="Arial"/>
                <w:sz w:val="13"/>
                <w:szCs w:val="13"/>
                <w:color w:val="0000FF"/>
              </w:rPr>
              <w:t>124,926</w:t>
            </w:r>
          </w:p>
        </w:tc>
        <w:tc>
          <w:tcPr>
            <w:tcW w:w="6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2"/>
              </w:rPr>
              <w:t>Shares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4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Arial" w:cs="Arial" w:eastAsia="Arial" w:hAnsi="Arial"/>
                <w:sz w:val="13"/>
                <w:szCs w:val="13"/>
                <w:color w:val="0000FF"/>
              </w:rPr>
              <w:t>01/04/2022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3"/>
                <w:szCs w:val="13"/>
                <w:color w:val="0000FF"/>
              </w:rPr>
              <w:t>25,337</w:t>
            </w: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96"/>
              </w:rPr>
              <w:t>Ordinary</w:t>
            </w:r>
          </w:p>
        </w:tc>
        <w:tc>
          <w:tcPr>
            <w:tcW w:w="700" w:type="dxa"/>
            <w:vAlign w:val="bottom"/>
            <w:vMerge w:val="restart"/>
          </w:tcPr>
          <w:p>
            <w:pPr>
              <w:jc w:val="right"/>
              <w:ind w:right="29"/>
              <w:spacing w:after="0"/>
              <w:rPr>
                <w:sz w:val="20"/>
                <w:szCs w:val="20"/>
                <w:color w:val="auto"/>
              </w:rPr>
            </w:pPr>
            <w:r>
              <w:rPr>
                <w:rFonts w:ascii="Arial" w:cs="Arial" w:eastAsia="Arial" w:hAnsi="Arial"/>
                <w:sz w:val="17"/>
                <w:szCs w:val="17"/>
                <w:color w:val="0000FF"/>
              </w:rPr>
              <w:t>25,337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center"/>
              <w:ind w:right="2"/>
              <w:spacing w:after="0" w:line="264"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(6)</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the first installment of restricted share units ("RSUs") granted on January 4, 2021 pursuant to Issuer's Second Amended and Restated 2019 Equity Incentive Plan (the "2019 EIP"). The RSUs vest in two equal installments over the two-year period from the date of grant.</w:t>
      </w:r>
    </w:p>
    <w:p>
      <w:pPr>
        <w:spacing w:after="0" w:line="27" w:lineRule="exact"/>
        <w:rPr>
          <w:rFonts w:ascii="Arial" w:cs="Arial" w:eastAsia="Arial" w:hAnsi="Arial"/>
          <w:sz w:val="13"/>
          <w:szCs w:val="13"/>
          <w:color w:val="008000"/>
        </w:rPr>
      </w:pPr>
    </w:p>
    <w:p>
      <w:pPr>
        <w:ind w:left="40" w:right="3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27" w:lineRule="exact"/>
        <w:rPr>
          <w:rFonts w:ascii="Arial" w:cs="Arial" w:eastAsia="Arial" w:hAnsi="Arial"/>
          <w:sz w:val="13"/>
          <w:szCs w:val="13"/>
          <w:color w:val="008000"/>
        </w:rPr>
      </w:pPr>
    </w:p>
    <w:p>
      <w:pPr>
        <w:ind w:left="40" w:right="3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acquisition of the ordinary shares underlying the vested portion of phantom restricted share units ("Phantom RSUs") as a result of the election by the Committee administering the 2019 EIP to settle the 2021 Phantom RSU awards entirely in cash (see footnote 6 below).</w:t>
      </w:r>
    </w:p>
    <w:p>
      <w:pPr>
        <w:spacing w:after="0" w:line="27" w:lineRule="exact"/>
        <w:rPr>
          <w:rFonts w:ascii="Arial" w:cs="Arial" w:eastAsia="Arial" w:hAnsi="Arial"/>
          <w:sz w:val="13"/>
          <w:szCs w:val="13"/>
          <w:color w:val="008000"/>
        </w:rPr>
      </w:pPr>
    </w:p>
    <w:p>
      <w:pPr>
        <w:ind w:left="40" w:right="2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disposition to the issuer of the ordinary shares underlying the vested portion of Phantom RSUs as a result of the election by the Committee administering the 2019 EIP to settle the 2021 Phantom RSU awards entirely in cash (see footnote 6 below).</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represents the volume weighted price of the Company's ordinary shares averaged for the thirty trading days immediately preceding the vesting date.</w:t>
      </w:r>
    </w:p>
    <w:p>
      <w:pPr>
        <w:spacing w:after="0" w:line="41" w:lineRule="exact"/>
        <w:rPr>
          <w:rFonts w:ascii="Arial" w:cs="Arial" w:eastAsia="Arial" w:hAnsi="Arial"/>
          <w:sz w:val="13"/>
          <w:szCs w:val="13"/>
          <w:color w:val="008000"/>
        </w:rPr>
      </w:pPr>
    </w:p>
    <w:p>
      <w:pPr>
        <w:ind w:left="40" w:right="14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the Phantom RSUs granted on January 4, 2021 pursuant to the 2019 EIP. These Phantom RSUs vest in two equal installments over the two-year period from the date of grant and may be settled in cash, ordinary shares or any combination of cash and ordinary shares; provided that if settled in cash, the cumulative cash payout may not exceed 200% of the grant date fair value of such units (the "Maximum Cash Payout"). At the election of the Committee administering the 2019 EIP, it was determined that the 2021 Phantom RSU awards would be settled entirely in cash. As a result of the Maximum Cash Payout, the Reporting Person is reporting the vesting, deemed acquisition and deemed disposition of 25,337 ordinary shares. As a result of the Maximum Cash Payout having been satisfied, the remaining 35,747 ordinary shares underlying the 61,084 Phantom RSUs previously reported will not vest and have been cancelled.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5"/>
              </w:rPr>
              <w:t>Jonathan B. Wolens by Power</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of Attorney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2022-01-06T15:29:09Z</dcterms:created>
  <dcterms:modified xsi:type="dcterms:W3CDTF">2022-01-06T15:29:09Z</dcterms:modified>
</cp:coreProperties>
</file>