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Saligram Girish</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10/12/2021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48"/>
        <w:spacing w:after="0"/>
        <w:rPr>
          <w:sz w:val="20"/>
          <w:szCs w:val="20"/>
          <w:color w:val="auto"/>
        </w:rPr>
      </w:pPr>
      <w:r>
        <w:rPr>
          <w:rFonts w:ascii="Arial" w:cs="Arial" w:eastAsia="Arial" w:hAnsi="Arial"/>
          <w:sz w:val="17"/>
          <w:szCs w:val="17"/>
          <w:color w:val="0000FF"/>
        </w:rPr>
        <w:t>President and CEO</w:t>
      </w:r>
    </w:p>
    <w:p>
      <w:pPr>
        <w:spacing w:after="0" w:line="264" w:lineRule="exact"/>
        <w:rPr>
          <w:sz w:val="24"/>
          <w:szCs w:val="24"/>
          <w:color w:val="auto"/>
        </w:rPr>
      </w:pPr>
    </w:p>
    <w:p>
      <w:pPr>
        <w:sectPr>
          <w:pgSz w:w="11900" w:h="16838" w:orient="portrait"/>
          <w:cols w:equalWidth="0" w:num="3">
            <w:col w:w="3180" w:space="720"/>
            <w:col w:w="3220" w:space="612"/>
            <w:col w:w="3348"/>
          </w:cols>
          <w:pgMar w:left="460" w:top="222" w:right="359" w:bottom="1440"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5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36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2"/>
          </w:tcPr>
          <w:p>
            <w:pPr>
              <w:ind w:left="300"/>
              <w:spacing w:after="0" w:line="148"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40"/>
              <w:spacing w:after="0"/>
              <w:rPr>
                <w:sz w:val="20"/>
                <w:szCs w:val="20"/>
                <w:color w:val="auto"/>
              </w:rPr>
            </w:pPr>
            <w:r>
              <w:rPr>
                <w:rFonts w:ascii="Arial" w:cs="Arial" w:eastAsia="Arial" w:hAnsi="Arial"/>
                <w:sz w:val="17"/>
                <w:szCs w:val="17"/>
                <w:color w:val="0000FF"/>
              </w:rPr>
              <w:t>77056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gridSpan w:val="9"/>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10/12/2021</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56,497</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159,294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10/12/2021</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22,231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23.58</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137,063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0"/>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56,497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Share</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10/12/2021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25" w:lineRule="exact"/>
              <w:rPr>
                <w:sz w:val="20"/>
                <w:szCs w:val="20"/>
                <w:color w:val="auto"/>
              </w:rPr>
            </w:pPr>
            <w:r>
              <w:rPr>
                <w:rFonts w:ascii="Arial" w:cs="Arial" w:eastAsia="Arial" w:hAnsi="Arial"/>
                <w:sz w:val="13"/>
                <w:szCs w:val="13"/>
                <w:color w:val="0000FF"/>
              </w:rPr>
              <w:t>56,497</w:t>
            </w:r>
          </w:p>
        </w:tc>
        <w:tc>
          <w:tcPr>
            <w:tcW w:w="8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00"/>
              <w:spacing w:after="0" w:line="125" w:lineRule="exact"/>
              <w:rPr>
                <w:sz w:val="20"/>
                <w:szCs w:val="20"/>
                <w:color w:val="auto"/>
              </w:rPr>
            </w:pPr>
            <w:r>
              <w:rPr>
                <w:rFonts w:ascii="Arial" w:cs="Arial" w:eastAsia="Arial" w:hAnsi="Arial"/>
                <w:sz w:val="13"/>
                <w:szCs w:val="13"/>
                <w:color w:val="0000FF"/>
                <w:w w:val="85"/>
              </w:rPr>
              <w:t>112,994</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91"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the first installment of one-third of the restricted share units ("RSUs") granted on November 17, 2020 pursuant to the Issuer's Second Amended and Restated 2019 Equity Incentive Plan (the "2019 EIP"). The RSUs vest in three equal installments on each of October 12, 2021, 2022 and 2023. RSUs convert into ordinary shares on a one-for-one basis.</w:t>
      </w:r>
    </w:p>
    <w:p>
      <w:pPr>
        <w:spacing w:after="0" w:line="1" w:lineRule="exact"/>
        <w:rPr>
          <w:rFonts w:ascii="Arial" w:cs="Arial" w:eastAsia="Arial" w:hAnsi="Arial"/>
          <w:sz w:val="12"/>
          <w:szCs w:val="12"/>
          <w:color w:val="008000"/>
        </w:rPr>
      </w:pPr>
    </w:p>
    <w:p>
      <w:pPr>
        <w:ind w:left="40" w:right="40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10/14/2021</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2021-10-14T19:21:58Z</dcterms:created>
  <dcterms:modified xsi:type="dcterms:W3CDTF">2021-10-14T19:21:58Z</dcterms:modified>
</cp:coreProperties>
</file>