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Weatherford International public limited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300" w:type="dxa"/>
            <w:vAlign w:val="bottom"/>
          </w:tcPr>
          <w:p>
            <w:pPr>
              <w:jc w:val="center"/>
              <w:ind w:right="2581"/>
              <w:spacing w:after="0"/>
              <w:rPr>
                <w:sz w:val="20"/>
                <w:szCs w:val="20"/>
                <w:color w:val="auto"/>
              </w:rPr>
            </w:pPr>
            <w:r>
              <w:rPr>
                <w:rFonts w:ascii="Arial" w:cs="Arial" w:eastAsia="Arial" w:hAnsi="Arial"/>
                <w:sz w:val="18"/>
                <w:szCs w:val="18"/>
                <w:b w:val="1"/>
                <w:bCs w:val="1"/>
                <w:color w:val="auto"/>
                <w:w w:val="94"/>
              </w:rPr>
              <w:t>Ireland</w:t>
            </w:r>
          </w:p>
        </w:tc>
        <w:tc>
          <w:tcPr>
            <w:tcW w:w="2220" w:type="dxa"/>
            <w:vAlign w:val="bottom"/>
          </w:tcPr>
          <w:p>
            <w:pPr>
              <w:ind w:left="40"/>
              <w:spacing w:after="0"/>
              <w:rPr>
                <w:sz w:val="20"/>
                <w:szCs w:val="20"/>
                <w:color w:val="auto"/>
              </w:rPr>
            </w:pPr>
            <w:r>
              <w:rPr>
                <w:rFonts w:ascii="Arial" w:cs="Arial" w:eastAsia="Arial" w:hAnsi="Arial"/>
                <w:sz w:val="18"/>
                <w:szCs w:val="18"/>
                <w:b w:val="1"/>
                <w:bCs w:val="1"/>
                <w:color w:val="auto"/>
              </w:rPr>
              <w:t>001-36504</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98-0606750</w:t>
            </w:r>
          </w:p>
        </w:tc>
      </w:tr>
      <w:tr>
        <w:trPr>
          <w:trHeight w:val="149"/>
        </w:trPr>
        <w:tc>
          <w:tcPr>
            <w:tcW w:w="4300" w:type="dxa"/>
            <w:vAlign w:val="bottom"/>
          </w:tcPr>
          <w:p>
            <w:pPr>
              <w:jc w:val="center"/>
              <w:ind w:right="25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2561"/>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30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2220" w:type="dxa"/>
            <w:vAlign w:val="bottom"/>
          </w:tcPr>
          <w:p>
            <w:pPr>
              <w:spacing w:after="0"/>
              <w:rPr>
                <w:sz w:val="24"/>
                <w:szCs w:val="24"/>
                <w:color w:val="auto"/>
              </w:rPr>
            </w:pP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5"/>
              </w:rPr>
              <w:t>CH 6340</w:t>
            </w:r>
          </w:p>
        </w:tc>
      </w:tr>
      <w:tr>
        <w:trPr>
          <w:trHeight w:val="186"/>
        </w:trPr>
        <w:tc>
          <w:tcPr>
            <w:tcW w:w="4300" w:type="dxa"/>
            <w:vAlign w:val="bottom"/>
          </w:tcPr>
          <w:p>
            <w:pPr>
              <w:jc w:val="center"/>
              <w:ind w:left="10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Board of Directors of Weatherford International plc (the “Company”) has appointed Mr. Mark A. McCollum, 57, as a director and as the Chief Executive Officer and President of the Company, effective March 6, 2017, provided that his service as a director and his employment start date shall not begin until late-April 2017. As such, Mr. Christoph Bausch, the Company’s Chief Financial Officer will be acting Chief Executive Officer until his start date.</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joining the Company, Mr. McCollum served as the Executive Vice President and Chief Financial Officer of Halliburton Company, a position he started in 2008 and resumed in July of 2016 following an interim role as Chief Integration Officer during the pendency of Halliburton’s proposed acquisition of Baker Hughes Incorporated. Mr. McCollum, a CPA, has significant financial and leadership experience, having spent over 36 years in the energy industry, beginning with Arthur Andersen where he served energy clients and culminating in his over 13 year career with Halliburton. He also serves on the Board of Directors of Archrock Inc. (previously Exterran Holdings Inc.) and is a Regent at Baylor University and on the Baylor College of Medicine Board of Trustees.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his appointment as President and Chief Executive Officer, the Board of Directors approved the following compensation arrangements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McCollum:</w:t>
      </w:r>
    </w:p>
    <w:p>
      <w:pPr>
        <w:spacing w:after="0" w:line="11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$1.0 million;</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to participate in the Company’s Executive Non-Equity Incentive Compensation Plan (the “EICP”), as described in the Company’s annual proxy statement filed with the Securities and Exchange Commission on April 26, 2016, with threshold, target and superior metrics (expressed as a percentage of base salary) set at 60%, 120% and 180%, with a possible comparative performance multiplier and non-discretionary metrics that will be described in the Company’s 2017 proxy statement;</w:t>
      </w:r>
    </w:p>
    <w:p>
      <w:pPr>
        <w:spacing w:after="0" w:line="92"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long term equity incentive award of $6 million, consisting of 50% restricted share units and 50% performance share units, vesting in equal installments over a three year period using the closing stock price the day immediately prior to the grant;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inducement award of restricted share units with a value equal to $3 million, vesting 25% (first anniversary), 25% (second anniversary), and 50% (third anniversary) using the closing stock price the day immediately prior to the grant;</w:t>
      </w:r>
    </w:p>
    <w:p>
      <w:pPr>
        <w:spacing w:after="0" w:line="62"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provided, however, that if Mr. McCollum’s employment is terminated at any time during the first three years of his employment other than for “cause,” or by Mr. McCollum for “good reason,” as those terms are defined in the CIC Agreement (defined below), Mr. McCollum will receive (i) two times his current annual base salary and (ii) the units described in clause (4) above will vest immediately.</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upon starting employment, the Company will enter into a Change in Control Agreement with Mr. McCollum (the “CIC Agreement”). 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w:t>
      </w:r>
    </w:p>
    <w:p>
      <w:pPr>
        <w:spacing w:after="0"/>
        <w:rPr>
          <w:sz w:val="20"/>
          <w:szCs w:val="20"/>
          <w:color w:val="auto"/>
        </w:rPr>
      </w:pPr>
      <w:r>
        <w:rPr>
          <w:rFonts w:ascii="Arial" w:cs="Arial" w:eastAsia="Arial" w:hAnsi="Arial"/>
          <w:sz w:val="16"/>
          <w:szCs w:val="16"/>
          <w:color w:val="auto"/>
        </w:rPr>
        <w:t>Mr. McCollum’s employment is terminated by the Company or its successor within six months preceding or at any time following a change of control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other than for “cause,” or by Mr. McCollum for “good reason,” as those terms are defined in the agreement, he is entitled to receive:</w:t>
      </w:r>
    </w:p>
    <w:p>
      <w:pPr>
        <w:spacing w:after="0" w:line="116" w:lineRule="exact"/>
        <w:rPr>
          <w:sz w:val="20"/>
          <w:szCs w:val="20"/>
          <w:color w:val="auto"/>
        </w:rPr>
      </w:pPr>
    </w:p>
    <w:p>
      <w:pPr>
        <w:ind w:left="900" w:right="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 sum cash payment equal to three times the sum of the highest base salary he received in the preceding three years and the annual incentive cash compensation averaged over the preceding three years;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accrued salary, annual target incentive cash compensation for the year of termination and vacation pay, pro-rated to the date of termination;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continuation for three years of all dental and health benefits, provided he remains responsible for his monthly employee contribution;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outplacement services upon request for a period of up to six months beginning with the first full month after termination.</w:t>
      </w:r>
    </w:p>
    <w:p>
      <w:pPr>
        <w:spacing w:after="0" w:line="22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Upon a change of control, Mr. McCollum’s equity awards will vest and any applicable forfeiture restrictions will lapse. The foregoing is a summary of the material terms of the CIC Agreement and is qualified in its entirety by reference to the form of CIC Agreement. A copy of the form of CIC Agreement is incorporated by reference as Exhibit 10.1 to this Current Report on Form 8-K, and the terms of the CIC Agreement are incorporated herein by reference.</w:t>
      </w:r>
    </w:p>
    <w:p>
      <w:pPr>
        <w:sectPr>
          <w:pgSz w:w="11900" w:h="16838" w:orient="portrait"/>
          <w:cols w:equalWidth="0" w:num="1">
            <w:col w:w="11420"/>
          </w:cols>
          <w:pgMar w:left="240" w:top="270" w:right="239" w:bottom="1440" w:gutter="0" w:footer="0" w:header="0"/>
        </w:sectPr>
      </w:pPr>
    </w:p>
    <w:bookmarkStart w:id="2" w:name="page3"/>
    <w:bookmarkEnd w:id="2"/>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and one of its primary subsidiaries will enter into customary officer indemnification agreements (deeds of indemnity) with Mr. McCollum upon joining the Company. The form of the deeds of indemnity are filed as Exhibits 10.2 and 10.3, respectively, to this Current Report on Form 8-K and are incorporated herein by reference.</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There are no family relationships between Mr. McCollum and any director, executive officer or person nominated or chosen by the Company to become a director or executive officer. Additionally, there have been no transactions involving Mr. McCollum that would require disclosure under Item 404(a) of Regulation S-K.</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appointment of Mr. McCollum, Mr. Shivram will depart the Company, effective immediately. Mr. Shivram will receive amounts due to him under his employment agreement, equity award agreements and the compensation arrangements made following his appointment as interim CEO. Included in these amounts will be a cash bonus of $1.5 million for achieving certain performance metrics and for his significant contributions to the Company during his interim CEO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addition to Mr. McCollum joining the Board of Directors of the Company, Mr. William Macaulay has been appointed Chairman of the Board of Directors, replacing Mr. Robert Rayne, who will remain on the Board as a director, but step down as Chairman.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March 6, 2017, the Company issued a press release describing the matters in the first paragraph of Item 5.02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12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1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Form of Change in Control Agreement, incorporated by reference to Exhibit 10.1 of the Company’s Current Report on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December 13, 2016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Deed of Indemnity of Weatherford International plc, incorporated by reference to Exhibit 10.11 of the Company’s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Form 8-K12B filed June 17, 2014</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Form of Deed of Indemnity of Weatherford International Ltd. (Bermuda), incorporated by reference to Exhibit 10.12 of the Company’s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Report on Form 8-K12B filed June 17, 2014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Press Release dated March 6, 2017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Weatherford International plc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2017</w:t>
      </w:r>
    </w:p>
    <w:p>
      <w:pPr>
        <w:spacing w:after="0" w:line="11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Christina M. Ibrahim</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20"/>
          </w:cols>
          <w:pgMar w:left="2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80" w:type="dxa"/>
            <w:vAlign w:val="bottom"/>
            <w:gridSpan w:val="3"/>
          </w:tcPr>
          <w:p>
            <w:pPr>
              <w:ind w:left="43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120" w:type="dxa"/>
            <w:vAlign w:val="bottom"/>
          </w:tcPr>
          <w:p>
            <w:pPr>
              <w:spacing w:after="0"/>
              <w:rPr>
                <w:sz w:val="24"/>
                <w:szCs w:val="2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5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1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Form of Change in Control Agreement, incorporated by reference to Exhibit 10.1 of the Company’s Current Report on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December 13, 2016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Deed of Indemnity of Weatherford International plc, incorporated by reference to Exhibit 10.11 of the Company’s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Form 8-K12B filed June 17, 2014</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Form of Deed of Indemnity of Weatherford International Ltd. (Bermuda), incorporated by reference to Exhibit 10.12 of the Company’s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Report on Form 8-K12B filed June 17, 2014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Press Release dated March 6, 2017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95186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Appoints Mark A. McCollum as President, CEO and Director</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BAAR, SWITZERLAND, March 6, 2017 - Weatherford International plc (NYSE: WFT) announced today that after a full and diligent search process, the Board has appointed Mr. Mark A. McCollum as President and Chief Executive Officer, as well as a member of the Board of Directors, with an effective start date in late April 2017. Mr. McCollum is a proven executive with an impressive background spanning over 36 years in the energy sector, most recently as Executive Vice President and Chief Financial Officer at Halliburton Company. In addition to Mr. McCollum joining the Board of Directors of the Company, Mr. William Macaulay has been appointed Chairman of the Board of Directors.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Macaulay, Weatherford’s Chairman of the Board of Directors, commented, “We are extremely excited to have Mark as our CEO and as new member of the Board. After conducting a thorough executive search the Board determined that Mark’s significant industry experience, proven track record and leadership expertise makes him the ideal choice to lead Weatherford.”</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Macaulay continued, “Consistent with our recent communications, our near-term priorities remain unchanged and focused on driving sustainable free cash flow, higher returns and improved financial flexibility. Furthermore, we remain committed to the core elements of our near-term strategy and will achieve these objectives through debt reduction, non-core asset dispositions and getting back to the basics in the way we work as we continue serving our customers with excellence and the highest level of service quality. The Board and I are highly confident that Mark is well suited to lead Weatherford in these efforts and execute a longer-term strategy to position the Company for the next chapter in its evolution. We look forward to working with him on these important steps.”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Commenting on his appointment, Mr. McCollum said, “I am excited to join the Company at such an important time. Weatherford is an excellent company with great people, technology and global reach. I look forward to working with the team to build a stronger and healthier Weatherford with a clear purpose and vision for the future. I believe Weatherford is well positioned to maximize opportunities in the recovering market and provide exceptional service to our customers and value to our shareholders.”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Krishna Shivram will be departing as interim Chief Executive Officer effective immediately. Christoph Bausch, Weatherford’s Executive Vice President and Chief Financial Officer will serve as acting Chief Executive Officer until Mr. McCollum assumes the role in a permanent capacity.</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Macaulay concluded, “I would like to take this opportunity to thank Krishna for his contributions to the Company and his years of service at Weatherford. Krishna was instrumental in helping us through this transition process while setting the Company on the right path forward. The entire Weatherford family wishes him well in his future endeavors.”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Mark A. McCollum</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McCollum’s has over 36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w:t>
      </w:r>
    </w:p>
    <w:p>
      <w:pPr>
        <w:sectPr>
          <w:pgSz w:w="11900" w:h="16838" w:orient="portrait"/>
          <w:cols w:equalWidth="0" w:num="1">
            <w:col w:w="11420"/>
          </w:cols>
          <w:pgMar w:left="240" w:top="121" w:right="23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McCollum is a member of the Board of Directors and the Audit and Compensation Committees at Archrock, Inc., previously known as Exterran Holdings. He is also a Regent at Baylor University and on the Baylor College of Medicine Board of Trustees. Mr. McCollum received his Bachelor Degree in Business Administration and Accounting from Baylor University, and is a registered CPA in the State of Texas.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90 countries and has a network of approximately 900 locations, including manufacturing, service, research and development, and training facilities and employs approximately 30,000 people. For more information, visit www.weatherford.com and connect with Weatherford on LinkedIn, Twitter, YouTube and Facebook.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news release contains forward-looking statements. These forward-looking statements include, among other things, the Company’s strategies and priorities,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Weatherford’s current beliefs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2016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7140" w:type="dxa"/>
            <w:vAlign w:val="bottom"/>
          </w:tcPr>
          <w:p>
            <w:pPr>
              <w:jc w:val="right"/>
              <w:ind w:right="2410"/>
              <w:spacing w:after="0"/>
              <w:rPr>
                <w:sz w:val="20"/>
                <w:szCs w:val="20"/>
                <w:color w:val="auto"/>
              </w:rPr>
            </w:pPr>
            <w:r>
              <w:rPr>
                <w:rFonts w:ascii="Arial" w:cs="Arial" w:eastAsia="Arial" w:hAnsi="Arial"/>
                <w:sz w:val="18"/>
                <w:szCs w:val="18"/>
                <w:color w:val="auto"/>
              </w:rPr>
              <w:t># # #</w:t>
            </w:r>
          </w:p>
        </w:tc>
        <w:tc>
          <w:tcPr>
            <w:tcW w:w="2840" w:type="dxa"/>
            <w:vAlign w:val="bottom"/>
          </w:tcPr>
          <w:p>
            <w:pPr>
              <w:spacing w:after="0"/>
              <w:rPr>
                <w:sz w:val="20"/>
                <w:szCs w:val="20"/>
                <w:color w:val="auto"/>
              </w:rPr>
            </w:pP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Contacts:</w:t>
            </w:r>
          </w:p>
        </w:tc>
        <w:tc>
          <w:tcPr>
            <w:tcW w:w="7140" w:type="dxa"/>
            <w:vAlign w:val="bottom"/>
          </w:tcPr>
          <w:p>
            <w:pPr>
              <w:ind w:left="560"/>
              <w:spacing w:after="0"/>
              <w:rPr>
                <w:sz w:val="20"/>
                <w:szCs w:val="20"/>
                <w:color w:val="auto"/>
              </w:rPr>
            </w:pPr>
            <w:r>
              <w:rPr>
                <w:rFonts w:ascii="Arial" w:cs="Arial" w:eastAsia="Arial" w:hAnsi="Arial"/>
                <w:sz w:val="18"/>
                <w:szCs w:val="18"/>
                <w:color w:val="auto"/>
              </w:rPr>
              <w:t>Christoph Bausch</w:t>
            </w:r>
          </w:p>
        </w:tc>
        <w:tc>
          <w:tcPr>
            <w:tcW w:w="284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30"/>
        </w:trPr>
        <w:tc>
          <w:tcPr>
            <w:tcW w:w="1260" w:type="dxa"/>
            <w:vAlign w:val="bottom"/>
          </w:tcPr>
          <w:p>
            <w:pPr>
              <w:spacing w:after="0"/>
              <w:rPr>
                <w:sz w:val="20"/>
                <w:szCs w:val="20"/>
                <w:color w:val="auto"/>
              </w:rPr>
            </w:pPr>
          </w:p>
        </w:tc>
        <w:tc>
          <w:tcPr>
            <w:tcW w:w="7140" w:type="dxa"/>
            <w:vAlign w:val="bottom"/>
          </w:tcPr>
          <w:p>
            <w:pPr>
              <w:ind w:left="560"/>
              <w:spacing w:after="0"/>
              <w:rPr>
                <w:sz w:val="20"/>
                <w:szCs w:val="20"/>
                <w:color w:val="auto"/>
              </w:rPr>
            </w:pPr>
            <w:r>
              <w:rPr>
                <w:rFonts w:ascii="Arial" w:cs="Arial" w:eastAsia="Arial" w:hAnsi="Arial"/>
                <w:sz w:val="18"/>
                <w:szCs w:val="18"/>
                <w:color w:val="auto"/>
              </w:rPr>
              <w:t>Acting Chief Executive Officer, EVP and CFO</w:t>
            </w:r>
          </w:p>
        </w:tc>
        <w:tc>
          <w:tcPr>
            <w:tcW w:w="2840" w:type="dxa"/>
            <w:vAlign w:val="bottom"/>
          </w:tcPr>
          <w:p>
            <w:pPr>
              <w:spacing w:after="0"/>
              <w:rPr>
                <w:sz w:val="20"/>
                <w:szCs w:val="20"/>
                <w:color w:val="auto"/>
              </w:rPr>
            </w:pPr>
          </w:p>
        </w:tc>
      </w:tr>
      <w:tr>
        <w:trPr>
          <w:trHeight w:val="310"/>
        </w:trPr>
        <w:tc>
          <w:tcPr>
            <w:tcW w:w="1260" w:type="dxa"/>
            <w:vAlign w:val="bottom"/>
          </w:tcPr>
          <w:p>
            <w:pPr>
              <w:spacing w:after="0"/>
              <w:rPr>
                <w:sz w:val="24"/>
                <w:szCs w:val="24"/>
                <w:color w:val="auto"/>
              </w:rPr>
            </w:pPr>
          </w:p>
        </w:tc>
        <w:tc>
          <w:tcPr>
            <w:tcW w:w="7140" w:type="dxa"/>
            <w:vAlign w:val="bottom"/>
          </w:tcPr>
          <w:p>
            <w:pPr>
              <w:ind w:left="560"/>
              <w:spacing w:after="0"/>
              <w:rPr>
                <w:sz w:val="20"/>
                <w:szCs w:val="20"/>
                <w:color w:val="auto"/>
              </w:rPr>
            </w:pPr>
            <w:r>
              <w:rPr>
                <w:rFonts w:ascii="Arial" w:cs="Arial" w:eastAsia="Arial" w:hAnsi="Arial"/>
                <w:sz w:val="18"/>
                <w:szCs w:val="18"/>
                <w:color w:val="auto"/>
              </w:rPr>
              <w:t>Karen David-Green</w:t>
            </w:r>
          </w:p>
        </w:tc>
        <w:tc>
          <w:tcPr>
            <w:tcW w:w="28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1260" w:type="dxa"/>
            <w:vAlign w:val="bottom"/>
          </w:tcPr>
          <w:p>
            <w:pPr>
              <w:spacing w:after="0"/>
              <w:rPr>
                <w:sz w:val="20"/>
                <w:szCs w:val="20"/>
                <w:color w:val="auto"/>
              </w:rPr>
            </w:pPr>
          </w:p>
        </w:tc>
        <w:tc>
          <w:tcPr>
            <w:tcW w:w="7140" w:type="dxa"/>
            <w:vAlign w:val="bottom"/>
          </w:tcPr>
          <w:p>
            <w:pPr>
              <w:ind w:left="560"/>
              <w:spacing w:after="0"/>
              <w:rPr>
                <w:sz w:val="20"/>
                <w:szCs w:val="20"/>
                <w:color w:val="auto"/>
              </w:rPr>
            </w:pPr>
            <w:r>
              <w:rPr>
                <w:rFonts w:ascii="Arial" w:cs="Arial" w:eastAsia="Arial" w:hAnsi="Arial"/>
                <w:sz w:val="18"/>
                <w:szCs w:val="18"/>
                <w:color w:val="auto"/>
              </w:rPr>
              <w:t>Vice President – Investor Relations, Marketing and Communications</w:t>
            </w:r>
          </w:p>
        </w:tc>
        <w:tc>
          <w:tcPr>
            <w:tcW w:w="2840" w:type="dxa"/>
            <w:vAlign w:val="bottom"/>
          </w:tcPr>
          <w:p>
            <w:pPr>
              <w:spacing w:after="0"/>
              <w:rPr>
                <w:sz w:val="20"/>
                <w:szCs w:val="20"/>
                <w:color w:val="auto"/>
              </w:rPr>
            </w:pPr>
          </w:p>
        </w:tc>
      </w:tr>
      <w:tr>
        <w:trPr>
          <w:trHeight w:val="365"/>
        </w:trPr>
        <w:tc>
          <w:tcPr>
            <w:tcW w:w="1260" w:type="dxa"/>
            <w:vAlign w:val="bottom"/>
          </w:tcPr>
          <w:p>
            <w:pPr>
              <w:spacing w:after="0"/>
              <w:rPr>
                <w:sz w:val="24"/>
                <w:szCs w:val="24"/>
                <w:color w:val="auto"/>
              </w:rPr>
            </w:pPr>
          </w:p>
        </w:tc>
        <w:tc>
          <w:tcPr>
            <w:tcW w:w="7140" w:type="dxa"/>
            <w:vAlign w:val="bottom"/>
          </w:tcPr>
          <w:p>
            <w:pPr>
              <w:jc w:val="right"/>
              <w:ind w:right="2550"/>
              <w:spacing w:after="0"/>
              <w:rPr>
                <w:sz w:val="20"/>
                <w:szCs w:val="20"/>
                <w:color w:val="auto"/>
              </w:rPr>
            </w:pPr>
            <w:r>
              <w:rPr>
                <w:rFonts w:ascii="Arial" w:cs="Arial" w:eastAsia="Arial" w:hAnsi="Arial"/>
                <w:sz w:val="18"/>
                <w:szCs w:val="18"/>
                <w:color w:val="auto"/>
              </w:rPr>
              <w:t>2</w:t>
            </w:r>
          </w:p>
        </w:tc>
        <w:tc>
          <w:tcPr>
            <w:tcW w:w="2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2019-12-07T23:03:27Z</dcterms:created>
  <dcterms:modified xsi:type="dcterms:W3CDTF">2019-12-07T23:03:27Z</dcterms:modified>
</cp:coreProperties>
</file>