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568960</wp:posOffset>
            </wp:positionH>
            <wp:positionV relativeFrom="page">
              <wp:posOffset>612140</wp:posOffset>
            </wp:positionV>
            <wp:extent cx="683514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CURRENT REPORT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May 24, 2016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Weatherford International public limited company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18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Ireland</w:t>
            </w:r>
          </w:p>
        </w:tc>
        <w:tc>
          <w:tcPr>
            <w:tcW w:w="3360" w:type="dxa"/>
            <w:vAlign w:val="bottom"/>
          </w:tcPr>
          <w:p>
            <w:pPr>
              <w:jc w:val="right"/>
              <w:ind w:right="1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001-36504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98-0606750</w:t>
            </w:r>
          </w:p>
        </w:tc>
      </w:tr>
      <w:tr>
        <w:trPr>
          <w:trHeight w:val="54"/>
        </w:trPr>
        <w:tc>
          <w:tcPr>
            <w:tcW w:w="4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7"/>
        </w:trPr>
        <w:tc>
          <w:tcPr>
            <w:tcW w:w="418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 incorporation)</w:t>
            </w:r>
          </w:p>
        </w:tc>
        <w:tc>
          <w:tcPr>
            <w:tcW w:w="33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(I.R.S. Employer Identification No.)</w:t>
            </w:r>
          </w:p>
        </w:tc>
      </w:tr>
      <w:tr>
        <w:trPr>
          <w:trHeight w:val="405"/>
        </w:trPr>
        <w:tc>
          <w:tcPr>
            <w:tcW w:w="754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Bahnhofstrasse 1, 6340 Baar, Switzerland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CH 6340</w:t>
            </w:r>
          </w:p>
        </w:tc>
      </w:tr>
      <w:tr>
        <w:trPr>
          <w:trHeight w:val="54"/>
        </w:trPr>
        <w:tc>
          <w:tcPr>
            <w:tcW w:w="7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7"/>
        </w:trPr>
        <w:tc>
          <w:tcPr>
            <w:tcW w:w="754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+41.22.816.1500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442595</wp:posOffset>
            </wp:positionH>
            <wp:positionV relativeFrom="paragraph">
              <wp:posOffset>51435</wp:posOffset>
            </wp:positionV>
            <wp:extent cx="64490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Name, Former Address and Former Fiscal Year, if Changed Since Last Report)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right="12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186690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057" w:right="239" w:bottom="1440" w:gutter="0" w:footer="0" w:header="0"/>
        </w:sectPr>
      </w:pPr>
    </w:p>
    <w:bookmarkStart w:id="1" w:name="page2"/>
    <w:bookmarkEnd w:id="1"/>
    <w:p>
      <w:pPr>
        <w:ind w:left="8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7.01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Regulation FD Disclosure.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Weatherford International plc will present to certain investors at the UBS Global Oil &amp; Gas Conference to be held in Austin, Texas on May 24, 2016. The presentation materials will be available on Weatherford’s website at </w:t>
      </w:r>
      <w:r>
        <w:rPr>
          <w:rFonts w:ascii="Arial" w:cs="Arial" w:eastAsia="Arial" w:hAnsi="Arial"/>
          <w:sz w:val="16"/>
          <w:szCs w:val="16"/>
          <w:u w:val="single" w:color="auto"/>
          <w:color w:val="0000FF"/>
        </w:rPr>
        <w:t>www.weatherford.com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in the Investor Relations section on the date of the event.</w:t>
      </w:r>
    </w:p>
    <w:p>
      <w:pPr>
        <w:sectPr>
          <w:pgSz w:w="11900" w:h="16838" w:orient="portrait"/>
          <w:cols w:equalWidth="0" w:num="1">
            <w:col w:w="11400"/>
          </w:cols>
          <w:pgMar w:left="240" w:top="918" w:right="259" w:bottom="1440" w:gutter="0" w:footer="0" w:header="0"/>
        </w:sectPr>
      </w:pPr>
    </w:p>
    <w:bookmarkStart w:id="2" w:name="page3"/>
    <w:bookmarkEnd w:id="2"/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firstLine="324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Weatherford International plc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24, 2016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center"/>
        <w:ind w:left="4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Krishna Shivram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3212465</wp:posOffset>
            </wp:positionH>
            <wp:positionV relativeFrom="paragraph">
              <wp:posOffset>48895</wp:posOffset>
            </wp:positionV>
            <wp:extent cx="38760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0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center"/>
        <w:ind w:left="4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Krishna Shivram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left="4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 and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left="4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0600"/>
      </w:cols>
      <w:pgMar w:left="240" w:top="607" w:right="10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2019-12-09T01:20:28Z</dcterms:created>
  <dcterms:modified xsi:type="dcterms:W3CDTF">2019-12-09T01:20:28Z</dcterms:modified>
</cp:coreProperties>
</file>