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12, 2020</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Ireland</w:t>
            </w:r>
          </w:p>
        </w:tc>
        <w:tc>
          <w:tcPr>
            <w:tcW w:w="32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001-36504</w:t>
            </w:r>
          </w:p>
        </w:tc>
        <w:tc>
          <w:tcPr>
            <w:tcW w:w="37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426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2000 St. James Place,</w:t>
            </w:r>
          </w:p>
        </w:tc>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Houston , Texas</w:t>
            </w:r>
          </w:p>
        </w:tc>
        <w:tc>
          <w:tcPr>
            <w:tcW w:w="32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b w:val="1"/>
                <w:bCs w:val="1"/>
                <w:color w:val="auto"/>
              </w:rPr>
              <w:t>77056</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713.836.4000</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30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Trading Symbol(s)</w:t>
            </w:r>
            <w:r>
              <w:rPr>
                <w:rFonts w:ascii="Arial" w:cs="Arial" w:eastAsia="Arial" w:hAnsi="Arial"/>
                <w:sz w:val="29"/>
                <w:szCs w:val="29"/>
                <w:color w:val="auto"/>
                <w:w w:val="90"/>
                <w:vertAlign w:val="superscript"/>
              </w:rPr>
              <w:t>1</w:t>
            </w:r>
          </w:p>
        </w:tc>
        <w:tc>
          <w:tcPr>
            <w:tcW w:w="4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tcBorders>
              <w:bottom w:val="single" w:sz="8" w:color="auto"/>
              <w:right w:val="single" w:sz="8" w:color="auto"/>
            </w:tcBorders>
            <w:vMerge w:val="continue"/>
          </w:tcPr>
          <w:p>
            <w:pPr>
              <w:spacing w:after="0"/>
              <w:rPr>
                <w:sz w:val="20"/>
                <w:szCs w:val="20"/>
                <w:color w:val="auto"/>
              </w:rPr>
            </w:pP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10"/>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WFTLF</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4"/>
          <w:szCs w:val="24"/>
          <w:color w:val="auto"/>
        </w:rPr>
      </w:pPr>
    </w:p>
    <w:p>
      <w:pPr>
        <w:ind w:left="340" w:right="100" w:hanging="332"/>
        <w:spacing w:after="0" w:line="214" w:lineRule="auto"/>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On April 17, 2020, the New York Stock Exchange (the “NYSE”) filed a Form 25 (the “Form 25”) with the Securities and Exchange Commission delisting our ordinary shares from trading on the NYSE, which delisting became effective 10 days after the filing of the Form 25. In accordance with Rule 12d2-2 of the Securities Exchange Act of 1934, as amended (the “Exchange Act”), the de-registration of our ordinary shares under Section 12(b) of the Exchange Act will become effective 90 days from the date of the Form 25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 w:name="page2"/>
    <w:bookmarkEnd w:id="1"/>
    <w:p>
      <w:pPr>
        <w:ind w:left="1300" w:right="11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At the 2020 Annual General Meeting of Shareholders (the “Annual Meeting”) of Weatherford International plc (the “Company”) held on June 12, 2020, based on preliminary voting results, each of Thomas R. Bates, John F. Glick, and Gordon T. Hall had more votes “against” his re-election to the Board of Directors of the Company (the “Board”) than votes “for” his re-election. On June 12, 2020, in accordance with the Company’s articles of association, each of Messrs. Bates, Glick and Hall promptly tendered his resignation from the Board and the committees thereof, effective immediately, and the Board accepted such resignations. Messrs. Bates, Glick and Hall’s resignations were not the result of any dispute or disagreement with the Company on any matter relating to the Company’s operations, policies or practices.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At the Annual Meeting of the Company held on June 12, 2020, based on preliminary voting results, shareholders voted to re-elect each of Neal P. Goldman, Jacqueline C. Mutschler and Charles M. Sledge to the Board.</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A. Garcia</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Christian A. Garcia</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80"/>
      </w:cols>
      <w:pgMar w:left="32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2020-06-12T11:37:37Z</dcterms:created>
  <dcterms:modified xsi:type="dcterms:W3CDTF">2020-06-12T11:37:37Z</dcterms:modified>
</cp:coreProperties>
</file>