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APPLICATIONS FOR QUALIFICATION OF INDENTURES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TRUST INDENTURE ACT OF 1939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Co-Applicant)*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 Houston, Texas 77056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of Co-Applicant)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Issued Under the Indenture to be Qualified</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4"/>
              </w:rPr>
              <w:t>Title of Class</w:t>
            </w:r>
          </w:p>
        </w:tc>
        <w:tc>
          <w:tcPr>
            <w:tcW w:w="370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Amount</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8.00% Senior Unsecured Notes Due 2026</w:t>
            </w:r>
          </w:p>
        </w:tc>
        <w:tc>
          <w:tcPr>
            <w:tcW w:w="2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3700" w:type="dxa"/>
            <w:vAlign w:val="bottom"/>
            <w:tcBorders>
              <w:top w:val="single" w:sz="8" w:color="auto"/>
            </w:tcBorders>
          </w:tcPr>
          <w:p>
            <w:pPr>
              <w:jc w:val="right"/>
              <w:ind w:right="2039"/>
              <w:spacing w:after="0"/>
              <w:rPr>
                <w:sz w:val="20"/>
                <w:szCs w:val="20"/>
                <w:color w:val="auto"/>
              </w:rPr>
            </w:pPr>
            <w:r>
              <w:rPr>
                <w:rFonts w:ascii="Arial" w:cs="Arial" w:eastAsia="Arial" w:hAnsi="Arial"/>
                <w:sz w:val="18"/>
                <w:szCs w:val="18"/>
                <w:b w:val="1"/>
                <w:bCs w:val="1"/>
                <w:color w:val="auto"/>
              </w:rPr>
              <w:t>$1,250,000,000 **</w:t>
            </w:r>
          </w:p>
        </w:tc>
      </w:tr>
      <w:tr>
        <w:trPr>
          <w:trHeight w:val="414"/>
        </w:trPr>
        <w:tc>
          <w:tcPr>
            <w:tcW w:w="7720" w:type="dxa"/>
            <w:vAlign w:val="bottom"/>
            <w:gridSpan w:val="3"/>
          </w:tcPr>
          <w:p>
            <w:pPr>
              <w:ind w:left="3920"/>
              <w:spacing w:after="0"/>
              <w:rPr>
                <w:sz w:val="20"/>
                <w:szCs w:val="20"/>
                <w:color w:val="auto"/>
              </w:rPr>
            </w:pPr>
            <w:r>
              <w:rPr>
                <w:rFonts w:ascii="Arial" w:cs="Arial" w:eastAsia="Arial" w:hAnsi="Arial"/>
                <w:sz w:val="18"/>
                <w:szCs w:val="18"/>
                <w:b w:val="1"/>
                <w:bCs w:val="1"/>
                <w:color w:val="auto"/>
                <w:w w:val="95"/>
              </w:rPr>
              <w:t>Approximate date of proposed public offering:</w:t>
            </w:r>
          </w:p>
        </w:tc>
        <w:tc>
          <w:tcPr>
            <w:tcW w:w="3700" w:type="dxa"/>
            <w:vAlign w:val="bottom"/>
          </w:tcPr>
          <w:p>
            <w:pPr>
              <w:spacing w:after="0"/>
              <w:rPr>
                <w:sz w:val="24"/>
                <w:szCs w:val="24"/>
                <w:color w:val="auto"/>
              </w:rPr>
            </w:pPr>
          </w:p>
        </w:tc>
      </w:tr>
    </w:tbl>
    <w:p>
      <w:pPr>
        <w:spacing w:after="0" w:line="198" w:lineRule="exact"/>
        <w:rPr>
          <w:sz w:val="24"/>
          <w:szCs w:val="24"/>
          <w:color w:val="auto"/>
        </w:rPr>
      </w:pPr>
    </w:p>
    <w:p>
      <w:pPr>
        <w:ind w:right="60"/>
        <w:spacing w:after="0" w:line="347" w:lineRule="auto"/>
        <w:rPr>
          <w:sz w:val="20"/>
          <w:szCs w:val="20"/>
          <w:color w:val="auto"/>
        </w:rPr>
      </w:pPr>
      <w:r>
        <w:rPr>
          <w:rFonts w:ascii="Arial" w:cs="Arial" w:eastAsia="Arial" w:hAnsi="Arial"/>
          <w:sz w:val="16"/>
          <w:szCs w:val="16"/>
          <w:b w:val="1"/>
          <w:bCs w:val="1"/>
          <w:color w:val="auto"/>
        </w:rPr>
        <w:t>On, or as soon as practicable following, the effective date (the “</w:t>
      </w:r>
      <w:r>
        <w:rPr>
          <w:rFonts w:ascii="Arial" w:cs="Arial" w:eastAsia="Arial" w:hAnsi="Arial"/>
          <w:sz w:val="16"/>
          <w:szCs w:val="16"/>
          <w:b w:val="1"/>
          <w:bCs w:val="1"/>
          <w:i w:val="1"/>
          <w:iCs w:val="1"/>
          <w:color w:val="auto"/>
        </w:rPr>
        <w:t>Effective Date</w:t>
      </w:r>
      <w:r>
        <w:rPr>
          <w:rFonts w:ascii="Arial" w:cs="Arial" w:eastAsia="Arial" w:hAnsi="Arial"/>
          <w:sz w:val="16"/>
          <w:szCs w:val="16"/>
          <w:b w:val="1"/>
          <w:bCs w:val="1"/>
          <w:color w:val="auto"/>
        </w:rPr>
        <w:t>”) under the Joint Prepackaged Plan of Reorganization of Weatherford International plc and its Affiliate Debtors under Chapter 11 of the Bankruptcy Code (as amended or supplemented, the “</w:t>
      </w:r>
      <w:r>
        <w:rPr>
          <w:rFonts w:ascii="Arial" w:cs="Arial" w:eastAsia="Arial" w:hAnsi="Arial"/>
          <w:sz w:val="16"/>
          <w:szCs w:val="16"/>
          <w:b w:val="1"/>
          <w:bCs w:val="1"/>
          <w:i w:val="1"/>
          <w:iCs w:val="1"/>
          <w:color w:val="auto"/>
        </w:rPr>
        <w:t>Plan of Reorganization</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154305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5"/>
              </w:rPr>
              <w:t>Christina M. Ibrahim</w:t>
            </w:r>
          </w:p>
        </w:tc>
        <w:tc>
          <w:tcPr>
            <w:tcW w:w="3500" w:type="dxa"/>
            <w:vAlign w:val="bottom"/>
          </w:tcPr>
          <w:p>
            <w:pPr>
              <w:jc w:val="center"/>
              <w:ind w:left="1310"/>
              <w:spacing w:after="0"/>
              <w:rPr>
                <w:sz w:val="20"/>
                <w:szCs w:val="20"/>
                <w:color w:val="auto"/>
              </w:rPr>
            </w:pPr>
            <w:r>
              <w:rPr>
                <w:rFonts w:ascii="Arial" w:cs="Arial" w:eastAsia="Arial" w:hAnsi="Arial"/>
                <w:sz w:val="18"/>
                <w:szCs w:val="18"/>
                <w:color w:val="auto"/>
                <w:w w:val="91"/>
              </w:rPr>
              <w:t>Copies to:</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Weatherford International plc</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Ryan J. Maierson</w:t>
            </w:r>
          </w:p>
        </w:tc>
      </w:tr>
      <w:tr>
        <w:trPr>
          <w:trHeight w:val="216"/>
        </w:trPr>
        <w:tc>
          <w:tcPr>
            <w:tcW w:w="5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4"/>
              </w:rPr>
              <w:t>John M. Greer</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Chief Compliance Officer and Corporate Secretary</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2000 St. James Place</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87"/>
              </w:rPr>
              <w:t>Houston, Texas 77056</w:t>
            </w:r>
          </w:p>
        </w:tc>
        <w:tc>
          <w:tcPr>
            <w:tcW w:w="3500" w:type="dxa"/>
            <w:vAlign w:val="bottom"/>
          </w:tcPr>
          <w:p>
            <w:pPr>
              <w:jc w:val="center"/>
              <w:ind w:left="1310"/>
              <w:spacing w:after="0"/>
              <w:rPr>
                <w:sz w:val="20"/>
                <w:szCs w:val="20"/>
                <w:color w:val="auto"/>
              </w:rPr>
            </w:pPr>
            <w:r>
              <w:rPr>
                <w:rFonts w:ascii="Arial" w:cs="Arial" w:eastAsia="Arial" w:hAnsi="Arial"/>
                <w:sz w:val="18"/>
                <w:szCs w:val="18"/>
                <w:b w:val="1"/>
                <w:bCs w:val="1"/>
                <w:color w:val="auto"/>
                <w:w w:val="87"/>
              </w:rPr>
              <w:t>Houston, Texas 77002</w:t>
            </w:r>
          </w:p>
        </w:tc>
      </w:tr>
      <w:tr>
        <w:trPr>
          <w:trHeight w:val="220"/>
        </w:trPr>
        <w:tc>
          <w:tcPr>
            <w:tcW w:w="5340" w:type="dxa"/>
            <w:vAlign w:val="bottom"/>
          </w:tcPr>
          <w:p>
            <w:pPr>
              <w:jc w:val="center"/>
              <w:ind w:right="1310"/>
              <w:spacing w:after="0"/>
              <w:rPr>
                <w:sz w:val="20"/>
                <w:szCs w:val="20"/>
                <w:color w:val="auto"/>
              </w:rPr>
            </w:pPr>
            <w:r>
              <w:rPr>
                <w:rFonts w:ascii="Arial" w:cs="Arial" w:eastAsia="Arial" w:hAnsi="Arial"/>
                <w:sz w:val="18"/>
                <w:szCs w:val="18"/>
                <w:b w:val="1"/>
                <w:bCs w:val="1"/>
                <w:color w:val="auto"/>
                <w:w w:val="92"/>
              </w:rPr>
              <w:t>(713) 836-4000</w:t>
            </w:r>
          </w:p>
        </w:tc>
        <w:tc>
          <w:tcPr>
            <w:tcW w:w="350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(713) 546-5400</w:t>
            </w:r>
          </w:p>
        </w:tc>
      </w:tr>
      <w:tr>
        <w:trPr>
          <w:trHeight w:val="230"/>
        </w:trPr>
        <w:tc>
          <w:tcPr>
            <w:tcW w:w="5340" w:type="dxa"/>
            <w:vAlign w:val="bottom"/>
          </w:tcPr>
          <w:p>
            <w:pPr>
              <w:jc w:val="center"/>
              <w:ind w:right="1310"/>
              <w:spacing w:after="0"/>
              <w:rPr>
                <w:sz w:val="20"/>
                <w:szCs w:val="20"/>
                <w:color w:val="auto"/>
              </w:rPr>
            </w:pPr>
            <w:r>
              <w:rPr>
                <w:rFonts w:ascii="Arial" w:cs="Arial" w:eastAsia="Arial" w:hAnsi="Arial"/>
                <w:sz w:val="18"/>
                <w:szCs w:val="18"/>
                <w:color w:val="auto"/>
                <w:w w:val="91"/>
              </w:rPr>
              <w:t>(Name and Address of Agent for Service)</w:t>
            </w:r>
          </w:p>
        </w:tc>
        <w:tc>
          <w:tcPr>
            <w:tcW w:w="3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Co-Applicants listed on the following page are also included in this application as Applicants.</w:t>
      </w:r>
    </w:p>
    <w:p>
      <w:pPr>
        <w:spacing w:after="0" w:line="23"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amount of the Notes to be issued by each Co-Applicant will be disclosed in an amendment to this application.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Amendment No. 2 to Form T-3 (this “</w:t>
      </w:r>
      <w:r>
        <w:rPr>
          <w:rFonts w:ascii="Arial" w:cs="Arial" w:eastAsia="Arial" w:hAnsi="Arial"/>
          <w:sz w:val="16"/>
          <w:szCs w:val="16"/>
          <w:b w:val="1"/>
          <w:bCs w:val="1"/>
          <w:color w:val="auto"/>
        </w:rPr>
        <w:t>Amendment</w:t>
      </w:r>
      <w:r>
        <w:rPr>
          <w:rFonts w:ascii="Arial" w:cs="Arial" w:eastAsia="Arial" w:hAnsi="Arial"/>
          <w:sz w:val="16"/>
          <w:szCs w:val="16"/>
          <w:color w:val="auto"/>
        </w:rPr>
        <w:t>”) is being filed on behalf of Weatherford International, LLC, Weatherford International Ltd. and their affiliates expected to be guarantors of the 8.00% Senior Unsecured Notes due 2026 (collectively, the “</w:t>
      </w:r>
      <w:r>
        <w:rPr>
          <w:rFonts w:ascii="Arial" w:cs="Arial" w:eastAsia="Arial" w:hAnsi="Arial"/>
          <w:sz w:val="16"/>
          <w:szCs w:val="16"/>
          <w:b w:val="1"/>
          <w:bCs w:val="1"/>
          <w:color w:val="auto"/>
        </w:rPr>
        <w:t>Applicants</w:t>
      </w:r>
      <w:r>
        <w:rPr>
          <w:rFonts w:ascii="Arial" w:cs="Arial" w:eastAsia="Arial" w:hAnsi="Arial"/>
          <w:sz w:val="16"/>
          <w:szCs w:val="16"/>
          <w:color w:val="auto"/>
        </w:rPr>
        <w:t>”). This Amendment is being filed solely to</w:t>
      </w:r>
    </w:p>
    <w:p>
      <w:pPr>
        <w:spacing w:after="0" w:line="1" w:lineRule="exact"/>
        <w:rPr>
          <w:sz w:val="20"/>
          <w:szCs w:val="20"/>
          <w:color w:val="auto"/>
        </w:rPr>
      </w:pPr>
    </w:p>
    <w:p>
      <w:pPr>
        <w:ind w:right="120"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 Exhibits T3B-23, T3B-24, T3B-25, T3B-26, T3E-1 and T3E-2 filed herewith, (ii) update the Index to Exhibits and (iii) replace in its entirety Amendment No. 1 to the Form T-3, which was filed using an incorrect file number. This Amendment is not intended to amend or delete any other part of the Applicants’ Application for Qualification (the “</w:t>
      </w:r>
      <w:r>
        <w:rPr>
          <w:rFonts w:ascii="Arial" w:cs="Arial" w:eastAsia="Arial" w:hAnsi="Arial"/>
          <w:sz w:val="18"/>
          <w:szCs w:val="18"/>
          <w:b w:val="1"/>
          <w:bCs w:val="1"/>
          <w:color w:val="auto"/>
        </w:rPr>
        <w:t>Application</w:t>
      </w:r>
      <w:r>
        <w:rPr>
          <w:rFonts w:ascii="Arial" w:cs="Arial" w:eastAsia="Arial" w:hAnsi="Arial"/>
          <w:sz w:val="18"/>
          <w:szCs w:val="18"/>
          <w:color w:val="auto"/>
        </w:rPr>
        <w:t>”). All other information in the Application is unchanged and has been omitted from this Amendment.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60" w:type="dxa"/>
            <w:vAlign w:val="bottom"/>
            <w:gridSpan w:val="3"/>
          </w:tcPr>
          <w:p>
            <w:pPr>
              <w:ind w:left="286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17"/>
                <w:szCs w:val="17"/>
                <w:color w:val="auto"/>
              </w:rPr>
            </w:pPr>
          </w:p>
        </w:tc>
      </w:tr>
      <w:tr>
        <w:trPr>
          <w:trHeight w:val="20"/>
        </w:trPr>
        <w:tc>
          <w:tcPr>
            <w:tcW w:w="196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Certificate of Formation of Weatherford International, LLC, a Delaware limited liability company (incorporated by reference to</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Exhibit 4.7 to the Registration Statement on Form S-3 of Weatherford International Ltd., a Swiss joint-stock corporation (File</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No. 333-194431), filed March 7, 2014)</w:t>
            </w: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w:t>
            </w: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Memorandum and Articles of Association of Weatherford International plc, an Irish public limited company (incorporated by</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6"/>
              </w:rPr>
              <w:t>reference to Exhibit 3.1 to Weatherford International plc’s Current Report on Form 8-K12B (File No. 1-36504) filed June 17,</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2014)</w:t>
            </w:r>
          </w:p>
        </w:tc>
        <w:tc>
          <w:tcPr>
            <w:tcW w:w="18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T3A-3*</w:t>
            </w:r>
          </w:p>
        </w:tc>
        <w:tc>
          <w:tcPr>
            <w:tcW w:w="9460" w:type="dxa"/>
            <w:vAlign w:val="bottom"/>
            <w:gridSpan w:val="3"/>
          </w:tcPr>
          <w:p>
            <w:pPr>
              <w:spacing w:after="0"/>
              <w:rPr>
                <w:sz w:val="20"/>
                <w:szCs w:val="20"/>
                <w:color w:val="auto"/>
              </w:rPr>
            </w:pPr>
            <w:r>
              <w:rPr>
                <w:rFonts w:ascii="Arial" w:cs="Arial" w:eastAsia="Arial" w:hAnsi="Arial"/>
                <w:sz w:val="18"/>
                <w:szCs w:val="18"/>
                <w:color w:val="auto"/>
                <w:w w:val="95"/>
              </w:rPr>
              <w:t>Memorandum of Association of Weatherford International Ltd., a Bermuda exempted company (incorporated by reference to</w:t>
            </w:r>
          </w:p>
        </w:tc>
        <w:tc>
          <w:tcPr>
            <w:tcW w:w="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9"/>
              </w:rPr>
              <w:t>Annex II to the proxy statement/prospectus included in Amendment No. 1 to the Registration Statement on Form S-4 of</w:t>
            </w:r>
          </w:p>
        </w:tc>
        <w:tc>
          <w:tcPr>
            <w:tcW w:w="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Weatherford International Ltd., a Bermuda exempted company (File No. 333-85644) filed May 22, 2002)</w:t>
            </w:r>
          </w:p>
        </w:tc>
        <w:tc>
          <w:tcPr>
            <w:tcW w:w="40" w:type="dxa"/>
            <w:vAlign w:val="bottom"/>
          </w:tcPr>
          <w:p>
            <w:pPr>
              <w:spacing w:after="0"/>
              <w:rPr>
                <w:sz w:val="20"/>
                <w:szCs w:val="20"/>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T3A-4*</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Advantage R &amp; D,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T3A-5*</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Benmore In-Depth Corp.,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T3A-6*</w:t>
            </w:r>
          </w:p>
        </w:tc>
        <w:tc>
          <w:tcPr>
            <w:tcW w:w="9460" w:type="dxa"/>
            <w:vAlign w:val="bottom"/>
            <w:gridSpan w:val="3"/>
          </w:tcPr>
          <w:p>
            <w:pPr>
              <w:spacing w:after="0"/>
              <w:rPr>
                <w:sz w:val="20"/>
                <w:szCs w:val="20"/>
                <w:color w:val="auto"/>
              </w:rPr>
            </w:pPr>
            <w:r>
              <w:rPr>
                <w:rFonts w:ascii="Arial" w:cs="Arial" w:eastAsia="Arial" w:hAnsi="Arial"/>
                <w:sz w:val="18"/>
                <w:szCs w:val="18"/>
                <w:color w:val="auto"/>
              </w:rPr>
              <w:t>Amended and Restated Articles of Incorporation of Case Services,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T3A-7*</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Colombia Petroleum Services Corp.,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Incorporation of Columbia Oilfield Supply, Inc., a Delaware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Datalog Acquisition,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Discovery Logging,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T3A-11*</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Edinburgh Petroleum Services Americas Incorporated,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T3A-12*</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eProduction Solutions, LLC, a Texas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T3A-13*</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High Pressure Integrity, Inc., a Louisiana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T3A-14*</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In-Depth Systems, Inc., a Texas corporation</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T3A-15*</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LLC, a California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T3A-16*</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Organization of International Logging S.A., LLC, a Nevada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T3A-17*</w:t>
            </w:r>
          </w:p>
        </w:tc>
        <w:tc>
          <w:tcPr>
            <w:tcW w:w="9460" w:type="dxa"/>
            <w:vAlign w:val="bottom"/>
            <w:gridSpan w:val="3"/>
          </w:tcPr>
          <w:p>
            <w:pPr>
              <w:spacing w:after="0"/>
              <w:rPr>
                <w:sz w:val="20"/>
                <w:szCs w:val="20"/>
                <w:color w:val="auto"/>
              </w:rPr>
            </w:pPr>
            <w:r>
              <w:rPr>
                <w:rFonts w:ascii="Arial" w:cs="Arial" w:eastAsia="Arial" w:hAnsi="Arial"/>
                <w:sz w:val="18"/>
                <w:szCs w:val="18"/>
                <w:color w:val="auto"/>
              </w:rPr>
              <w:t>Memorandum of Association of Key International Drilling Company Limited, a Bermuda exempted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T3A-18*</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Limited Partnership of PD Holdings (USA), L.P., a Delaware limited partnership, as amended</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T3A-19*</w:t>
            </w:r>
          </w:p>
        </w:tc>
        <w:tc>
          <w:tcPr>
            <w:tcW w:w="9460" w:type="dxa"/>
            <w:vAlign w:val="bottom"/>
            <w:gridSpan w:val="3"/>
          </w:tcPr>
          <w:p>
            <w:pPr>
              <w:spacing w:after="0"/>
              <w:rPr>
                <w:sz w:val="20"/>
                <w:szCs w:val="20"/>
                <w:color w:val="auto"/>
              </w:rPr>
            </w:pPr>
            <w:r>
              <w:rPr>
                <w:rFonts w:ascii="Arial" w:cs="Arial" w:eastAsia="Arial" w:hAnsi="Arial"/>
                <w:sz w:val="18"/>
                <w:szCs w:val="18"/>
                <w:color w:val="auto"/>
              </w:rPr>
              <w:t>Certificate of Formation of Precision Drilling GP, LLC, a Delaware limited liability company</w:t>
            </w:r>
          </w:p>
        </w:tc>
        <w:tc>
          <w:tcPr>
            <w:tcW w:w="40" w:type="dxa"/>
            <w:vAlign w:val="bottom"/>
          </w:tcPr>
          <w:p>
            <w:pPr>
              <w:spacing w:after="0"/>
              <w:rPr>
                <w:sz w:val="24"/>
                <w:szCs w:val="24"/>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rPr>
              <w:t>Exhibit T3A-20*</w:t>
            </w:r>
          </w:p>
        </w:tc>
        <w:tc>
          <w:tcPr>
            <w:tcW w:w="9460" w:type="dxa"/>
            <w:vAlign w:val="bottom"/>
            <w:gridSpan w:val="3"/>
          </w:tcPr>
          <w:p>
            <w:pPr>
              <w:spacing w:after="0"/>
              <w:rPr>
                <w:sz w:val="20"/>
                <w:szCs w:val="20"/>
                <w:color w:val="auto"/>
              </w:rPr>
            </w:pPr>
            <w:r>
              <w:rPr>
                <w:rFonts w:ascii="Arial" w:cs="Arial" w:eastAsia="Arial" w:hAnsi="Arial"/>
                <w:sz w:val="18"/>
                <w:szCs w:val="18"/>
                <w:color w:val="auto"/>
              </w:rPr>
              <w:t>Articles of Incorporation of Precision Energy International Ltd., an Alberta corporation</w:t>
            </w:r>
          </w:p>
        </w:tc>
        <w:tc>
          <w:tcPr>
            <w:tcW w:w="4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60" w:type="dxa"/>
            <w:vAlign w:val="bottom"/>
            <w:gridSpan w:val="2"/>
          </w:tcPr>
          <w:p>
            <w:pPr>
              <w:ind w:left="3700"/>
              <w:spacing w:after="0"/>
              <w:rPr>
                <w:sz w:val="20"/>
                <w:szCs w:val="20"/>
                <w:color w:val="auto"/>
              </w:rPr>
            </w:pPr>
            <w:r>
              <w:rPr>
                <w:rFonts w:ascii="Arial" w:cs="Arial" w:eastAsia="Arial" w:hAnsi="Arial"/>
                <w:sz w:val="18"/>
                <w:szCs w:val="18"/>
                <w:color w:val="auto"/>
              </w:rPr>
              <w:t>3</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T3A-21*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Precision Energy Services Colombia Ltd., an Alberta corporation,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T3A-22*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Certificate of Amendment and Registration of Restated Articles of Precision Energy Services ULC, an Alberta unlimited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Precision Energy Services,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T3A-24*</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Certificate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T3A-27*</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Tooke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Visean Information Services Inc., a Texas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(Nova Scotia) ULC, a Nova Scotia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(PTWI)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Artificial Lift Systems,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T3A-35*</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T3A-36*</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Amendment and Registration of Restated Articles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T3A-37*</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Colombia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T3A-38*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T3A-39*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Memorandum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T3A-40*</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Drilling International Holdings (BVI) Ltd., a British Virgin</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Islands 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Eurasia Limited, an England corporation, as amended</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4</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T3A-42*</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European Holdings (Luxembourg)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Organization of Weatherford Global Services LLC, a Louisiana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T3A-44*</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T3A-45*</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Amended and Restated Memorandum of Association of Weatherford Holdings (BVI) Ltd.,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Holdings (Switzerland)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Holdings U.S.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T3A-48*</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Amended and Restated Articles of Association of Weatherford International (Luxembourg) Holdings S.á r.l, a Luxembourg private</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T3A-49*</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International Holding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 Investment Inc., a Delaware corporation,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T3A-52*</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Latin America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Management Company Switzerland Sárl,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T3A-54*</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Management,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T3A-55*</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Netherlands B.V., a Netherlands private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T3A-56*</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Norge AS, a Norway limited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T3A-57*</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Amended and Restated Memorandum of Association of Weatherford Oil Tool Middle East Limited,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T3A-58*</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Pangaea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T3A-59*</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Products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T3A-60*</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Weatherford Services S. de R.L., a Panama corporation, as amended</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5</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T3A-61*</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Weatherford Services,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Articles of Association of Weatherford Switzerland Trading and Development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T3A-63*</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Technology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U.K. Limited, an England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U.S. Holdings, L.L.C., a Delaware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T3A-66*</w:t>
            </w:r>
          </w:p>
        </w:tc>
        <w:tc>
          <w:tcPr>
            <w:tcW w:w="9860" w:type="dxa"/>
            <w:vAlign w:val="bottom"/>
          </w:tcPr>
          <w:p>
            <w:pPr>
              <w:ind w:left="360"/>
              <w:spacing w:after="0"/>
              <w:rPr>
                <w:sz w:val="20"/>
                <w:szCs w:val="20"/>
                <w:color w:val="auto"/>
              </w:rPr>
            </w:pPr>
            <w:r>
              <w:rPr>
                <w:rFonts w:ascii="Arial" w:cs="Arial" w:eastAsia="Arial" w:hAnsi="Arial"/>
                <w:sz w:val="18"/>
                <w:szCs w:val="18"/>
                <w:color w:val="auto"/>
              </w:rPr>
              <w:t>Louisiana Partnership Registration Form of Weatherford U.S., L.P., a Louisiana limited partnership</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T3A-67*</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Weatherford URS Holdings,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T3A-68*</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Worldwide Holdings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T3A-69*</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Incorporation of Weatherford/Lamb,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T3A-70*</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WEUS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T3A-71*</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WIHBV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T3A-72*</w:t>
            </w:r>
          </w:p>
        </w:tc>
        <w:tc>
          <w:tcPr>
            <w:tcW w:w="9860" w:type="dxa"/>
            <w:vAlign w:val="bottom"/>
          </w:tcPr>
          <w:p>
            <w:pPr>
              <w:ind w:left="360"/>
              <w:spacing w:after="0"/>
              <w:rPr>
                <w:sz w:val="20"/>
                <w:szCs w:val="20"/>
                <w:color w:val="auto"/>
              </w:rPr>
            </w:pPr>
            <w:r>
              <w:rPr>
                <w:rFonts w:ascii="Arial" w:cs="Arial" w:eastAsia="Arial" w:hAnsi="Arial"/>
                <w:sz w:val="18"/>
                <w:szCs w:val="18"/>
                <w:color w:val="auto"/>
              </w:rPr>
              <w:t>Memorandum of Association of WOFS Assurance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T3A-73*</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Incorporation of WOFS International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T3A-74*</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WOFS Swiss Finance GmbH, a Switzerland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T3A-75*</w:t>
            </w:r>
          </w:p>
        </w:tc>
        <w:tc>
          <w:tcPr>
            <w:tcW w:w="9860" w:type="dxa"/>
            <w:vAlign w:val="bottom"/>
          </w:tcPr>
          <w:p>
            <w:pPr>
              <w:ind w:left="360"/>
              <w:spacing w:after="0"/>
              <w:rPr>
                <w:sz w:val="20"/>
                <w:szCs w:val="20"/>
                <w:color w:val="auto"/>
              </w:rPr>
            </w:pPr>
            <w:r>
              <w:rPr>
                <w:rFonts w:ascii="Arial" w:cs="Arial" w:eastAsia="Arial" w:hAnsi="Arial"/>
                <w:sz w:val="18"/>
                <w:szCs w:val="18"/>
                <w:color w:val="auto"/>
              </w:rPr>
              <w:t>Certificate of Formation of WUS Holding,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T3B-1*</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Limited Liability Company Agreement of Weatherford International, LLC, a Delaware limited liability company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9"/>
              </w:rPr>
              <w:t>reference to Exhibit 4.8 to the Registration Statement on Form S-3 of Weatherford International Ltd., a Swiss joint-stock</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 (File No. 333-194431), filed March 7, 2014)</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T3B-2*</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Bye-Laws of Weatherford International Ltd., a Bermuda exempted company, as amended on May 10, 2016 (incorporated by</w:t>
            </w:r>
          </w:p>
        </w:tc>
      </w:tr>
      <w:tr>
        <w:trPr>
          <w:trHeight w:val="216"/>
        </w:trPr>
        <w:tc>
          <w:tcPr>
            <w:tcW w:w="1600" w:type="dxa"/>
            <w:vAlign w:val="bottom"/>
          </w:tcPr>
          <w:p>
            <w:pPr>
              <w:spacing w:after="0"/>
              <w:rPr>
                <w:sz w:val="18"/>
                <w:szCs w:val="18"/>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reference to Exhibit 3.4 to the Registration Statement on Form S-3 of Weatherford International plc (File No. 333-216034) filed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February 13, 2017)</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Advantage R &amp; D,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Benmore In-Depth Corp.,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Case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Colombia Petroleum Services Corp., a Delaware corporation</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6</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T3B-7*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Columbia Oilfield Supply,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T3B-8*</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Limited Liability Company Agreement of Datalog Acquisition,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Discovery Logging,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Edinburgh Petroleum Services Americas Incorporated,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T3B-11*</w:t>
            </w:r>
          </w:p>
        </w:tc>
        <w:tc>
          <w:tcPr>
            <w:tcW w:w="9860" w:type="dxa"/>
            <w:vAlign w:val="bottom"/>
          </w:tcPr>
          <w:p>
            <w:pPr>
              <w:ind w:left="360"/>
              <w:spacing w:after="0"/>
              <w:rPr>
                <w:sz w:val="20"/>
                <w:szCs w:val="20"/>
                <w:color w:val="auto"/>
              </w:rPr>
            </w:pPr>
            <w:r>
              <w:rPr>
                <w:rFonts w:ascii="Arial" w:cs="Arial" w:eastAsia="Arial" w:hAnsi="Arial"/>
                <w:sz w:val="18"/>
                <w:szCs w:val="18"/>
                <w:color w:val="auto"/>
              </w:rPr>
              <w:t>Company Agreement of eProduction Solutions, LLC, a Texas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High Pressure Integrity, Inc., a Louisiana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In-Depth Systems,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T3B-14*</w:t>
            </w:r>
          </w:p>
        </w:tc>
        <w:tc>
          <w:tcPr>
            <w:tcW w:w="9860" w:type="dxa"/>
            <w:vAlign w:val="bottom"/>
          </w:tcPr>
          <w:p>
            <w:pPr>
              <w:ind w:left="360"/>
              <w:spacing w:after="0"/>
              <w:rPr>
                <w:sz w:val="20"/>
                <w:szCs w:val="20"/>
                <w:color w:val="auto"/>
              </w:rPr>
            </w:pPr>
            <w:r>
              <w:rPr>
                <w:rFonts w:ascii="Arial" w:cs="Arial" w:eastAsia="Arial" w:hAnsi="Arial"/>
                <w:sz w:val="18"/>
                <w:szCs w:val="18"/>
                <w:color w:val="auto"/>
              </w:rPr>
              <w:t>Operating Agreement of International Logging LLC, a California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T3B-15*</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Limited-Liability Company Agreement of International Logging S.A., LLC, a Nevada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T3B-16*</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Key International Drilling Company Limited,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T3B-17*</w:t>
            </w:r>
          </w:p>
        </w:tc>
        <w:tc>
          <w:tcPr>
            <w:tcW w:w="9860" w:type="dxa"/>
            <w:vAlign w:val="bottom"/>
          </w:tcPr>
          <w:p>
            <w:pPr>
              <w:ind w:left="360"/>
              <w:spacing w:after="0"/>
              <w:rPr>
                <w:sz w:val="20"/>
                <w:szCs w:val="20"/>
                <w:color w:val="auto"/>
              </w:rPr>
            </w:pPr>
            <w:r>
              <w:rPr>
                <w:rFonts w:ascii="Arial" w:cs="Arial" w:eastAsia="Arial" w:hAnsi="Arial"/>
                <w:sz w:val="18"/>
                <w:szCs w:val="18"/>
                <w:color w:val="auto"/>
              </w:rPr>
              <w:t>Agreement of Limited Partnership of PD Holdings (USA), L.P., a Delaware limited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T3B-18*</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Precision Drilling GP,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T3B-19*</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International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Number 1 of Precision Energy Services Colombia Ltd., an Alberta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T3B-21*</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T3B-22*</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2 of Precision Energy Services ULC, an Alberta unlimited liability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T3B-23</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Precision Energy Services,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T3B-24</w:t>
            </w:r>
          </w:p>
        </w:tc>
        <w:tc>
          <w:tcPr>
            <w:tcW w:w="9860" w:type="dxa"/>
            <w:vAlign w:val="bottom"/>
          </w:tcPr>
          <w:p>
            <w:pPr>
              <w:ind w:left="360"/>
              <w:spacing w:after="0"/>
              <w:rPr>
                <w:sz w:val="20"/>
                <w:szCs w:val="20"/>
                <w:color w:val="auto"/>
              </w:rPr>
            </w:pPr>
            <w:r>
              <w:rPr>
                <w:rFonts w:ascii="Arial" w:cs="Arial" w:eastAsia="Arial" w:hAnsi="Arial"/>
                <w:sz w:val="18"/>
                <w:szCs w:val="18"/>
                <w:color w:val="auto"/>
                <w:w w:val="92"/>
              </w:rPr>
              <w:t>Agreement of Limited Partnership of Precision Oilfield Services, LLP, a Texas registered limited liability partnership,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Sabre Drilling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Stealth Oil &amp; Gas, Inc., a Delaware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Took Rockies, Inc., a Wyoming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T3B-28*</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Visean Information Services Inc., a Texas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T3B-29*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Bylaws of Visual Systems, Inc., a California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T3B-30*</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Warrior Well Services, Inc., an Illinois 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T3B-31*</w:t>
            </w:r>
          </w:p>
        </w:tc>
        <w:tc>
          <w:tcPr>
            <w:tcW w:w="9860" w:type="dxa"/>
            <w:vAlign w:val="bottom"/>
          </w:tcPr>
          <w:p>
            <w:pPr>
              <w:ind w:left="360"/>
              <w:spacing w:after="0"/>
              <w:rPr>
                <w:sz w:val="20"/>
                <w:szCs w:val="20"/>
                <w:color w:val="auto"/>
              </w:rPr>
            </w:pPr>
            <w:r>
              <w:rPr>
                <w:rFonts w:ascii="Arial" w:cs="Arial" w:eastAsia="Arial" w:hAnsi="Arial"/>
                <w:sz w:val="18"/>
                <w:szCs w:val="18"/>
                <w:color w:val="auto"/>
              </w:rPr>
              <w:t>Articles of Association of Weatherford (Nova Scotia) ULC, a Nova Scotia unlimited liability</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7</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corporation</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T3B-32*</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(PTWI), L.L.C., a Delaware limited liability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T3B-33*</w:t>
            </w:r>
          </w:p>
        </w:tc>
        <w:tc>
          <w:tcPr>
            <w:tcW w:w="9860" w:type="dxa"/>
            <w:vAlign w:val="bottom"/>
          </w:tcPr>
          <w:p>
            <w:pPr>
              <w:ind w:left="360"/>
              <w:spacing w:after="0"/>
              <w:rPr>
                <w:sz w:val="20"/>
                <w:szCs w:val="20"/>
                <w:color w:val="auto"/>
              </w:rPr>
            </w:pPr>
            <w:r>
              <w:rPr>
                <w:rFonts w:ascii="Arial" w:cs="Arial" w:eastAsia="Arial" w:hAnsi="Arial"/>
                <w:sz w:val="18"/>
                <w:szCs w:val="18"/>
                <w:color w:val="auto"/>
                <w:w w:val="98"/>
              </w:rPr>
              <w:t>Limited Liability Company Agreement of Weatherford Artificial Lift Systems, LLC, a Delaware limited liability company, as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T3B-34*</w:t>
            </w:r>
          </w:p>
        </w:tc>
        <w:tc>
          <w:tcPr>
            <w:tcW w:w="9860" w:type="dxa"/>
            <w:vAlign w:val="bottom"/>
          </w:tcPr>
          <w:p>
            <w:pPr>
              <w:ind w:left="360"/>
              <w:spacing w:after="0"/>
              <w:rPr>
                <w:sz w:val="20"/>
                <w:szCs w:val="20"/>
                <w:color w:val="auto"/>
              </w:rPr>
            </w:pPr>
            <w:r>
              <w:rPr>
                <w:rFonts w:ascii="Arial" w:cs="Arial" w:eastAsia="Arial" w:hAnsi="Arial"/>
                <w:sz w:val="18"/>
                <w:szCs w:val="18"/>
                <w:color w:val="auto"/>
              </w:rPr>
              <w:t>Constitution of Weatherford Australia Pty Limited, an Australian proprietary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T3B-35*</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Bye-Laws of Weatherford Bermuda Holdings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T3B-36*</w:t>
            </w:r>
          </w:p>
        </w:tc>
        <w:tc>
          <w:tcPr>
            <w:tcW w:w="9860" w:type="dxa"/>
            <w:vAlign w:val="bottom"/>
          </w:tcPr>
          <w:p>
            <w:pPr>
              <w:ind w:left="360"/>
              <w:spacing w:after="0"/>
              <w:rPr>
                <w:sz w:val="20"/>
                <w:szCs w:val="20"/>
                <w:color w:val="auto"/>
              </w:rPr>
            </w:pPr>
            <w:r>
              <w:rPr>
                <w:rFonts w:ascii="Arial" w:cs="Arial" w:eastAsia="Arial" w:hAnsi="Arial"/>
                <w:sz w:val="18"/>
                <w:szCs w:val="18"/>
                <w:color w:val="auto"/>
              </w:rPr>
              <w:t>By-Law No. 1 of Weatherford Canada Ltd., an Alberta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T3B-37*</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Colombia Limited,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T3B-38*</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DISC Inc., a Nevada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T3B-39*</w:t>
            </w:r>
          </w:p>
        </w:tc>
        <w:tc>
          <w:tcPr>
            <w:tcW w:w="9860" w:type="dxa"/>
            <w:vAlign w:val="bottom"/>
          </w:tcPr>
          <w:p>
            <w:pPr>
              <w:ind w:left="360"/>
              <w:spacing w:after="0"/>
              <w:rPr>
                <w:sz w:val="20"/>
                <w:szCs w:val="20"/>
                <w:color w:val="auto"/>
              </w:rPr>
            </w:pPr>
            <w:r>
              <w:rPr>
                <w:rFonts w:ascii="Arial" w:cs="Arial" w:eastAsia="Arial" w:hAnsi="Arial"/>
                <w:sz w:val="18"/>
                <w:szCs w:val="18"/>
                <w:color w:val="auto"/>
              </w:rPr>
              <w:t>Amended and Restated Articles of Association of Weatherford Drilling International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T3B-40*</w:t>
            </w:r>
          </w:p>
        </w:tc>
        <w:tc>
          <w:tcPr>
            <w:tcW w:w="9860" w:type="dxa"/>
            <w:vAlign w:val="bottom"/>
          </w:tcPr>
          <w:p>
            <w:pPr>
              <w:ind w:left="360"/>
              <w:spacing w:after="0"/>
              <w:rPr>
                <w:sz w:val="20"/>
                <w:szCs w:val="20"/>
                <w:color w:val="auto"/>
              </w:rPr>
            </w:pPr>
            <w:r>
              <w:rPr>
                <w:rFonts w:ascii="Arial" w:cs="Arial" w:eastAsia="Arial" w:hAnsi="Arial"/>
                <w:sz w:val="18"/>
                <w:szCs w:val="18"/>
                <w:color w:val="auto"/>
                <w:w w:val="94"/>
              </w:rPr>
              <w:t>Amended and Restated Articles of Association of Weatherford Drilling International Holdings (BVI) Ltd., a British Virgin Islands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international 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T3B-41*</w:t>
            </w:r>
          </w:p>
        </w:tc>
        <w:tc>
          <w:tcPr>
            <w:tcW w:w="9860" w:type="dxa"/>
            <w:vAlign w:val="bottom"/>
          </w:tcPr>
          <w:p>
            <w:pPr>
              <w:ind w:left="360"/>
              <w:spacing w:after="0"/>
              <w:rPr>
                <w:sz w:val="20"/>
                <w:szCs w:val="20"/>
                <w:color w:val="auto"/>
              </w:rPr>
            </w:pPr>
            <w:r>
              <w:rPr>
                <w:rFonts w:ascii="Arial" w:cs="Arial" w:eastAsia="Arial" w:hAnsi="Arial"/>
                <w:sz w:val="18"/>
                <w:szCs w:val="18"/>
                <w:color w:val="auto"/>
              </w:rPr>
              <w:t>Regulations of Weatherford Global Services LLC, a Louisiana limited liability company, as amended</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T3B-42*</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Holdings (Bermuda) Ltd., a Bermuda exempted 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T3B-43*</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Holdings (BVI) Ltd., a British Virgin Islands international business</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T3B-44*</w:t>
            </w:r>
          </w:p>
        </w:tc>
        <w:tc>
          <w:tcPr>
            <w:tcW w:w="9860" w:type="dxa"/>
            <w:vAlign w:val="bottom"/>
          </w:tcPr>
          <w:p>
            <w:pPr>
              <w:ind w:left="360"/>
              <w:spacing w:after="0"/>
              <w:rPr>
                <w:sz w:val="20"/>
                <w:szCs w:val="20"/>
                <w:color w:val="auto"/>
              </w:rPr>
            </w:pPr>
            <w:r>
              <w:rPr>
                <w:rFonts w:ascii="Arial" w:cs="Arial" w:eastAsia="Arial" w:hAnsi="Arial"/>
                <w:sz w:val="18"/>
                <w:szCs w:val="18"/>
                <w:color w:val="auto"/>
                <w:w w:val="95"/>
              </w:rPr>
              <w:t>Second Amended and Restated Limited Liability Company Agreement of Weatherford Holdings U.S. LLC, a Delaware limited</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T3B-45*</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International Holdings (Bermuda) Ltd., a Bermuda exempted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T3B-46*</w:t>
            </w:r>
          </w:p>
        </w:tc>
        <w:tc>
          <w:tcPr>
            <w:tcW w:w="9860" w:type="dxa"/>
            <w:vAlign w:val="bottom"/>
          </w:tcPr>
          <w:p>
            <w:pPr>
              <w:ind w:left="360"/>
              <w:spacing w:after="0"/>
              <w:rPr>
                <w:sz w:val="20"/>
                <w:szCs w:val="20"/>
                <w:color w:val="auto"/>
              </w:rPr>
            </w:pPr>
            <w:r>
              <w:rPr>
                <w:rFonts w:ascii="Arial" w:cs="Arial" w:eastAsia="Arial" w:hAnsi="Arial"/>
                <w:sz w:val="18"/>
                <w:szCs w:val="18"/>
                <w:color w:val="auto"/>
              </w:rPr>
              <w:t>Limited Liability Company Agreement of Weatherford Investment Holding LLC, a Delaware limited liability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T3B-47*</w:t>
            </w:r>
          </w:p>
        </w:tc>
        <w:tc>
          <w:tcPr>
            <w:tcW w:w="9860" w:type="dxa"/>
            <w:vAlign w:val="bottom"/>
          </w:tcPr>
          <w:p>
            <w:pPr>
              <w:ind w:left="360"/>
              <w:spacing w:after="0"/>
              <w:rPr>
                <w:sz w:val="20"/>
                <w:szCs w:val="20"/>
                <w:color w:val="auto"/>
              </w:rPr>
            </w:pPr>
            <w:r>
              <w:rPr>
                <w:rFonts w:ascii="Arial" w:cs="Arial" w:eastAsia="Arial" w:hAnsi="Arial"/>
                <w:sz w:val="18"/>
                <w:szCs w:val="18"/>
                <w:color w:val="auto"/>
              </w:rPr>
              <w:t>Bylaws of Weatherford Investment Inc., a Delaware corporation</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T3B-48*</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Amended and Restated Limited Liability Company Agreement of Weatherford Latin America LLC, a Delaware limited liability</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T3B-49*</w:t>
            </w:r>
          </w:p>
        </w:tc>
        <w:tc>
          <w:tcPr>
            <w:tcW w:w="9860" w:type="dxa"/>
            <w:vAlign w:val="bottom"/>
          </w:tcPr>
          <w:p>
            <w:pPr>
              <w:ind w:left="360"/>
              <w:spacing w:after="0"/>
              <w:rPr>
                <w:sz w:val="20"/>
                <w:szCs w:val="20"/>
                <w:color w:val="auto"/>
              </w:rPr>
            </w:pPr>
            <w:r>
              <w:rPr>
                <w:rFonts w:ascii="Arial" w:cs="Arial" w:eastAsia="Arial" w:hAnsi="Arial"/>
                <w:sz w:val="18"/>
                <w:szCs w:val="18"/>
                <w:color w:val="auto"/>
                <w:w w:val="96"/>
              </w:rPr>
              <w:t>Limited Liability Company Agreement of Weatherford Management, LLC, a Delaware limited liability company, as amended</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 T3B-50*</w:t>
            </w:r>
          </w:p>
        </w:tc>
        <w:tc>
          <w:tcPr>
            <w:tcW w:w="9860" w:type="dxa"/>
            <w:vAlign w:val="bottom"/>
          </w:tcPr>
          <w:p>
            <w:pPr>
              <w:ind w:left="360"/>
              <w:spacing w:after="0"/>
              <w:rPr>
                <w:sz w:val="20"/>
                <w:szCs w:val="20"/>
                <w:color w:val="auto"/>
              </w:rPr>
            </w:pPr>
            <w:r>
              <w:rPr>
                <w:rFonts w:ascii="Arial" w:cs="Arial" w:eastAsia="Arial" w:hAnsi="Arial"/>
                <w:sz w:val="18"/>
                <w:szCs w:val="18"/>
                <w:color w:val="auto"/>
                <w:w w:val="93"/>
              </w:rPr>
              <w:t>Amended and Restated Articles of Association of Weatherford Oil Tool Middle East Limited, a British Virgin Islands international</w:t>
            </w:r>
          </w:p>
        </w:tc>
      </w:tr>
      <w:tr>
        <w:trPr>
          <w:trHeight w:val="230"/>
        </w:trPr>
        <w:tc>
          <w:tcPr>
            <w:tcW w:w="1600" w:type="dxa"/>
            <w:vAlign w:val="bottom"/>
          </w:tcPr>
          <w:p>
            <w:pPr>
              <w:spacing w:after="0"/>
              <w:rPr>
                <w:sz w:val="20"/>
                <w:szCs w:val="20"/>
                <w:color w:val="auto"/>
              </w:rPr>
            </w:pPr>
          </w:p>
        </w:tc>
        <w:tc>
          <w:tcPr>
            <w:tcW w:w="9860" w:type="dxa"/>
            <w:vAlign w:val="bottom"/>
          </w:tcPr>
          <w:p>
            <w:pPr>
              <w:ind w:left="360"/>
              <w:spacing w:after="0"/>
              <w:rPr>
                <w:sz w:val="20"/>
                <w:szCs w:val="20"/>
                <w:color w:val="auto"/>
              </w:rPr>
            </w:pPr>
            <w:r>
              <w:rPr>
                <w:rFonts w:ascii="Arial" w:cs="Arial" w:eastAsia="Arial" w:hAnsi="Arial"/>
                <w:sz w:val="18"/>
                <w:szCs w:val="18"/>
                <w:color w:val="auto"/>
              </w:rPr>
              <w:t>business company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T3B-51*</w:t>
            </w:r>
          </w:p>
        </w:tc>
        <w:tc>
          <w:tcPr>
            <w:tcW w:w="9860" w:type="dxa"/>
            <w:vAlign w:val="bottom"/>
          </w:tcPr>
          <w:p>
            <w:pPr>
              <w:ind w:left="360"/>
              <w:spacing w:after="0"/>
              <w:rPr>
                <w:sz w:val="20"/>
                <w:szCs w:val="20"/>
                <w:color w:val="auto"/>
              </w:rPr>
            </w:pPr>
            <w:r>
              <w:rPr>
                <w:rFonts w:ascii="Arial" w:cs="Arial" w:eastAsia="Arial" w:hAnsi="Arial"/>
                <w:sz w:val="18"/>
                <w:szCs w:val="18"/>
                <w:color w:val="auto"/>
              </w:rPr>
              <w:t>Bye-Laws of Weatherford Pangaea Holdings Ltd., a Bermuda exempted company</w:t>
            </w:r>
          </w:p>
        </w:tc>
      </w:tr>
      <w:tr>
        <w:trPr>
          <w:trHeight w:val="432"/>
        </w:trPr>
        <w:tc>
          <w:tcPr>
            <w:tcW w:w="1600" w:type="dxa"/>
            <w:vAlign w:val="bottom"/>
          </w:tcPr>
          <w:p>
            <w:pPr>
              <w:spacing w:after="0"/>
              <w:rPr>
                <w:sz w:val="24"/>
                <w:szCs w:val="24"/>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8</w:t>
            </w:r>
          </w:p>
        </w:tc>
      </w:tr>
      <w:tr>
        <w:trPr>
          <w:trHeight w:val="132"/>
        </w:trPr>
        <w:tc>
          <w:tcPr>
            <w:tcW w:w="160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spacing w:after="0" w:line="540" w:lineRule="auto"/>
        <w:rPr>
          <w:sz w:val="20"/>
          <w:szCs w:val="20"/>
          <w:color w:val="auto"/>
        </w:rPr>
      </w:pPr>
      <w:r>
        <w:rPr>
          <w:rFonts w:ascii="Arial" w:cs="Arial" w:eastAsia="Arial" w:hAnsi="Arial"/>
          <w:sz w:val="18"/>
          <w:szCs w:val="18"/>
          <w:color w:val="auto"/>
        </w:rPr>
        <w:t>Exhibit T3B-52* Exhibit T3B-53* Exhibit T3B-54* Exhibit T3B-55* Exhibit T3B-56* Exhibit T3B-57* Exhibit T3B-58* Exhibit T3B-59* Exhibit T3B-60* Exhibit T3B-61* Exhibit T3C-1* Exhibit T3C-2* Exhibit T3D Exhibit T3E-1*** Exhibit T3E-2 Exhibit T3F-1* Exhibit T3F-2* Exhibit 25.1* Exhibit 99.1** Exhibit 99.2*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Amended and Restated Bye-Laws of Weatherford Services, Ltd.,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Agreement of Weatherford Technology Holdings, LLC, a Delaware limited liability company,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Third Amended and Restated Limited Liability Company Agreement of Weatherford U.S. Holdings, L.L.C., a Delaware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Articles of Partnership in Commendam of Weatherford U.S., L.P., a Louisiana limited partnership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Weatherford URS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Bylaws of Weatherford/Lamb,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WEUS Holding, LLC, a Delaware limited liability company,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WIHBV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Bye-Laws of WOFS Assurance limited, a Bermuda exempted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Agreement of WUS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2026 Notes to be issued by Weatherford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of Indenture Governing the 2026 Notes to be issued by Weatherford Bermuda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for the Joint Prepackaged Plan of Reorganization of Weatherford International plc and its Affiliate Debtors,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Joint Prepackaged Plan of Reorganization of Weatherford International plc and its Affiliate Debtors, dated June 28,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Cross-reference sheet (included in Exhibit T3C-2)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T-1 qualifying the Trustee under each Indenture to be qualified pursuant to this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Chart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Executive Officers and Capitalization of each Applicant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Owners of Voting Securities of each Applicant</w:t>
      </w:r>
    </w:p>
    <w:p>
      <w:pPr>
        <w:spacing w:after="0" w:line="454" w:lineRule="exact"/>
        <w:rPr>
          <w:sz w:val="20"/>
          <w:szCs w:val="20"/>
          <w:color w:val="auto"/>
        </w:rPr>
      </w:pPr>
    </w:p>
    <w:p>
      <w:pPr>
        <w:sectPr>
          <w:pgSz w:w="11900" w:h="16838" w:orient="portrait"/>
          <w:cols w:equalWidth="0" w:num="2">
            <w:col w:w="1300" w:space="660"/>
            <w:col w:w="9300"/>
          </w:cols>
          <w:pgMar w:left="240" w:top="341" w:right="399" w:bottom="1440" w:gutter="0" w:footer="0" w:header="0"/>
        </w:sect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previously..</w:t>
      </w:r>
    </w:p>
    <w:p>
      <w:pPr>
        <w:spacing w:after="0" w:line="2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Post Effective Date Organizational Chart to be filed by amendment. Current Organizational Chart filed previously.</w:t>
      </w:r>
    </w:p>
    <w:p>
      <w:pPr>
        <w:spacing w:after="0" w:line="32" w:lineRule="exact"/>
        <w:rPr>
          <w:rFonts w:ascii="Arial" w:cs="Arial" w:eastAsia="Arial" w:hAnsi="Arial"/>
          <w:sz w:val="16"/>
          <w:szCs w:val="16"/>
          <w:color w:val="auto"/>
        </w:rPr>
      </w:pPr>
    </w:p>
    <w:p>
      <w:pPr>
        <w:ind w:right="2520" w:firstLine="8"/>
        <w:spacing w:after="0" w:line="261"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exhibits related to the attached Disclosure Statement within this Amendment No. 2 to Form T-3 are available at http://www.primeclerk.com/Weatherford</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2nd day of July,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Christine M. Morrison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w w:val="93"/>
              </w:rPr>
              <w:t>Director for Sole Member, Weatherford U.S. Holdings, L.L.C.</w:t>
            </w: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2nd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LTD.</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2nd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(SEAL)</w:t>
            </w: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ADVANTAGE R&amp;D,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BENMORE IN-DEPTH CORP.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CASE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COLOMBIA PETROLEUM SERVICES CORP.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COLUMBIA OILFIELD SUPPLY,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DATALOG ACQUISITION,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DISCOVERY LOGGING,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EDINBURGH PETROLEUM SERVICES AMERICAS</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INCORPORATED</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EPRODUCTION SOLUTIONS,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HIGH PRESSURE INTEGRITY,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IN-DEPTH SYSTEMS,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INTERNATIONAL LOGGING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INTERNATIONAL LOGGING S.A.,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PD HOLDINGS (USA), L.P.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DRILLING GP, LLC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ENERGY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PRECISION OILFIELD SERVICES, LLP</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STEALTH OIL &amp; GAS,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VISEAN INFORMATION SERVICES INC.</w:t>
            </w:r>
          </w:p>
        </w:tc>
      </w:tr>
      <w:tr>
        <w:trPr>
          <w:trHeight w:val="216"/>
        </w:trPr>
        <w:tc>
          <w:tcPr>
            <w:tcW w:w="3100" w:type="dxa"/>
            <w:vAlign w:val="bottom"/>
          </w:tcPr>
          <w:p>
            <w:pPr>
              <w:spacing w:after="0"/>
              <w:rPr>
                <w:sz w:val="18"/>
                <w:szCs w:val="18"/>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WEATHERFORD (PTWI), L.L.C.</w:t>
            </w:r>
          </w:p>
        </w:tc>
      </w:tr>
      <w:tr>
        <w:trPr>
          <w:trHeight w:val="234"/>
        </w:trPr>
        <w:tc>
          <w:tcPr>
            <w:tcW w:w="3100" w:type="dxa"/>
            <w:vAlign w:val="bottom"/>
          </w:tcPr>
          <w:p>
            <w:pPr>
              <w:spacing w:after="0"/>
              <w:rPr>
                <w:sz w:val="20"/>
                <w:szCs w:val="20"/>
                <w:color w:val="auto"/>
              </w:rPr>
            </w:pPr>
          </w:p>
        </w:tc>
        <w:tc>
          <w:tcPr>
            <w:tcW w:w="8360" w:type="dxa"/>
            <w:vAlign w:val="bottom"/>
          </w:tcPr>
          <w:p>
            <w:pPr>
              <w:ind w:left="2640"/>
              <w:spacing w:after="0"/>
              <w:rPr>
                <w:sz w:val="20"/>
                <w:szCs w:val="20"/>
                <w:color w:val="auto"/>
              </w:rPr>
            </w:pPr>
            <w:r>
              <w:rPr>
                <w:rFonts w:ascii="Arial" w:cs="Arial" w:eastAsia="Arial" w:hAnsi="Arial"/>
                <w:sz w:val="18"/>
                <w:szCs w:val="18"/>
                <w:b w:val="1"/>
                <w:bCs w:val="1"/>
                <w:color w:val="auto"/>
              </w:rPr>
              <w:t>WEATHERFORD ARTIFICIAL LIFT SYSTEMS, LLC</w:t>
            </w:r>
          </w:p>
        </w:tc>
      </w:tr>
      <w:tr>
        <w:trPr>
          <w:trHeight w:val="432"/>
        </w:trPr>
        <w:tc>
          <w:tcPr>
            <w:tcW w:w="310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10</w:t>
            </w:r>
          </w:p>
        </w:tc>
      </w:tr>
      <w:tr>
        <w:trPr>
          <w:trHeight w:val="132"/>
        </w:trPr>
        <w:tc>
          <w:tcPr>
            <w:tcW w:w="3100" w:type="dxa"/>
            <w:vAlign w:val="bottom"/>
            <w:tcBorders>
              <w:bottom w:val="single" w:sz="8" w:color="808080"/>
            </w:tcBorders>
          </w:tcPr>
          <w:p>
            <w:pPr>
              <w:spacing w:after="0"/>
              <w:rPr>
                <w:sz w:val="11"/>
                <w:szCs w:val="11"/>
                <w:color w:val="auto"/>
              </w:rPr>
            </w:pPr>
          </w:p>
        </w:tc>
        <w:tc>
          <w:tcPr>
            <w:tcW w:w="8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DISC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GLOBAL SERVICES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U.S.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HOLDING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INVESTMENT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LATIN AMERICA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MANAGEMENT,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TECHNOLOGY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U.S., L.P.</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URS HOLDINGS,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WEATHERFORD/LAMB, INC.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WEUS HOLDING, LLC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WIHBV LLC</w:t>
            </w: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WUS HOLDING, L.L.C.</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TOOKE ROCKIES, INC.</w:t>
            </w:r>
          </w:p>
        </w:tc>
        <w:tc>
          <w:tcPr>
            <w:tcW w:w="4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VISUAL SYSTEMS, INC.</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WARRIOR WELL SERVICES, INC.</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Joshua S. Silverman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Christine M. Morrison</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Joshua S. Silverman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Christine M. Morrison</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LTD.</w:t>
            </w: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Mohammed Dadhiwala</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SERVICES S. DE R.L.</w:t>
            </w:r>
          </w:p>
        </w:tc>
        <w:tc>
          <w:tcPr>
            <w:tcW w:w="4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Cristina Waber</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Valentin Mueller</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Valentin Mueller</w:t>
            </w:r>
          </w:p>
        </w:tc>
        <w:tc>
          <w:tcPr>
            <w:tcW w:w="4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 for Member,</w:t>
            </w:r>
          </w:p>
        </w:tc>
        <w:tc>
          <w:tcPr>
            <w:tcW w:w="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Weatherford Worldwide Holdings GmbH</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1" w:name="page12"/>
    <w:bookmarkEnd w:id="11"/>
    <w:p>
      <w:pPr>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2nd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KEY INTERNATIONAL DRILLING COMPANY LIMITED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DRILLING INTERNATIONAL (BVI) LTD.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Andrew David Gold</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David Gold</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SABRE DRILLING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BERMUDA HOLDINGS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COLOMBIA LIMITED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DRILLING INTERNATIONAL HOLDINGS (BVI)</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LTD.</w:t>
            </w:r>
          </w:p>
        </w:tc>
        <w:tc>
          <w:tcPr>
            <w:tcW w:w="46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(BERMUDA)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HOLDING (BERMUDA) LTD.</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PANGAEA HOLDINGS LTD.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ASSURANCE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HOLDINGS (BVI) LTD.</w:t>
            </w: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OIL TOOL MIDDLE EAST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Pr>
          <w:p>
            <w:pPr>
              <w:spacing w:after="0"/>
              <w:rPr>
                <w:sz w:val="20"/>
                <w:szCs w:val="20"/>
                <w:color w:val="auto"/>
              </w:rPr>
            </w:pPr>
            <w:r>
              <w:rPr>
                <w:rFonts w:ascii="Arial" w:cs="Arial" w:eastAsia="Arial" w:hAnsi="Arial"/>
                <w:sz w:val="18"/>
                <w:szCs w:val="18"/>
                <w:color w:val="auto"/>
              </w:rPr>
              <w:t>/s/ Christine M. Morrison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Mohammed Dadhiwala</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Christine M. Morrison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Mohammed Dadhiwala</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2nd day of July,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INTERNATIONAL LTD.</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COLOMBIA LTD.</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PRECISION ENERGY SERVICES ULC</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(NOVA SCOTIA) ULC</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CANADA LTD.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Pamela M. Webb</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J. David Reed</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Pamela M. Webb</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 David Reed</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2nd day of July, 2019.</w:t>
      </w:r>
    </w:p>
    <w:p>
      <w:pPr>
        <w:sectPr>
          <w:pgSz w:w="11900" w:h="16838" w:orient="portrait"/>
          <w:cols w:equalWidth="0" w:num="1">
            <w:col w:w="11460"/>
          </w:cols>
          <w:pgMar w:left="240" w:top="341" w:right="19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HOLDINGS (SWITZERLAND) GMBH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MANAGEMENT COMPANY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SÀRL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ectPr>
          <w:pgSz w:w="11900" w:h="16838" w:orient="portrait"/>
          <w:cols w:equalWidth="0" w:num="2">
            <w:col w:w="5020" w:space="720"/>
            <w:col w:w="5720"/>
          </w:cols>
          <w:pgMar w:left="240" w:top="341" w:right="1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Cristina Waber</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Arial" w:cs="Arial" w:eastAsia="Arial" w:hAnsi="Arial"/>
          <w:sz w:val="16"/>
          <w:szCs w:val="16"/>
          <w:color w:val="auto"/>
        </w:rPr>
        <w:t>By:</w:t>
        <w:tab/>
        <w:t>/s/ Valentin Mueller</w:t>
      </w:r>
    </w:p>
    <w:p>
      <w:pPr>
        <w:spacing w:after="0" w:line="46" w:lineRule="exact"/>
        <w:rPr>
          <w:sz w:val="20"/>
          <w:szCs w:val="20"/>
          <w:color w:val="auto"/>
        </w:rPr>
      </w:pPr>
    </w:p>
    <w:p>
      <w:pPr>
        <w:sectPr>
          <w:pgSz w:w="11900" w:h="16838" w:orient="portrait"/>
          <w:cols w:equalWidth="0" w:num="3">
            <w:col w:w="480" w:space="240"/>
            <w:col w:w="4300" w:space="720"/>
            <w:col w:w="5720"/>
          </w:cols>
          <w:pgMar w:left="240" w:top="341"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1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PRODUCTS GMBH</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SWITZERLAND TRADING AND DEVELOPMENT</w:t>
            </w: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GMBH</w:t>
            </w:r>
          </w:p>
        </w:tc>
        <w:tc>
          <w:tcPr>
            <w:tcW w:w="46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INTERNATIONAL FINANCE GMBH</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Mathias Neuenschwander</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Mathias Neuenschwander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WOFS SWISS FINANCE GMBH</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Arjana Cabariu-Truong</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Arjana Cabariu-Truong</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PLC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Cristina Waber</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Valentin Mueller</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Valentin Mueller</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2nd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EUROPEAN HOLDINGS (LUXEMBOURG) S.À</w:t>
            </w: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R.L.</w:t>
            </w:r>
          </w:p>
        </w:tc>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INTERNATIONAL (LUXEMBOURG) HOLDINGS</w:t>
            </w:r>
          </w:p>
        </w:tc>
        <w:tc>
          <w:tcPr>
            <w:tcW w:w="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S.À R.L.</w:t>
            </w:r>
          </w:p>
        </w:tc>
        <w:tc>
          <w:tcPr>
            <w:tcW w:w="4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Cristina Waber</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Mathias Neuenschwander</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Cristina Waber</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Mathias Neuenschwander</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Manager A</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13" w:name="page14"/>
    <w:bookmarkEnd w:id="13"/>
    <w:p>
      <w:pPr>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2nd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0"/>
                <w:szCs w:val="20"/>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EURASIA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Neil MacLeod</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Richard Strachan</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Neil MacLeod</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(SEAL)</w:t>
            </w:r>
          </w:p>
        </w:tc>
        <w:tc>
          <w:tcPr>
            <w:tcW w:w="4780" w:type="dxa"/>
            <w:vAlign w:val="bottom"/>
          </w:tcPr>
          <w:p>
            <w:pPr>
              <w:spacing w:after="0"/>
              <w:rPr>
                <w:sz w:val="24"/>
                <w:szCs w:val="24"/>
                <w:color w:val="auto"/>
              </w:rPr>
            </w:pP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U.K. LIMITED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Attest:</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Strachan</w:t>
            </w:r>
          </w:p>
        </w:tc>
        <w:tc>
          <w:tcPr>
            <w:tcW w:w="680" w:type="dxa"/>
            <w:vAlign w:val="bottom"/>
          </w:tcPr>
          <w:p>
            <w:pPr>
              <w:ind w:left="2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Alexander Olsson</w:t>
            </w:r>
          </w:p>
        </w:tc>
      </w:tr>
      <w:tr>
        <w:trPr>
          <w:trHeight w:val="195"/>
        </w:trPr>
        <w:tc>
          <w:tcPr>
            <w:tcW w:w="7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Richard Strachan</w:t>
            </w:r>
          </w:p>
        </w:tc>
        <w:tc>
          <w:tcPr>
            <w:tcW w:w="6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Pr>
          <w:p>
            <w:pPr>
              <w:ind w:left="100"/>
              <w:spacing w:after="0" w:line="195" w:lineRule="exact"/>
              <w:rPr>
                <w:sz w:val="20"/>
                <w:szCs w:val="20"/>
                <w:color w:val="auto"/>
              </w:rPr>
            </w:pPr>
            <w:r>
              <w:rPr>
                <w:rFonts w:ascii="Arial" w:cs="Arial" w:eastAsia="Arial" w:hAnsi="Arial"/>
                <w:sz w:val="18"/>
                <w:szCs w:val="18"/>
                <w:color w:val="auto"/>
              </w:rPr>
              <w:t>Alexander Olsson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2nd day of July,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NETHERLANDS B.V.</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Marcus Johannes van Dijk</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August Willem Versteeg</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Marcus Johannes van Dijk</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August Willem Versteeg</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2nd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NORGE AS</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Arve Eide Haraldsen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Geir Egil Moller Olsen</w:t>
            </w: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Arve Eide Haraldsen</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Geir Egil Moller Olsen</w:t>
            </w: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2nd day of July,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color w:val="auto"/>
              </w:rPr>
              <w:t>(SEAL)</w:t>
            </w:r>
          </w:p>
        </w:tc>
        <w:tc>
          <w:tcPr>
            <w:tcW w:w="5920" w:type="dxa"/>
            <w:vAlign w:val="bottom"/>
            <w:gridSpan w:val="3"/>
          </w:tcPr>
          <w:p>
            <w:pPr>
              <w:ind w:left="240"/>
              <w:spacing w:after="0"/>
              <w:rPr>
                <w:sz w:val="20"/>
                <w:szCs w:val="20"/>
                <w:color w:val="auto"/>
              </w:rPr>
            </w:pPr>
            <w:r>
              <w:rPr>
                <w:rFonts w:ascii="Arial" w:cs="Arial" w:eastAsia="Arial" w:hAnsi="Arial"/>
                <w:sz w:val="18"/>
                <w:szCs w:val="18"/>
                <w:b w:val="1"/>
                <w:bCs w:val="1"/>
                <w:color w:val="auto"/>
              </w:rPr>
              <w:t>WEATHERFORD AUSTRALIA PTY LIMITED</w:t>
            </w:r>
          </w:p>
        </w:tc>
        <w:tc>
          <w:tcPr>
            <w:tcW w:w="40" w:type="dxa"/>
            <w:vAlign w:val="bottom"/>
          </w:tcPr>
          <w:p>
            <w:pPr>
              <w:spacing w:after="0"/>
              <w:rPr>
                <w:sz w:val="20"/>
                <w:szCs w:val="20"/>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Attest:   /s/ Antonino Gullotti</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By:  /s/ Robert Antonio DeGasperis</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Antonino Gullotti</w:t>
            </w:r>
          </w:p>
        </w:tc>
        <w:tc>
          <w:tcPr>
            <w:tcW w:w="6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 Antonio DeGasperis</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Director</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4" w:name="page15"/>
    <w:bookmarkEnd w:id="14"/>
    <w:p>
      <w:pPr>
        <w:ind w:left="9040"/>
        <w:spacing w:after="0"/>
        <w:rPr>
          <w:sz w:val="20"/>
          <w:szCs w:val="20"/>
          <w:color w:val="auto"/>
        </w:rPr>
      </w:pPr>
      <w:r>
        <w:rPr>
          <w:rFonts w:ascii="Arial" w:cs="Arial" w:eastAsia="Arial" w:hAnsi="Arial"/>
          <w:sz w:val="16"/>
          <w:szCs w:val="16"/>
          <w:b w:val="1"/>
          <w:bCs w:val="1"/>
          <w:color w:val="auto"/>
        </w:rPr>
        <w:t>Exhibit T3B-23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858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90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76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58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84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849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84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32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32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24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24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49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49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58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58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876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0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0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9040"/>
        <w:spacing w:after="0"/>
        <w:rPr>
          <w:sz w:val="20"/>
          <w:szCs w:val="20"/>
          <w:color w:val="auto"/>
        </w:rPr>
      </w:pPr>
      <w:r>
        <w:rPr>
          <w:rFonts w:ascii="Arial" w:cs="Arial" w:eastAsia="Arial" w:hAnsi="Arial"/>
          <w:sz w:val="16"/>
          <w:szCs w:val="16"/>
          <w:b w:val="1"/>
          <w:bCs w:val="1"/>
          <w:color w:val="auto"/>
        </w:rPr>
        <w:t>Exhibit T3B-24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891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91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91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ind w:left="9040"/>
        <w:spacing w:after="0"/>
        <w:rPr>
          <w:sz w:val="20"/>
          <w:szCs w:val="20"/>
          <w:color w:val="auto"/>
        </w:rPr>
      </w:pPr>
      <w:r>
        <w:rPr>
          <w:rFonts w:ascii="Arial" w:cs="Arial" w:eastAsia="Arial" w:hAnsi="Arial"/>
          <w:sz w:val="16"/>
          <w:szCs w:val="16"/>
          <w:b w:val="1"/>
          <w:bCs w:val="1"/>
          <w:color w:val="auto"/>
        </w:rPr>
        <w:t>Exhibit T3B-25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249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1840" cy="824992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271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271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36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18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36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3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099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928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845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8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6099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09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928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92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6188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61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ind w:left="9040"/>
        <w:spacing w:after="0"/>
        <w:rPr>
          <w:sz w:val="20"/>
          <w:szCs w:val="20"/>
          <w:color w:val="auto"/>
        </w:rPr>
      </w:pPr>
      <w:r>
        <w:rPr>
          <w:rFonts w:ascii="Arial" w:cs="Arial" w:eastAsia="Arial" w:hAnsi="Arial"/>
          <w:sz w:val="16"/>
          <w:szCs w:val="16"/>
          <w:b w:val="1"/>
          <w:bCs w:val="1"/>
          <w:color w:val="auto"/>
        </w:rPr>
        <w:t>Exhibit T3B-26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177800</wp:posOffset>
            </wp:positionV>
            <wp:extent cx="5831840" cy="8515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97790</wp:posOffset>
            </wp:positionV>
            <wp:extent cx="5831840" cy="8515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97155</wp:posOffset>
            </wp:positionV>
            <wp:extent cx="5831840" cy="8515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851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T3E-1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SOUTHERN DISTRICT OF TEXAS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DIVISION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80" w:type="dxa"/>
            <w:vAlign w:val="bottom"/>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 re:</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Chapter 11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WEATHERFORD INTERNATIONAL PLC, </w:t>
            </w:r>
            <w:r>
              <w:rPr>
                <w:rFonts w:ascii="Arial" w:cs="Arial" w:eastAsia="Arial" w:hAnsi="Arial"/>
                <w:sz w:val="18"/>
                <w:szCs w:val="18"/>
                <w:i w:val="1"/>
                <w:iCs w:val="1"/>
                <w:color w:val="auto"/>
              </w:rPr>
              <w:t>et al.</w:t>
            </w:r>
            <w:r>
              <w:rPr>
                <w:rFonts w:ascii="Arial" w:cs="Arial" w:eastAsia="Arial" w:hAnsi="Arial"/>
                <w:sz w:val="18"/>
                <w:szCs w:val="18"/>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rPr>
              <w:t>Case No. 19-[  ]</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Debtors. </w:t>
            </w:r>
            <w:r>
              <w:rPr>
                <w:rFonts w:ascii="Arial" w:cs="Arial" w:eastAsia="Arial" w:hAnsi="Arial"/>
                <w:sz w:val="23"/>
                <w:szCs w:val="23"/>
                <w:color w:val="auto"/>
                <w:vertAlign w:val="superscript"/>
              </w:rPr>
              <w:t>(1)</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ind w:left="220"/>
              <w:spacing w:after="0"/>
              <w:rPr>
                <w:sz w:val="20"/>
                <w:szCs w:val="20"/>
                <w:color w:val="auto"/>
              </w:rPr>
            </w:pPr>
            <w:r>
              <w:rPr>
                <w:rFonts w:ascii="Arial" w:cs="Arial" w:eastAsia="Arial" w:hAnsi="Arial"/>
                <w:sz w:val="18"/>
                <w:szCs w:val="18"/>
                <w:color w:val="auto"/>
                <w:w w:val="91"/>
              </w:rPr>
              <w:t>(Joint Administration Requested)</w:t>
            </w:r>
          </w:p>
        </w:tc>
        <w:tc>
          <w:tcPr>
            <w:tcW w:w="0" w:type="dxa"/>
            <w:vAlign w:val="bottom"/>
          </w:tcPr>
          <w:p>
            <w:pPr>
              <w:spacing w:after="0"/>
              <w:rPr>
                <w:sz w:val="1"/>
                <w:szCs w:val="1"/>
                <w:color w:val="auto"/>
              </w:rPr>
            </w:pPr>
          </w:p>
        </w:tc>
      </w:tr>
      <w:tr>
        <w:trPr>
          <w:trHeight w:val="216"/>
        </w:trPr>
        <w:tc>
          <w:tcPr>
            <w:tcW w:w="4880" w:type="dxa"/>
            <w:vAlign w:val="bottom"/>
            <w:vMerge w:val="restart"/>
          </w:tcPr>
          <w:p>
            <w:pPr>
              <w:spacing w:after="0"/>
              <w:rPr>
                <w:sz w:val="20"/>
                <w:szCs w:val="20"/>
                <w:color w:val="auto"/>
              </w:rPr>
            </w:pPr>
            <w:r>
              <w:rPr>
                <w:rFonts w:ascii="Arial" w:cs="Arial" w:eastAsia="Arial" w:hAnsi="Arial"/>
                <w:sz w:val="22"/>
                <w:szCs w:val="22"/>
                <w:color w:val="auto"/>
              </w:rPr>
              <w:t>-------------------------------------------------------------</w:t>
            </w:r>
          </w:p>
        </w:tc>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880" w:type="dxa"/>
            <w:vAlign w:val="bottom"/>
            <w:vMerge w:val="continue"/>
          </w:tcPr>
          <w:p>
            <w:pPr>
              <w:spacing w:after="0"/>
              <w:rPr>
                <w:sz w:val="23"/>
                <w:szCs w:val="23"/>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x</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DISCLOSURE STATEMENT FOR JOINT PREPACKAGED PLAN OF REORGANIZATION FOR WEATHERFORD INTERNATIONAL PLC AND ITS AFFILIATE DEBTORS UNDER CHAPTER 11 OF THE BANKRUPTCY CODE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8"/>
        <w:spacing w:after="0" w:line="238" w:lineRule="auto"/>
        <w:tabs>
          <w:tab w:leader="none" w:pos="177"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ind w:right="40"/>
        <w:spacing w:after="0" w:line="254" w:lineRule="auto"/>
        <w:rPr>
          <w:sz w:val="20"/>
          <w:szCs w:val="20"/>
          <w:color w:val="auto"/>
        </w:rPr>
      </w:pPr>
      <w:r>
        <w:rPr>
          <w:rFonts w:ascii="Arial" w:cs="Arial" w:eastAsia="Arial" w:hAnsi="Arial"/>
          <w:sz w:val="18"/>
          <w:szCs w:val="18"/>
          <w:b w:val="1"/>
          <w:bCs w:val="1"/>
          <w:color w:val="auto"/>
        </w:rPr>
        <w:t>THIS SOLICITATION OF VOTES (THE “SOLICITATION”) IS BEING CONDUCTED TO OBTAIN SUFFICIENT VOTES TO ACCEPT THE PLAN BEFORE THE FILING OF VOLUNTARY REORGANIZATION CASES UNDER CHAPTER 11 OF TITLE 11 OF THE UNITED STATES CODE (THE “BANKRUPTCY CODE”). BECAUSE THE CHAPTER 11 CASES HAVE NOT YET BEEN COMMENCED, THIS DISCLOSURE STATEMENT HAS NOT BEEN APPROVED BY THE BANKRUPTCY COURT AS CONTAINING ADEQUATE INFORMATION WITHIN THE MEANING OF SECTION 1125(a) OF THE BANKRUPTCY CODE. FOLLOWING THE COMMENCEMENT OF THE CHAPTER 11 CASE,</w:t>
      </w:r>
    </w:p>
    <w:p>
      <w:pPr>
        <w:spacing w:after="0" w:line="3" w:lineRule="exact"/>
        <w:rPr>
          <w:sz w:val="20"/>
          <w:szCs w:val="20"/>
          <w:color w:val="auto"/>
        </w:rPr>
      </w:pPr>
    </w:p>
    <w:p>
      <w:pPr>
        <w:ind w:right="880"/>
        <w:spacing w:after="0" w:line="277" w:lineRule="auto"/>
        <w:rPr>
          <w:sz w:val="20"/>
          <w:szCs w:val="20"/>
          <w:color w:val="auto"/>
        </w:rPr>
      </w:pPr>
      <w:r>
        <w:rPr>
          <w:rFonts w:ascii="Arial" w:cs="Arial" w:eastAsia="Arial" w:hAnsi="Arial"/>
          <w:sz w:val="17"/>
          <w:szCs w:val="17"/>
          <w:b w:val="1"/>
          <w:bCs w:val="1"/>
          <w:color w:val="auto"/>
        </w:rPr>
        <w:t>THE DEBTORS EXPECT TO PROMPTLY SEEK ORDERS OF THE BANKRUPTCY COURT (I) APPROVING THIS DISCLOSURE STATEMENT AS CONTAINING ADEQUATE INFORMATION, (II) APPROVING THE SOLICITATION OF VOTES AS BEING IN COMPLIANCE WITH SECTIONS 1125 AND 1126(b) OF THE BANKRUPTCY CODE, AND (III) CONFIRMING THE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STATEMENT, DATED JUNE 28,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Votes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the Plan of Reorganization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WEATHERFORD INTERNATIONAL PLC, </w:t>
      </w:r>
      <w:r>
        <w:rPr>
          <w:rFonts w:ascii="Arial" w:cs="Arial" w:eastAsia="Arial" w:hAnsi="Arial"/>
          <w:sz w:val="18"/>
          <w:szCs w:val="18"/>
          <w:b w:val="1"/>
          <w:bCs w:val="1"/>
          <w:i w:val="1"/>
          <w:i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from the holders of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PREPETITION NOTES CLAIMS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EXISTING COMMON STOCK</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THE VOTING DEADLINE FOR HOLDERS OF PREPETITION NOTES CLAIMS IS 5:00 P.M. PREVAILING CENTRAL TIME ON AUGUST 1, 2019 (UNLESS THE DEBTORS EXTEND THE VOTING DEADLINE).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PREPETITION NOTES MAY VOTE ON THE PLAN IS JUNE 24, 2019 (THE “</w:t>
      </w:r>
      <w:r>
        <w:rPr>
          <w:rFonts w:ascii="Arial" w:cs="Arial" w:eastAsia="Arial" w:hAnsi="Arial"/>
          <w:sz w:val="18"/>
          <w:szCs w:val="18"/>
          <w:b w:val="1"/>
          <w:bCs w:val="1"/>
          <w:u w:val="single" w:color="auto"/>
          <w:color w:val="auto"/>
        </w:rPr>
        <w:t>PREPETITION NOTES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A SEPARATE VOTING DEADLINE SHALL BE ESTABLISHED FOR HOLDERS OF EXISTING COMMON STOCK TO VOTE TO ACCEPT OR REJECT THE PLAN AFTER ENTRY OF AN ORDER BY THE BANKRUPTCY COURT CONDITIONALLY APPROVING THE DISCLOSURE STATEMENT AND THE SOLICITATION MATERIALS IN RESPECT OF THE PLAN.</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VOTING RECORD DATE FOR DETERMINING WHICH HOLDERS OF EXISTING COMMON STOCK MAY VOTE ON THE PLAN IS EXPECTED TO BE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b w:val="1"/>
          <w:bCs w:val="1"/>
          <w:color w:val="auto"/>
        </w:rPr>
        <w:t>”).</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 VOTING DEADLINE FOR HOLDERS OF EXISTING COMMON STOCK IS EXPECTED TO BE 5:00 P.M. PREVAILING CENTRAL TIME ON AUGUST 13, 2019 (UNLESS THE DEBTORS EXTEND THE VOTING DEADLINE).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3" w:name="page124"/>
    <w:bookmarkEnd w:id="123"/>
    <w:p>
      <w:pPr>
        <w:ind w:right="200"/>
        <w:spacing w:after="0" w:line="282" w:lineRule="auto"/>
        <w:rPr>
          <w:sz w:val="20"/>
          <w:szCs w:val="20"/>
          <w:color w:val="auto"/>
        </w:rPr>
      </w:pPr>
      <w:r>
        <w:rPr>
          <w:rFonts w:ascii="Arial" w:cs="Arial" w:eastAsia="Arial" w:hAnsi="Arial"/>
          <w:sz w:val="18"/>
          <w:szCs w:val="18"/>
          <w:b w:val="1"/>
          <w:bCs w:val="1"/>
          <w:color w:val="auto"/>
        </w:rPr>
        <w:t>TO BE COUNTED AS A VOTE TO ACCEPT OR REJECT THE PLAN, THE VOTING AND CLAIMS AGENT MUST ACTUALLY RECEIVE YOUR BALLOT ON OR BEFORE THE APPLICABLE VOTING DEADLINE.</w:t>
      </w:r>
    </w:p>
    <w:p>
      <w:pPr>
        <w:spacing w:after="0" w:line="162"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THE DEBTORS ANTICIPATE COMMENCING THE CHAPTER 11 CASES ON JULY 1, 2019 WITH AN EXPECTED FIRST DAY HEARING ON OR AROUND JULY 2, 2019. A SEPARATE NOTICE OF THE FIRST DAY HEARING WILL BE MAILED TO ALL HOLDERS OF PREPETITION NOTES. IF YOU DO NOT RECEIVE A NOTICE, PLEASE CONTACT UNDERSIGNED COUNSEL IMMEDIATELY OR CONSULT THE CASE WEBSITE MAINTAINED BY PRIME CLERK LLC AT WWW.PRIMECLERK.COM/WEATHERFORD.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BY THE DEBTORS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Weatherford International plc and the other governing bodies of each of its affiliated Debtors have unanimously approved the transactions contemplated by the Solicitation and the Plan and recommend that all creditors and holders of equity interests whose votes are being solicited submit ballots to accept the Plan. Holders of over 66.67% in outstanding principal amount of the Prepetition Notes Claims (as defined herein) entitled to vote on the Plan (the “</w:t>
      </w:r>
      <w:r>
        <w:rPr>
          <w:rFonts w:ascii="Arial" w:cs="Arial" w:eastAsia="Arial" w:hAnsi="Arial"/>
          <w:sz w:val="18"/>
          <w:szCs w:val="18"/>
          <w:b w:val="1"/>
          <w:bCs w:val="1"/>
          <w:u w:val="single" w:color="auto"/>
          <w:color w:val="auto"/>
        </w:rPr>
        <w:t>Consenting Noteholders</w:t>
      </w:r>
      <w:r>
        <w:rPr>
          <w:rFonts w:ascii="Arial" w:cs="Arial" w:eastAsia="Arial" w:hAnsi="Arial"/>
          <w:sz w:val="18"/>
          <w:szCs w:val="18"/>
          <w:color w:val="auto"/>
        </w:rPr>
        <w:t>”) have already agreed, subject to the terms and conditions of the Restructuring Support Agreement, to vote in favor of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DISCLOSURE STATEMENT HAS BEEN PREPARED PURSUANT TO SECTIONS 1125 AND 1126(B) OF THE BANKRUPTCY CODE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BANKRUPTCY RULE 3016. THE SECURITIES DESCRIBED HEREIN WILL BE ISSUED TO CREDITORS AND 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INTERESTS WITHOUT REGISTRATION UNDER THE UNITED STATES SECURITIES ACT OF 1933,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OR ANY SIMILAR FEDERAL, STATE OR LOCAL LAW, AND WILL INSTEAD RELY UPON THE EXEMPTIONS 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FORTH IN SECTION 1145 OF THE BANKRUPTCY CODE AND SECTION 4(A)(2) OF THE SECURITIES ACT OR OTHER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THE DEBTORS RECOMMEND THAT POTENTIAL RECIPIENTS OF ANY SECURITIES PURSUANT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 THEIR OWN LEGAL COUNSEL CONCERNING THE SECURITIES LAWS GOVERNING THE TRANSFERABILITY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SUCH SECURITIES.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SOLICITATION OF VOTES ON THE PLAN WITH RESPECT TO PREPETITION NOTES CLAIMS IS BEING MADE PURSUANT TO SECTION 4(A)(2) AND REGULATION D OF THE SECURITIES ACT AND ONLY WITH RESPECT TO HOLDERS OF SUCH CLAIMS THAT ARE ELIGIBLE HOLDERS OF PREPETITION NOTES CLAIMS AS DESCRIBED HEREIN; PROVIDED, HOWEVER, THAT ALL HOLDERS OF ALLOWED PREPETITION NOTES CLAIMS WILL BE ENTITLED TO RECEIVE DISTRIBUTIONS UNDER THE PLAN.</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THE RIGHTS OFFERING WILL BE CONDUCTED PURSUANT TO SEPARATE RIGHTS OFFERING AND RIGHTS OFFERING PROCEDURES. ANY DISCLOSURE CONTAINED HEREIN CONCERNING THE RIGHTS OFFERING IS SOLELY FOR INFORMATION PURPOSES.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4" w:name="page125"/>
    <w:bookmarkEnd w:id="124"/>
    <w:p>
      <w:pPr>
        <w:spacing w:after="0" w:line="252" w:lineRule="auto"/>
        <w:rPr>
          <w:sz w:val="20"/>
          <w:szCs w:val="20"/>
          <w:color w:val="auto"/>
        </w:rPr>
      </w:pPr>
      <w:r>
        <w:rPr>
          <w:rFonts w:ascii="Arial" w:cs="Arial" w:eastAsia="Arial" w:hAnsi="Arial"/>
          <w:sz w:val="18"/>
          <w:szCs w:val="18"/>
          <w:b w:val="1"/>
          <w:bCs w:val="1"/>
          <w:color w:val="auto"/>
        </w:rPr>
        <w:t>THE NEW COMMON STOCK, THE NEW WARRANTS (AND THE NEW COMMON STOCK ISSUABLE UPON EXERCISE THEREOF), THE SUBSCRIPTION RIGHTS, THE NEW TRANCHE A SENIOR UNSECURED NOTES ISSUED PURSUANT TO THE RIGHTS OFFERING, THE NEW TRANCHE B SENIOR UNSECURED NOTES (AND THE NEW COMMON STOCK ISSUABLE PURSUANT TO THE TRANCHE B EQUITY CONVERSION), AND ANY OTHER NEW SECURITIES HAVE NOT BEEN APPROVED OR DISAPPROVED BY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b w:val="1"/>
          <w:bCs w:val="1"/>
          <w:color w:val="auto"/>
        </w:rPr>
        <w:t>”) OR BY ANY STATE SECURITIES COMMISSION OR SIMILAR PUBLIC, GOVERNMENTAL, OR REGULATORY AUTHORITY, AND NEITHER THE SEC NOR ANY AUTHORITY HAS PASSED UPON THE ACCURACY OR ADEQUACY OF THE INFORMATION CONTAINED IN THIS DISCLOSURE STATEMENT OR UPON THE MERITS OF PLAN. THIS DOCUMENT IS NOT A PROSPECTUS WITHIN THE MEANING OF THE EU PROSPECTUS DIRECTIVE (DIRECTIVE 2003/71/EC), AS AMENDED, THE EU PROSPECTUS REGULATION (REGULATION (EU) 2017/1129) OR ANY IMPLEMENTING LEGISLATION OR RULES RELATING THERETO OF ANY MEMBER STATE OF THE EUROPEAN ECONOMIC AREA. THIS DOCUMENT HAS NOT BEEN APPROVED OR REVIEWED BY ANY COMPETENT AUTHORITY OR REGULATORY AUTHORITY OF ANY MEMBER STATE OF THE EUROPEAN ECONOMIC AREA. NO OFFER OF SECURITIES TO THE PUBLIC IS MADE, OR WILL BE MADE IN ANY MEMBER STATE OF THE EUROPEAN ECONOMIC AREA THAT REQUIRES THE PUBLICATION OF A PROSPECTUS WITHIN THE MEANING OF THE EU PROSPECTUS DIRECTIVE, AS AMENDED, OR THE EU PROSPECTUS REGULATION.</w:t>
      </w:r>
    </w:p>
    <w:p>
      <w:pPr>
        <w:spacing w:after="0" w:line="1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CERTAIN STATEMENTS CONTAINED IN THIS DISCLOSURE STATEMENT, INCLUDING STATEMENTS INCORPORATED BY REFERENCE AND PROJECTED FINANCIAL INFORMATION, ARE FORWARD-LOOKING STATEMENTS AND ARE BASED ON ESTIMATES AND ASSUMPTIONS. THERE CAN BE NO ASSURANCE THAT SUCH STATEMENTS WILL BE REFLECTIVE OF ACTUAL OUTCOMES. FORWARD-LOOKING STATEMENTS ARE PROVIDED IN THIS DISCLOSURE STATEMENT PURSUANT TO THE SAFE HARBOR ESTABLISHED UNDER THE PRIVATE SECURITIES LITIGATION REFORM ACT OF 1995 AND SHOULD BE EVALUATED IN THE CONTEXT OF THE ESTIMATES, ASSUMPTIONS, UNCERTAINTIES, AND RISKS DESCRIBED HEREIN.</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FURTHER, WHILE THE DEBTORS BELIEVE THE ASSUMPTIONS ON WHICH THE FORWARD-LOOKING STATEMENTS HEREIN ARE BASED ARE REASONABLE, READERS ARE CAUTIONED AGAINST RELYING ON ANY FORWARD-LOOKING STATEMENTS AS IT IS VERY DIFFICULT TO PREDICT THE IMPACT OF KNOWN FACTORS, AND IT IS IMPOSSIBLE TO ANTICIPATE ALL FACTORS THAT COULD AFFECT ACTUAL RESULTS. IMPORTANT FACTORS THAT COULD CAUSE ACTUAL RESULTS TO DIFFER MATERIALLY FROM THOSE IN THE FORWARD-LOOKING STATEMENTS HEREIN INCLUDE, BUT ARE NOT LIMITED TO, THE ABILITY TO CONFIRM AND CONSUMMATE A PLAN OF REORGANIZATION IN ACCORDANCE WITH THE TERMS OF THE RESTRUCTURING SUPPORT AGREEMENT; RISKS ATTENDANT TO THE BANKRUPTCY PROCESS, INCLUDING THE DEBTORS’ ABILITY TO OBTAIN THE APPROVAL OF THE BANKRUPTCY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spacing w:after="0" w:line="252" w:lineRule="auto"/>
        <w:rPr>
          <w:sz w:val="20"/>
          <w:szCs w:val="20"/>
          <w:color w:val="auto"/>
        </w:rPr>
      </w:pPr>
      <w:r>
        <w:rPr>
          <w:rFonts w:ascii="Arial" w:cs="Arial" w:eastAsia="Arial" w:hAnsi="Arial"/>
          <w:sz w:val="18"/>
          <w:szCs w:val="18"/>
          <w:b w:val="1"/>
          <w:bCs w:val="1"/>
          <w:color w:val="auto"/>
        </w:rPr>
        <w:t>COURT WITH RESPECT TO MOTIONS FILED IN THE CASES, THE OUTCOMES OF BANKRUPTCY CASES AND THE LENGTH OF TIME THAT THE DEBTORS MAY BE REQUIRED TO OPERATE IN BANKRUPTCY; THE EFFECTIVENESS OF THE OVERALL RESTRUCTURING ACTIVITIES AND ANY ADDITIONAL STRATEGIES THAT THE DEBTORS EMPLOY TO ADDRESS LIQUIDITY AND CAPITAL RESOURCES; THE ACTIONS AND DECISIONS OF CREDITORS, REGULATORS AND OTHER THIRD PARTIES THAT HAVE AN INTEREST IN THE CASES, WHICH MAY INTERFERE WITH THE ABILITY TO CONFIRM AND CONSUMMATE A PLAN OF REORGANIZATION; RESTRICTIONS ON THE DEBTORS DUE TO THE TERMS OF ANY DEBTOR-IN-POSSESSION CREDIT FACILITY ENTERED INTO IN CONNECTION WITH THE BANKRUPTCY CASES AND RESTRICTIONS IMPOSED BY THE BANKRUPTCY COURT; THE DEBTORS’ ABILITY TO REALIZE THE COST SAVINGS AND BUSINESS ENHANCEMENTS FROM THEIR TRANSFORMATION EFFORTS; THE DEBTORS’ ABILITY TO INVEST IN THEIR BUSINESSES IN ACCORDANCE WITH THEIR FORECASTED CAPITAL EXPENDITURE BUDGET; A WEAKENING OF GLOBAL ECONOMIC AND FINANCIAL CONDITIONS, CHANGES IN GOVERNMENTAL REGULATIONS AND RELATED COMPLIANCE AND LITIGATION COSTS AND THE OTHER FACTORS LISTED IN THE DEBTORS’ SEC FILINGS. THE DEBTORS ARE UNDER NO OBLIGATION TO (AND EXPRESSLY DISCLAIM ANY OBLIGATION TO) UPDATE OR ALTER ANY FORWARD-LOOKING STATEMENTS WHETHER AS A RESULT OF NEW INFORMATION, FUTURE EVENTS, OR OTHERWISE, UNLESS INSTRUCTED TO DO SO BY THE BANKRUPTCY COURT.</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HOLDERS OF ALLOWED GENERAL UNSECURED CLAIMS WILL NOT BE IMPAIRED BY THE PLAN AND, AS A RESULT, THE RIGHT TO RECEIVE PAYMENT IN FULL ON ACCOUNT OF EXISTING OBLIGATIONS IN RESPECT OF SUCH CLAIMS IS NOT ALTERED BY THE PLAN. DURING THE CHAPTER 11 CASES, THE DEBTORS INTEND TO OPERATE THEIR BUSINESSES IN THE ORDINARY COURSE.</w:t>
      </w:r>
    </w:p>
    <w:p>
      <w:pPr>
        <w:spacing w:after="0" w:line="18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THE PLAN PROVIDES THAT HOLDERS OF IMPAIRED CLAIMS AND EXISTING COMMON STOCK ENTITLED TO VOTE WHO DO NOT SUBMIT A BALLOT VOTING TO ACCEPT OR REJECT THE PLAN, WHO VOTE TO ACCEPT THE PLAN, OR WHO VOTE TO REJECT THE PLAN BUT DO NOT OPT OUT OF THE RELEASE PROVISIONS OF THE PLAN ARE DEEMED TO HAVE GRANTED THE RELEASES THEREIN.</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LEGAL OR TAX ADVICE IS PROVIDED TO YOU BY THIS DISCLOSURE STATEMENT. THE DEBTORS URGE EACH HOLDER OF A CLAIM OR AN EQUITY INTEREST TO CONSULT WITH ITS OWN ADVISORS WITH RESPECT TO ANY LEGAL, FINANCIAL, SECURITIES, TAX OR BUSINESS ADVICE IN REVIEWING THIS DISCLOSURE STATEMENT, THE PLAN AND EACH OF THE PROPOSED TRANSACTIONS CONTEMPLATED THEREBY. FURTHERMORE, THE BANKRUPTCY COURT’S APPROVAL OF THE ADEQUACY OF DISCLOSURE CONTAINED IN THIS DISCLOSURE STATEMENT DOES NOT CONSTITUTE THE BANKRUPTCY COURT’S APPROVAL OF THE MERITS OF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6" w:name="page127"/>
    <w:bookmarkEnd w:id="126"/>
    <w:p>
      <w:pPr>
        <w:ind w:right="260"/>
        <w:spacing w:after="0" w:line="261" w:lineRule="auto"/>
        <w:rPr>
          <w:sz w:val="20"/>
          <w:szCs w:val="20"/>
          <w:color w:val="auto"/>
        </w:rPr>
      </w:pPr>
      <w:r>
        <w:rPr>
          <w:rFonts w:ascii="Arial" w:cs="Arial" w:eastAsia="Arial" w:hAnsi="Arial"/>
          <w:sz w:val="18"/>
          <w:szCs w:val="18"/>
          <w:b w:val="1"/>
          <w:bCs w:val="1"/>
          <w:color w:val="auto"/>
        </w:rPr>
        <w:t>IT IS THE DEBTORS’ POSITION THAT THIS DISCLOSURE STATEMENT DOES NOT CONSTITUTE, AND MAY NOT BE CONSTRUED AS, AN ADMISSION OF FACT, LIABILITY, STIPULATION OR WAIVER. RATHER, THIS DISCLOSURE STATEMENT SHALL CONSTITUTE A STATEMENT MADE IN SETTLEMENT NEGOTIATIONS RELATED TO CONTESTED MATTERS, ADVERSARY PROCEEDINGS AND OTHER PENDING OR THREATENED LITIGATION OR ACTIONS.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NO RELIANCE SHOULD BE PLACED ON THE FACT THAT A PARTICULAR LITIGATION CLAIM OR PROJECTED OBJECTION TO A PARTICULAR CLAIM IS, OR IS NOT, IDENTIFIED IN THE DISCLOSURE STATEMENT. THE DEBTORS OR THE REORGANIZED DEBTORS MAY SEEK TO INVESTIGATE, FILE AND PROSECUTE CLAIMS AND MAY OBJECT TO CLAIMS AFTER THE CONFIRMATION OR EFFECTIVE DATE OF THE PLAN IRRESPECTIVE OF WHETHER THE DISCLOSURE STATEMENT IDENTIFIES ANY SUCH CLAIMS OR OBJECTIONS TO CLAIMS.</w:t>
      </w:r>
    </w:p>
    <w:p>
      <w:pPr>
        <w:spacing w:after="0" w:line="184"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IN REVIEWING THIS DISCLOSURE STATEMENT AND THE PLAN, AND IN DETERMINING WHETHER TO VOTE IN FAVOR OF OR AGAINST, OR TO OBJECT TO CONFIRMATION OF, THE PLAN, CREDITORS, EQUITY INTEREST HOLDERS AND STAKEHOLDERS SHOULD BE AWARE THAT THE PLAN PRESERVES ALL CAUSES OF ACTION (INCLUDING AVOIDANCE ACTIONS) AND THAT THE PLAN AUTHORIZES THE REORGANIZED DEBTORS TO PROSECUTE THE SAME.</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THIS DISCLOSURE STATEMENT CONTAINS, AMONG OTHER THINGS, SUMMARIES OF THE PLAN, CERTAIN STATUTORY PROVISIONS, CERTAIN EXPECTED EVENTS IN THE DEBTORS’ TO-BE-FILED CHAPTER 11 CASES AND CERTAIN DOCUMENTS RELATED TO THE PLAN THAT ARE ATTACHED HERETO AND INCORPORATED HEREIN BY REFERENCE. ALTHOUGH THE DEBTORS BELIEVE THAT THESE SUMMARIES ARE FAIR AND ACCURATE, THESE SUMMARIES ARE QUALIFIED IN THEIR ENTIRETY TO THE EXTENT THAT THE SUMMARIES DO NOT SET FORTH THE ENTIRE TEXT OF SUCH DOCUMENTS OR STATUTORY PROVISIONS OR EVERY DETAIL OF SUCH EVENTS. IN THE EVENT OF ANY CONFLICT, INCONSISTENCY OR DISCREPANCY BETWEEN A DESCRIPTION IN THIS DISCLOSURE STATEMENT AND THE TERMS AND PROVISIONS OF THE PLAN OR ANY OTHER DOCUMENTS INCORPORATED HEREIN BY REFERENCE, THE PLAN OR SUCH OTHER DOCUMENTS WILL GOVERN AND CONTROL FOR ALL PURPOSES. EXCEPT WHERE OTHERWISE SPECIFICALLY NOTED, FACTUAL INFORMATION CONTAINED IN THIS DISCLOSURE STATEMENT HAS BEEN PROVIDED BY THE DEBTORS’ MANAGEMENT. THE DEBTORS DO NOT REPRESENT OR WARRANT THAT THE INFORMATION CONTAINED HEREIN OR ATTACHED HERETO IS WITHOUT ANY MATERIAL INACCURACY OR OMISSION.</w:t>
      </w:r>
    </w:p>
    <w:p>
      <w:pPr>
        <w:spacing w:after="0" w:line="19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DEBTORS’ MANAGEMENT HAS REVIEWED THE FINANCIAL INFORMATION PROVIDED IN THIS DISCLOSURE STATEMENT. ALTHOUGH THE DEBTORS HAVE USED THEIR REASONABLE BUSINESS JUDGMENT TO ENSURE THE ACCURACY OF THIS FINANCIAL INFORMATION, THE FINANCIAL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7" w:name="page128"/>
    <w:bookmarkEnd w:id="127"/>
    <w:p>
      <w:pPr>
        <w:ind w:right="540"/>
        <w:spacing w:after="0" w:line="282" w:lineRule="auto"/>
        <w:rPr>
          <w:sz w:val="20"/>
          <w:szCs w:val="20"/>
          <w:color w:val="auto"/>
        </w:rPr>
      </w:pPr>
      <w:r>
        <w:rPr>
          <w:rFonts w:ascii="Arial" w:cs="Arial" w:eastAsia="Arial" w:hAnsi="Arial"/>
          <w:sz w:val="18"/>
          <w:szCs w:val="18"/>
          <w:b w:val="1"/>
          <w:bCs w:val="1"/>
          <w:color w:val="auto"/>
        </w:rPr>
        <w:t>INFORMATION CONTAINED IN, OR INCORPORATED BY REFERENCE INTO, THIS DISCLOSURE STATEMENT HAS NOT BEEN AUDITED (UNLESS EXPRESSLY PROVIDED HEREIN).</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THE DEBTORS ARE MAKING THE STATEMENTS AND PROVIDING THE FINANCIAL INFORMATION CONTAINED IN THIS DISCLOSURE STATEMENT AS OF THE DATE HEREOF WHERE FEASIBLE, UNLESS OTHERWISE SPECIFICALLY NOTED. ALTHOUGH THE DEBTORS MAY SUBSEQUENTLY UPDATE THE INFORMATION IN THIS DISCLOSURE STATEMENT, THE DEBTORS HAVE NO AFFIRMATIVE DUTY TO DO SO. HOLDERS OF CLAIMS AND EQUITY INTERESTS REVIEWING THIS DISCLOSURE STATEMENT SHOULD NOT INFER THAT, AT THE TIME OF THEIR REVIEW, THE FACTS SET FORTH HEREIN HAVE NOT CHANGED SINCE THE DISCLOSURE STATEMENT WAS FILED. THE DEBTORS HAVE NOT AUTHORIZED ANY ENTITY TO GIVE ANY INFORMATION ABOUT OR CONCERNING THE PLAN OTHER THAN THAT WHICH IS CONTAINED IN THIS DISCLOSURE STATEMENT. THE DEBTORS HAVE NOT AUTHORIZED ANY REPRESENTATIONS CONCERNING THE DEBTORS OR THE VALUE OF THEIR PROPERTY OTHER THAN AS SET FORTH IN THIS DISCLOSURE STATEMENT.</w:t>
      </w:r>
    </w:p>
    <w:p>
      <w:pPr>
        <w:spacing w:after="0" w:line="1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b w:val="1"/>
          <w:bCs w:val="1"/>
          <w:color w:val="auto"/>
        </w:rPr>
        <w:t>HOLDERS OF CLAIMS AND EQUITY INTERESTS ENTITLED TO VOTE TO ACCEPT OR REJECT THE PLAN MUST RELY ON THEIR OWN EVALUATION OF THE DEBTORS AND THEIR OWN ANALYSES OF THE TERMS OF THE PLAN IN DECIDING WHETHER TO VOTE TO ACCEPT OR REJECT THE PLAN. IMPORTANTLY, PRIOR TO DECIDING WHETHER AND HOW TO VOTE ON THE PLAN, EACH HOLDER OF A CLAIM OR EQUITY INTEREST IN A VOTING CLASS SHOULD REVIEW THE PLAN IN ITS ENTIRETY AND CONSIDER CAREFULLY ALL OF THE INFORMATION IN THIS DISCLOSURE STATEMENT AND ANY EXHIBITS</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HERETO, INCLUDING THE RISK FACTORS DESCRIBED IN GREATER DETAIL IN SECTION V HEREIN, “PLAN-RELATED RISK FACTORS.”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358"/>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 EXECUTIVE SUMMARY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Purpose and Effect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Claims and Equity Interests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 BACKGROUND TO THE CHAPTER 11 CASES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The Debtors’ Corporate History and Structure</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Overview of the Debtors’ Businesses</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Prepetition Indebtedness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Events Leading to the Chapter 11 Filing</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4"/>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III. ANTICIPATED EVENTS DURING THE CHAPTER 11 CASE, THE IRISH EXAMINERSHIP PROCEEDING, AND THE</w:t>
            </w:r>
          </w:p>
        </w:tc>
        <w:tc>
          <w:tcPr>
            <w:tcW w:w="900" w:type="dxa"/>
            <w:vAlign w:val="bottom"/>
          </w:tcPr>
          <w:p>
            <w:pPr>
              <w:spacing w:after="0"/>
              <w:rPr>
                <w:sz w:val="24"/>
                <w:szCs w:val="24"/>
                <w:color w:val="auto"/>
              </w:rPr>
            </w:pPr>
          </w:p>
        </w:tc>
      </w:tr>
      <w:tr>
        <w:trPr>
          <w:trHeight w:val="234"/>
        </w:trPr>
        <w:tc>
          <w:tcPr>
            <w:tcW w:w="10520" w:type="dxa"/>
            <w:vAlign w:val="bottom"/>
            <w:gridSpan w:val="2"/>
          </w:tcPr>
          <w:p>
            <w:pPr>
              <w:ind w:left="460"/>
              <w:spacing w:after="0"/>
              <w:rPr>
                <w:sz w:val="20"/>
                <w:szCs w:val="20"/>
                <w:color w:val="auto"/>
              </w:rPr>
            </w:pPr>
            <w:r>
              <w:rPr>
                <w:rFonts w:ascii="Arial" w:cs="Arial" w:eastAsia="Arial" w:hAnsi="Arial"/>
                <w:sz w:val="18"/>
                <w:szCs w:val="18"/>
                <w:b w:val="1"/>
                <w:bCs w:val="1"/>
                <w:color w:val="auto"/>
              </w:rPr>
              <w:t>BERMUDA PROCEEDING</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Chapter 11 First Day Motions and Certain Related Relief</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Exclusive Period for Filing a Chapter 11 Plan and Soliciting Votes</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The Irish Examinership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The Bermuda Proceeding</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IV. SUMMARY OF THE PLAN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General</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Administrative, DIP Facility, and Priority Tax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Classification and Treatment of Classified Claims and Equity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rPr>
              <w:t>Acceptance or Rejection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9620" w:type="dxa"/>
            <w:vAlign w:val="bottom"/>
          </w:tcPr>
          <w:p>
            <w:pPr>
              <w:ind w:left="340"/>
              <w:spacing w:after="0"/>
              <w:rPr>
                <w:sz w:val="20"/>
                <w:szCs w:val="20"/>
                <w:color w:val="auto"/>
              </w:rPr>
            </w:pPr>
            <w:r>
              <w:rPr>
                <w:rFonts w:ascii="Arial" w:cs="Arial" w:eastAsia="Arial" w:hAnsi="Arial"/>
                <w:sz w:val="18"/>
                <w:szCs w:val="18"/>
                <w:color w:val="auto"/>
              </w:rPr>
              <w:t>Means for Implementation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9620" w:type="dxa"/>
            <w:vAlign w:val="bottom"/>
          </w:tcPr>
          <w:p>
            <w:pPr>
              <w:ind w:left="340"/>
              <w:spacing w:after="0"/>
              <w:rPr>
                <w:sz w:val="20"/>
                <w:szCs w:val="20"/>
                <w:color w:val="auto"/>
              </w:rPr>
            </w:pPr>
            <w:r>
              <w:rPr>
                <w:rFonts w:ascii="Arial" w:cs="Arial" w:eastAsia="Arial" w:hAnsi="Arial"/>
                <w:sz w:val="18"/>
                <w:szCs w:val="18"/>
                <w:color w:val="auto"/>
              </w:rPr>
              <w:t>Treatment of Executory Contracts and Unexpired Leases</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9620" w:type="dxa"/>
            <w:vAlign w:val="bottom"/>
          </w:tcPr>
          <w:p>
            <w:pPr>
              <w:ind w:left="340"/>
              <w:spacing w:after="0"/>
              <w:rPr>
                <w:sz w:val="20"/>
                <w:szCs w:val="20"/>
                <w:color w:val="auto"/>
              </w:rPr>
            </w:pPr>
            <w:r>
              <w:rPr>
                <w:rFonts w:ascii="Arial" w:cs="Arial" w:eastAsia="Arial" w:hAnsi="Arial"/>
                <w:sz w:val="18"/>
                <w:szCs w:val="18"/>
                <w:color w:val="auto"/>
              </w:rPr>
              <w:t>Provisions Governing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H.</w:t>
            </w:r>
          </w:p>
        </w:tc>
        <w:tc>
          <w:tcPr>
            <w:tcW w:w="9620" w:type="dxa"/>
            <w:vAlign w:val="bottom"/>
          </w:tcPr>
          <w:p>
            <w:pPr>
              <w:ind w:left="340"/>
              <w:spacing w:after="0"/>
              <w:rPr>
                <w:sz w:val="20"/>
                <w:szCs w:val="20"/>
                <w:color w:val="auto"/>
              </w:rPr>
            </w:pPr>
            <w:r>
              <w:rPr>
                <w:rFonts w:ascii="Arial" w:cs="Arial" w:eastAsia="Arial" w:hAnsi="Arial"/>
                <w:sz w:val="18"/>
                <w:szCs w:val="18"/>
                <w:color w:val="auto"/>
              </w:rPr>
              <w:t>Procedures for Resolving Contingent, Unliquidated and Disputed Claims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I.</w:t>
            </w:r>
          </w:p>
        </w:tc>
        <w:tc>
          <w:tcPr>
            <w:tcW w:w="9620" w:type="dxa"/>
            <w:vAlign w:val="bottom"/>
          </w:tcPr>
          <w:p>
            <w:pPr>
              <w:ind w:left="340"/>
              <w:spacing w:after="0"/>
              <w:rPr>
                <w:sz w:val="20"/>
                <w:szCs w:val="20"/>
                <w:color w:val="auto"/>
              </w:rPr>
            </w:pPr>
            <w:r>
              <w:rPr>
                <w:rFonts w:ascii="Arial" w:cs="Arial" w:eastAsia="Arial" w:hAnsi="Arial"/>
                <w:sz w:val="18"/>
                <w:szCs w:val="18"/>
                <w:color w:val="auto"/>
              </w:rPr>
              <w:t>Conditions Precedent to Confirmation and Consummation of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J.</w:t>
            </w:r>
          </w:p>
        </w:tc>
        <w:tc>
          <w:tcPr>
            <w:tcW w:w="9620" w:type="dxa"/>
            <w:vAlign w:val="bottom"/>
          </w:tcPr>
          <w:p>
            <w:pPr>
              <w:ind w:left="340"/>
              <w:spacing w:after="0"/>
              <w:rPr>
                <w:sz w:val="20"/>
                <w:szCs w:val="20"/>
                <w:color w:val="auto"/>
              </w:rPr>
            </w:pPr>
            <w:r>
              <w:rPr>
                <w:rFonts w:ascii="Arial" w:cs="Arial" w:eastAsia="Arial" w:hAnsi="Arial"/>
                <w:sz w:val="18"/>
                <w:szCs w:val="18"/>
                <w:color w:val="auto"/>
              </w:rPr>
              <w:t>Release, Discharge, Injunction And Related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K.</w:t>
            </w:r>
          </w:p>
        </w:tc>
        <w:tc>
          <w:tcPr>
            <w:tcW w:w="9620" w:type="dxa"/>
            <w:vAlign w:val="bottom"/>
          </w:tcPr>
          <w:p>
            <w:pPr>
              <w:ind w:left="340"/>
              <w:spacing w:after="0"/>
              <w:rPr>
                <w:sz w:val="20"/>
                <w:szCs w:val="20"/>
                <w:color w:val="auto"/>
              </w:rPr>
            </w:pPr>
            <w:r>
              <w:rPr>
                <w:rFonts w:ascii="Arial" w:cs="Arial" w:eastAsia="Arial" w:hAnsi="Arial"/>
                <w:sz w:val="18"/>
                <w:szCs w:val="18"/>
                <w:color w:val="auto"/>
              </w:rPr>
              <w:t>Retention of jurisdiction</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L.</w:t>
            </w:r>
          </w:p>
        </w:tc>
        <w:tc>
          <w:tcPr>
            <w:tcW w:w="9620" w:type="dxa"/>
            <w:vAlign w:val="bottom"/>
          </w:tcPr>
          <w:p>
            <w:pPr>
              <w:ind w:left="340"/>
              <w:spacing w:after="0"/>
              <w:rPr>
                <w:sz w:val="20"/>
                <w:szCs w:val="20"/>
                <w:color w:val="auto"/>
              </w:rPr>
            </w:pPr>
            <w:r>
              <w:rPr>
                <w:rFonts w:ascii="Arial" w:cs="Arial" w:eastAsia="Arial" w:hAnsi="Arial"/>
                <w:sz w:val="18"/>
                <w:szCs w:val="18"/>
                <w:color w:val="auto"/>
              </w:rPr>
              <w:t>Miscellaneous Provisions</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b w:val="1"/>
                <w:bCs w:val="1"/>
                <w:color w:val="auto"/>
              </w:rPr>
              <w:t>V. PLAN-RELATED RISK FACTORS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9620" w:type="dxa"/>
            <w:vAlign w:val="bottom"/>
          </w:tcPr>
          <w:p>
            <w:pPr>
              <w:ind w:left="340"/>
              <w:spacing w:after="0"/>
              <w:rPr>
                <w:sz w:val="20"/>
                <w:szCs w:val="20"/>
                <w:color w:val="auto"/>
              </w:rPr>
            </w:pPr>
            <w:r>
              <w:rPr>
                <w:rFonts w:ascii="Arial" w:cs="Arial" w:eastAsia="Arial" w:hAnsi="Arial"/>
                <w:sz w:val="18"/>
                <w:szCs w:val="18"/>
                <w:color w:val="auto"/>
              </w:rPr>
              <w:t>Certain Bankruptcy Law Considerations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9620" w:type="dxa"/>
            <w:vAlign w:val="bottom"/>
          </w:tcPr>
          <w:p>
            <w:pPr>
              <w:ind w:left="340"/>
              <w:spacing w:after="0"/>
              <w:rPr>
                <w:sz w:val="20"/>
                <w:szCs w:val="20"/>
                <w:color w:val="auto"/>
              </w:rPr>
            </w:pPr>
            <w:r>
              <w:rPr>
                <w:rFonts w:ascii="Arial" w:cs="Arial" w:eastAsia="Arial" w:hAnsi="Arial"/>
                <w:sz w:val="18"/>
                <w:szCs w:val="18"/>
                <w:color w:val="auto"/>
              </w:rPr>
              <w:t>Additional Factors Affecting the Value of the Reorganized Debtors</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9620" w:type="dxa"/>
            <w:vAlign w:val="bottom"/>
          </w:tcPr>
          <w:p>
            <w:pPr>
              <w:ind w:left="340"/>
              <w:spacing w:after="0"/>
              <w:rPr>
                <w:sz w:val="20"/>
                <w:szCs w:val="20"/>
                <w:color w:val="auto"/>
              </w:rPr>
            </w:pPr>
            <w:r>
              <w:rPr>
                <w:rFonts w:ascii="Arial" w:cs="Arial" w:eastAsia="Arial" w:hAnsi="Arial"/>
                <w:sz w:val="18"/>
                <w:szCs w:val="18"/>
                <w:color w:val="auto"/>
              </w:rPr>
              <w:t>Risk Factors That May Affect the Value of Securities to be Issued Under the Plan and/or Recoveries Under the Plan</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9620" w:type="dxa"/>
            <w:vAlign w:val="bottom"/>
          </w:tcPr>
          <w:p>
            <w:pPr>
              <w:ind w:left="340"/>
              <w:spacing w:after="0"/>
              <w:rPr>
                <w:sz w:val="20"/>
                <w:szCs w:val="20"/>
                <w:color w:val="auto"/>
              </w:rPr>
            </w:pPr>
            <w:r>
              <w:rPr>
                <w:rFonts w:ascii="Arial" w:cs="Arial" w:eastAsia="Arial" w:hAnsi="Arial"/>
                <w:sz w:val="18"/>
                <w:szCs w:val="18"/>
                <w:color w:val="auto"/>
                <w:w w:val="98"/>
              </w:rPr>
              <w:t>Risk Factors that Could Negatively Impact the Debtors’ And Reorganized Debtors’ Businesses and Financial Condition</w:t>
            </w: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Irish Examinership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Risk Factors Relating to the Bermuda Proceeding</w:t>
            </w:r>
          </w:p>
        </w:tc>
        <w:tc>
          <w:tcPr>
            <w:tcW w:w="24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 SOLICITATION AND VOTING PROCEDURES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Solicitation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Voting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 CONFIRMATION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The Confirmation Hearing</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Objections to Confirmation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Effect of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E.</w:t>
            </w:r>
          </w:p>
        </w:tc>
        <w:tc>
          <w:tcPr>
            <w:tcW w:w="8060" w:type="dxa"/>
            <w:vAlign w:val="bottom"/>
          </w:tcPr>
          <w:p>
            <w:pPr>
              <w:ind w:left="340"/>
              <w:spacing w:after="0"/>
              <w:rPr>
                <w:sz w:val="20"/>
                <w:szCs w:val="20"/>
                <w:color w:val="auto"/>
              </w:rPr>
            </w:pPr>
            <w:r>
              <w:rPr>
                <w:rFonts w:ascii="Arial" w:cs="Arial" w:eastAsia="Arial" w:hAnsi="Arial"/>
                <w:sz w:val="18"/>
                <w:szCs w:val="18"/>
                <w:color w:val="auto"/>
              </w:rPr>
              <w:t>Confirmation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F.</w:t>
            </w:r>
          </w:p>
        </w:tc>
        <w:tc>
          <w:tcPr>
            <w:tcW w:w="8060" w:type="dxa"/>
            <w:vAlign w:val="bottom"/>
          </w:tcPr>
          <w:p>
            <w:pPr>
              <w:ind w:left="340"/>
              <w:spacing w:after="0"/>
              <w:rPr>
                <w:sz w:val="20"/>
                <w:szCs w:val="20"/>
                <w:color w:val="auto"/>
              </w:rPr>
            </w:pPr>
            <w:r>
              <w:rPr>
                <w:rFonts w:ascii="Arial" w:cs="Arial" w:eastAsia="Arial" w:hAnsi="Arial"/>
                <w:sz w:val="18"/>
                <w:szCs w:val="18"/>
                <w:color w:val="auto"/>
              </w:rPr>
              <w:t>Statutory Requirements for Confirmation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G.</w:t>
            </w:r>
          </w:p>
        </w:tc>
        <w:tc>
          <w:tcPr>
            <w:tcW w:w="8060" w:type="dxa"/>
            <w:vAlign w:val="bottom"/>
          </w:tcPr>
          <w:p>
            <w:pPr>
              <w:ind w:left="340"/>
              <w:spacing w:after="0"/>
              <w:rPr>
                <w:sz w:val="20"/>
                <w:szCs w:val="20"/>
                <w:color w:val="auto"/>
              </w:rPr>
            </w:pPr>
            <w:r>
              <w:rPr>
                <w:rFonts w:ascii="Arial" w:cs="Arial" w:eastAsia="Arial" w:hAnsi="Arial"/>
                <w:sz w:val="18"/>
                <w:szCs w:val="18"/>
                <w:color w:val="auto"/>
              </w:rPr>
              <w:t>Consummation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VIII. VALUATION ANALYSIS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IX. EXEMPTIONS FROM SECURITIES ACT REGISTRATION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 CERTAIN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U.S. Federal Income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Irish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C.</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Swiss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D.</w:t>
            </w:r>
          </w:p>
        </w:tc>
        <w:tc>
          <w:tcPr>
            <w:tcW w:w="8060" w:type="dxa"/>
            <w:vAlign w:val="bottom"/>
          </w:tcPr>
          <w:p>
            <w:pPr>
              <w:ind w:left="340"/>
              <w:spacing w:after="0"/>
              <w:rPr>
                <w:sz w:val="20"/>
                <w:szCs w:val="20"/>
                <w:color w:val="auto"/>
              </w:rPr>
            </w:pPr>
            <w:r>
              <w:rPr>
                <w:rFonts w:ascii="Arial" w:cs="Arial" w:eastAsia="Arial" w:hAnsi="Arial"/>
                <w:sz w:val="18"/>
                <w:szCs w:val="18"/>
                <w:color w:val="auto"/>
              </w:rPr>
              <w:t>Certain Bermudian Tax Consequences of the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XI. ALTERNATIVES TO CONFIRMATION AND CONSUMMATION OF THE PLAN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154</w:t>
            </w:r>
          </w:p>
        </w:tc>
      </w:tr>
      <w:tr>
        <w:trPr>
          <w:trHeight w:val="418"/>
        </w:trPr>
        <w:tc>
          <w:tcPr>
            <w:tcW w:w="900" w:type="dxa"/>
            <w:vAlign w:val="bottom"/>
          </w:tcPr>
          <w:p>
            <w:pPr>
              <w:ind w:left="360"/>
              <w:spacing w:after="0"/>
              <w:rPr>
                <w:sz w:val="20"/>
                <w:szCs w:val="20"/>
                <w:color w:val="auto"/>
              </w:rPr>
            </w:pPr>
            <w:r>
              <w:rPr>
                <w:rFonts w:ascii="Arial" w:cs="Arial" w:eastAsia="Arial" w:hAnsi="Arial"/>
                <w:sz w:val="18"/>
                <w:szCs w:val="18"/>
                <w:color w:val="auto"/>
              </w:rPr>
              <w:t>A.</w:t>
            </w:r>
          </w:p>
        </w:tc>
        <w:tc>
          <w:tcPr>
            <w:tcW w:w="8060" w:type="dxa"/>
            <w:vAlign w:val="bottom"/>
          </w:tcPr>
          <w:p>
            <w:pPr>
              <w:ind w:left="340"/>
              <w:spacing w:after="0"/>
              <w:rPr>
                <w:sz w:val="20"/>
                <w:szCs w:val="20"/>
                <w:color w:val="auto"/>
              </w:rPr>
            </w:pPr>
            <w:r>
              <w:rPr>
                <w:rFonts w:ascii="Arial" w:cs="Arial" w:eastAsia="Arial" w:hAnsi="Arial"/>
                <w:sz w:val="18"/>
                <w:szCs w:val="18"/>
                <w:color w:val="auto"/>
              </w:rPr>
              <w:t>Liquidation Under Chapter 7 of the Bankruptcy Code</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B.</w:t>
            </w:r>
          </w:p>
        </w:tc>
        <w:tc>
          <w:tcPr>
            <w:tcW w:w="8060" w:type="dxa"/>
            <w:vAlign w:val="bottom"/>
          </w:tcPr>
          <w:p>
            <w:pPr>
              <w:ind w:left="340"/>
              <w:spacing w:after="0"/>
              <w:rPr>
                <w:sz w:val="20"/>
                <w:szCs w:val="20"/>
                <w:color w:val="auto"/>
              </w:rPr>
            </w:pPr>
            <w:r>
              <w:rPr>
                <w:rFonts w:ascii="Arial" w:cs="Arial" w:eastAsia="Arial" w:hAnsi="Arial"/>
                <w:sz w:val="18"/>
                <w:szCs w:val="18"/>
                <w:color w:val="auto"/>
              </w:rPr>
              <w:t>Filing of an Alternative Plan of Reorganization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Plan of Reorganization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Restructuring Support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Liquidation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Financial Projections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Valuation Analysis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Organizational Structure Chart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Prepetition Indebtedness Borrowers, Guarantors, and Obligors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Backstop Commitment Agreement</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Reorganization Steps Overview</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Description of Reorganization Steps</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5"/>
          <w:szCs w:val="15"/>
          <w:color w:val="auto"/>
        </w:rPr>
        <w:t>Warrant Term Sheet</w:t>
      </w:r>
    </w:p>
    <w:p>
      <w:pPr>
        <w:spacing w:after="0" w:line="225"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THE DEBTORS HEREBY ADOPT AND INCORPORATE EACH EXHIBIT ATTACHED TO THIS DISCLOSURE STATEMENT BY REFERENCE AS THOUGH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u w:val="single" w:color="auto"/>
          <w:color w:val="auto"/>
        </w:rPr>
        <w:t>Weatherford Parent</w:t>
      </w:r>
      <w:r>
        <w:rPr>
          <w:rFonts w:ascii="Arial" w:cs="Arial" w:eastAsia="Arial" w:hAnsi="Arial"/>
          <w:sz w:val="17"/>
          <w:szCs w:val="17"/>
          <w:color w:val="auto"/>
        </w:rPr>
        <w:t>”), an Irish public limited company, and the other debtors and debtors in possession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u w:val="single" w:color="auto"/>
          <w:color w:val="auto"/>
        </w:rPr>
        <w:t>Debtors</w:t>
      </w:r>
      <w:r>
        <w:rPr>
          <w:rFonts w:ascii="Arial" w:cs="Arial" w:eastAsia="Arial" w:hAnsi="Arial"/>
          <w:sz w:val="17"/>
          <w:szCs w:val="17"/>
          <w:color w:val="auto"/>
        </w:rPr>
        <w:t>” and, together with their non-debtor subsidiaries,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Weatherford</w:t>
      </w:r>
      <w:r>
        <w:rPr>
          <w:rFonts w:ascii="Arial" w:cs="Arial" w:eastAsia="Arial" w:hAnsi="Arial"/>
          <w:sz w:val="17"/>
          <w:szCs w:val="17"/>
          <w:color w:val="auto"/>
        </w:rPr>
        <w:t>”), submit this disclosure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Disclosure Statement</w:t>
      </w:r>
      <w:r>
        <w:rPr>
          <w:rFonts w:ascii="Arial" w:cs="Arial" w:eastAsia="Arial" w:hAnsi="Arial"/>
          <w:sz w:val="16"/>
          <w:szCs w:val="16"/>
          <w:color w:val="auto"/>
        </w:rPr>
        <w:t>”) pursuant to sections 1125 and 1126(b) of title 11 of the United States Code, 11 U.S.C. §§ 101-1532 (as amended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and other applicable law, in connection with the solicitation of votes (the “</w:t>
      </w:r>
      <w:r>
        <w:rPr>
          <w:rFonts w:ascii="Arial" w:cs="Arial" w:eastAsia="Arial" w:hAnsi="Arial"/>
          <w:sz w:val="17"/>
          <w:szCs w:val="17"/>
          <w:b w:val="1"/>
          <w:bCs w:val="1"/>
          <w:u w:val="single" w:color="auto"/>
          <w:color w:val="auto"/>
        </w:rPr>
        <w:t>Solicitation</w:t>
      </w:r>
      <w:r>
        <w:rPr>
          <w:rFonts w:ascii="Arial" w:cs="Arial" w:eastAsia="Arial" w:hAnsi="Arial"/>
          <w:sz w:val="17"/>
          <w:szCs w:val="17"/>
          <w:color w:val="auto"/>
        </w:rPr>
        <w:t xml:space="preserve">”) on the </w:t>
      </w:r>
      <w:r>
        <w:rPr>
          <w:rFonts w:ascii="Arial" w:cs="Arial" w:eastAsia="Arial" w:hAnsi="Arial"/>
          <w:sz w:val="17"/>
          <w:szCs w:val="17"/>
          <w:i w:val="1"/>
          <w:iCs w:val="1"/>
          <w:color w:val="auto"/>
        </w:rPr>
        <w:t>Joint Prepackaged Plan of</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Reorganization for Weatherford International plc and its Affiliate Debtors Under Chapter 11 of the Bankruptcy Code</w:t>
      </w:r>
      <w:r>
        <w:rPr>
          <w:rFonts w:ascii="Arial" w:cs="Arial" w:eastAsia="Arial" w:hAnsi="Arial"/>
          <w:sz w:val="16"/>
          <w:szCs w:val="16"/>
          <w:color w:val="auto"/>
        </w:rPr>
        <w:t>, dated June 28, 2019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w:t>
      </w:r>
      <w:r>
        <w:rPr>
          <w:rFonts w:ascii="Arial" w:cs="Arial" w:eastAsia="Arial" w:hAnsi="Arial"/>
          <w:sz w:val="20"/>
          <w:szCs w:val="20"/>
          <w:color w:val="auto"/>
          <w:vertAlign w:val="superscript"/>
        </w:rPr>
        <w:t>(2)</w:t>
      </w:r>
    </w:p>
    <w:p>
      <w:pPr>
        <w:spacing w:after="0"/>
        <w:rPr>
          <w:sz w:val="20"/>
          <w:szCs w:val="20"/>
          <w:color w:val="auto"/>
        </w:rPr>
      </w:pPr>
      <w:r>
        <w:rPr>
          <w:rFonts w:ascii="Arial" w:cs="Arial" w:eastAsia="Arial" w:hAnsi="Arial"/>
          <w:sz w:val="17"/>
          <w:szCs w:val="17"/>
          <w:color w:val="auto"/>
        </w:rPr>
        <w:t>Subject to the approval of the board of directors of Weatherford Parent, the Debtors anticipate filing voluntary petitions for relief under chapter 11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Bankruptcy Court for the Southern District of Texas, Houston Division (the “</w:t>
      </w:r>
      <w:r>
        <w:rPr>
          <w:rFonts w:ascii="Arial" w:cs="Arial" w:eastAsia="Arial" w:hAnsi="Arial"/>
          <w:sz w:val="16"/>
          <w:szCs w:val="16"/>
          <w:b w:val="1"/>
          <w:bCs w:val="1"/>
          <w:u w:val="single" w:color="auto"/>
          <w:color w:val="auto"/>
        </w:rPr>
        <w:t>Bankruptcy Court</w:t>
      </w:r>
      <w:r>
        <w:rPr>
          <w:rFonts w:ascii="Arial" w:cs="Arial" w:eastAsia="Arial" w:hAnsi="Arial"/>
          <w:sz w:val="16"/>
          <w:szCs w:val="16"/>
          <w:color w:val="auto"/>
        </w:rPr>
        <w:t>”) on or around July 1, 2019 (the “</w:t>
      </w:r>
      <w:r>
        <w:rPr>
          <w:rFonts w:ascii="Arial" w:cs="Arial" w:eastAsia="Arial" w:hAnsi="Arial"/>
          <w:sz w:val="16"/>
          <w:szCs w:val="16"/>
          <w:b w:val="1"/>
          <w:bCs w:val="1"/>
          <w:u w:val="single" w:color="auto"/>
          <w:color w:val="auto"/>
        </w:rPr>
        <w:t>Chapter 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Cases</w:t>
      </w:r>
      <w:r>
        <w:rPr>
          <w:rFonts w:ascii="Arial" w:cs="Arial" w:eastAsia="Arial" w:hAnsi="Arial"/>
          <w:sz w:val="18"/>
          <w:szCs w:val="18"/>
          <w:color w:val="auto"/>
        </w:rPr>
        <w:t>”). A copy of the Plan is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Debtors anticipate commencing the Chapter 11 Cases on July 1, 2019 with an expected first day hearing on or around July 2, 2019.</w:t>
      </w:r>
    </w:p>
    <w:p>
      <w:pPr>
        <w:spacing w:after="0" w:line="23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Debtors are commencing this Solicitation to implement a comprehensive financial restructuring to deleverage the Company’s balance sheet to ensure the long-term viability of the Debtors’ enterprise. As a result of extensive negotiations, the Debtors and the Holders of approximately 74% of the Prepetition Notes (the “</w:t>
      </w:r>
      <w:r>
        <w:rPr>
          <w:rFonts w:ascii="Arial" w:cs="Arial" w:eastAsia="Arial" w:hAnsi="Arial"/>
          <w:sz w:val="17"/>
          <w:szCs w:val="17"/>
          <w:b w:val="1"/>
          <w:bCs w:val="1"/>
          <w:u w:val="single" w:color="auto"/>
          <w:color w:val="auto"/>
        </w:rPr>
        <w:t>Consenting Noteholders</w:t>
      </w:r>
      <w:r>
        <w:rPr>
          <w:rFonts w:ascii="Arial" w:cs="Arial" w:eastAsia="Arial" w:hAnsi="Arial"/>
          <w:sz w:val="17"/>
          <w:szCs w:val="17"/>
          <w:color w:val="auto"/>
        </w:rPr>
        <w:t>”) entered into a restructuring support agreement (the “</w:t>
      </w:r>
      <w:r>
        <w:rPr>
          <w:rFonts w:ascii="Arial" w:cs="Arial" w:eastAsia="Arial" w:hAnsi="Arial"/>
          <w:sz w:val="17"/>
          <w:szCs w:val="17"/>
          <w:b w:val="1"/>
          <w:bCs w:val="1"/>
          <w:u w:val="single" w:color="auto"/>
          <w:color w:val="auto"/>
        </w:rPr>
        <w:t>Restructuring Support Agreement</w:t>
      </w:r>
      <w:r>
        <w:rPr>
          <w:rFonts w:ascii="Arial" w:cs="Arial" w:eastAsia="Arial" w:hAnsi="Arial"/>
          <w:sz w:val="17"/>
          <w:szCs w:val="17"/>
          <w:color w:val="auto"/>
        </w:rPr>
        <w:t xml:space="preserve">”) dated as of May 10, 2019, a copy of which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Under the terms of the Restructuring Support Agreement, the Consenting Noteholders have agreed, subject to the terms and conditions of the Restructuring Support Agreement, to support a restructuring of the Debtors’ existing capital structure in chapter 11 (the “</w:t>
      </w:r>
      <w:r>
        <w:rPr>
          <w:rFonts w:ascii="Arial" w:cs="Arial" w:eastAsia="Arial" w:hAnsi="Arial"/>
          <w:sz w:val="17"/>
          <w:szCs w:val="17"/>
          <w:b w:val="1"/>
          <w:bCs w:val="1"/>
          <w:u w:val="single" w:color="auto"/>
          <w:color w:val="auto"/>
        </w:rPr>
        <w:t>Restructuring</w:t>
      </w:r>
      <w:r>
        <w:rPr>
          <w:rFonts w:ascii="Arial" w:cs="Arial" w:eastAsia="Arial" w:hAnsi="Arial"/>
          <w:sz w:val="17"/>
          <w:szCs w:val="17"/>
          <w:color w:val="auto"/>
        </w:rPr>
        <w:t>”) and vote to accept the Plan.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groups whose votes for acceptance of the Plan are being solicited:</w:t>
      </w:r>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Prepetition Notes;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Existing Common Stock.</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Restructuring as contemplated in the Plan results in a significant deleveraging of the Debtors’ capital structure. The Debtors’ funded debt will be reduced from approximately $8.35 billion to $2.50 billion, which will allow the Debtors to focus on long-term growth prospects and their competitive position in the market, which will in turn allow the Debtors to emerge from these Chapter 11 Cases as a stronger company.</w:t>
      </w:r>
    </w:p>
    <w:p>
      <w:pPr>
        <w:spacing w:after="0" w:line="166"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Pursuant to section 1126(b) of the Bankruptcy Code, prior to commencement of a prepackaged chapter 11 case, the Solicitation of votes for acceptance or rejection of a plan must (i) comply with any applicable non-bankruptcy law, rule or regulation governing the adequacy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26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9" w:lineRule="exact"/>
        <w:rPr>
          <w:sz w:val="20"/>
          <w:szCs w:val="20"/>
          <w:color w:val="auto"/>
        </w:rPr>
      </w:pPr>
    </w:p>
    <w:p>
      <w:pPr>
        <w:ind w:right="140" w:firstLine="8"/>
        <w:spacing w:after="0" w:line="215" w:lineRule="auto"/>
        <w:tabs>
          <w:tab w:leader="none" w:pos="177"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All capitalized terms used but not otherwise defined herein shall have the meanings set forth in the Plan. To the extent that a definition of a term in the text of this Disclosure Statement and the definition of such term in the Plan are inconsistent, the definition included in the Plan shall control and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2" w:name="page133"/>
    <w:bookmarkEnd w:id="132"/>
    <w:p>
      <w:pPr>
        <w:ind w:right="80"/>
        <w:spacing w:after="0" w:line="302" w:lineRule="auto"/>
        <w:rPr>
          <w:sz w:val="20"/>
          <w:szCs w:val="20"/>
          <w:color w:val="auto"/>
        </w:rPr>
      </w:pPr>
      <w:r>
        <w:rPr>
          <w:rFonts w:ascii="Arial" w:cs="Arial" w:eastAsia="Arial" w:hAnsi="Arial"/>
          <w:sz w:val="16"/>
          <w:szCs w:val="16"/>
          <w:color w:val="auto"/>
        </w:rPr>
        <w:t>disclosure in connection with such Solicitation or (ii) if there is no such law, rule or other regulation, must contain adequate information as defined in section 1125(a) of the Bankruptcy Code. Pursuant to section 1125(a) of the Bankruptcy Code, “adequate information” is information of a kind, and in sufficient detail, to enable a hypothetical reasonable investor to make an informed judgment regarding the plan. To satisfy applicable disclosure requirements, the Debtors are submitting this Disclosure Statement to holders of Claims and Equity Interests who are Impaired and not deemed to have rejected the Plan.</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Section 1125(g) of the Bankruptcy Code allows for the Solicitation of votes from holders prior to commencement of a chapter 11 case if such solicitation complies with applicable nonbankruptcy law and if such holder was solicited before the commencement of the case in a manner complying with applicable nonbankruptcy law.</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Solicitation of Holders of Prepetition Notes is being conducted at this time,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the commencement of the Chapter 11 Cases, to obtain sufficient acceptances to enable the Plan to be confirmed by the Bankruptcy Court pursuant to the provisions of the Bankruptcy Code. The Solicitation of Holders of Existing Common Stock will commence </w:t>
      </w:r>
      <w:r>
        <w:rPr>
          <w:rFonts w:ascii="Arial" w:cs="Arial" w:eastAsia="Arial" w:hAnsi="Arial"/>
          <w:sz w:val="17"/>
          <w:szCs w:val="17"/>
          <w:b w:val="1"/>
          <w:bCs w:val="1"/>
          <w:i w:val="1"/>
          <w:iCs w:val="1"/>
          <w:color w:val="auto"/>
        </w:rPr>
        <w:t>after</w:t>
      </w:r>
      <w:r>
        <w:rPr>
          <w:rFonts w:ascii="Arial" w:cs="Arial" w:eastAsia="Arial" w:hAnsi="Arial"/>
          <w:sz w:val="17"/>
          <w:szCs w:val="17"/>
          <w:color w:val="auto"/>
        </w:rPr>
        <w:t xml:space="preserve"> the commencement of the Chapter 11 Cases. The Company believes that this Solicitation will minimize the disruption of its business that could result from a traditional bankruptcy case, which could be contested and protracted. The Company also believes that the Solicitation of Holders of Prepetition Notes prior to the commencement of the Chapter 11 Cases will minimize postpetition disputes, and will significantly simplify, shorten, and reduce the administrative costs of the Chapter 11 Cases.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Executive Summary is being provided as an overview of the material items addressed in the Disclosure Statement and the Plan, which is qualified by reference to the entire Disclosure Statement and by the actual terms of the Plan (and including all exhibits attached hereto and to the Plan), and should not be relied upon for a comprehensive discussion of the Disclosure Statement and/or the Plan. This Disclosure Statement includes, without limitation, information about:</w:t>
      </w:r>
    </w:p>
    <w:p>
      <w:pPr>
        <w:spacing w:after="0" w:line="187"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Debtors’ operating and financial history;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background information, including the events leading up to the Restructuring, including the expected commencement of the Chapter 11 Cases;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events that are expected to occur during the Chapter 11 Cases;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Confirmation process and the solicitation and voting procedures that Holders of Claims and Equity Interests who are entitled to vote on the Plan must follow for their votes to be counted;</w:t>
      </w:r>
    </w:p>
    <w:p>
      <w:pPr>
        <w:spacing w:after="0" w:line="170" w:lineRule="exact"/>
        <w:rPr>
          <w:rFonts w:ascii="Arial" w:cs="Arial" w:eastAsia="Arial" w:hAnsi="Arial"/>
          <w:sz w:val="18"/>
          <w:szCs w:val="18"/>
          <w:color w:val="auto"/>
        </w:rPr>
      </w:pPr>
    </w:p>
    <w:p>
      <w:pPr>
        <w:ind w:left="980" w:right="80" w:hanging="324"/>
        <w:spacing w:after="0" w:line="342" w:lineRule="auto"/>
        <w:tabs>
          <w:tab w:leader="none" w:pos="9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and provisions of the Plan, including certain effects of confirmation of the Plan, certain risk factors relating to the Debtors or the Reorganized Debtors, the Plan and the securities to be issued under the Plan and the manner in which distributions will be made under the Plan;</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Reorganization Steps Overview, as described more fully in </w:t>
      </w:r>
      <w:r>
        <w:rPr>
          <w:rFonts w:ascii="Arial" w:cs="Arial" w:eastAsia="Arial" w:hAnsi="Arial"/>
          <w:sz w:val="18"/>
          <w:szCs w:val="18"/>
          <w:u w:val="single" w:color="auto"/>
          <w:color w:val="auto"/>
        </w:rPr>
        <w:t>Exhibit I</w:t>
      </w:r>
      <w:r>
        <w:rPr>
          <w:rFonts w:ascii="Arial" w:cs="Arial" w:eastAsia="Arial" w:hAnsi="Arial"/>
          <w:sz w:val="18"/>
          <w:szCs w:val="18"/>
          <w:color w:val="auto"/>
        </w:rPr>
        <w:t>;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ind w:left="940" w:hanging="284"/>
        <w:spacing w:after="0"/>
        <w:tabs>
          <w:tab w:leader="none" w:pos="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proposed organization, operations and financing of the Reorganized Debtors if the Plan is confirmed and becomes effective.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PURPOSE AND EFFECT OF THE PLAN</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of Reorganization Under Chapter 11 of the Bankruptcy Code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are reorganizing pursuant to chapter 11 of the Bankruptcy Code, which is the principal business reorganization chapter of the Bankruptcy Code. As a result, the confirmation of the Plan means that the Reorganized Debtors will continue to operate their businesses going forward and does not mean that the Debtors will be liquidated or forced to go out of business. Additionally, as discussed in greater detail in Section IV.J herein, titled “Binding Nature of the Plan,” a bankruptcy court’s confirmation of a plan binds debtors, any entity acquiring property under the plan, any holder of a claim or equity interest in a debtor and all other entities as may be ordered by the bankruptcy court in accordance with the applicable provisions of the Bankruptcy Code to the terms and conditions of the confirmed plan, whether or not such entity voted on the particular plan or affirmatively voted to reject the plan.</w:t>
      </w:r>
    </w:p>
    <w:p>
      <w:pPr>
        <w:spacing w:after="0" w:line="16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Restructurings Under the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contemplates certain transactions, including, without limitation, the following transactions (described in greater detail in Section IV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80" w:right="6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Holder of an Allowed Prepetition Revolving Credit Claim will receive payment in Cash equal to such Allowed Claim from the DIP Facility;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Holder of an Allowed Prepetition Term Loan Claim will receive payment in Cash equal to such Allowed Claim from the DIP Facility;</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Holder of an Allowed Prepetition A&amp;R Claim will receive payment in Cash equal to such Allowed Claim from the Exit Facility;</w:t>
      </w:r>
    </w:p>
    <w:p>
      <w:pPr>
        <w:spacing w:after="0" w:line="225" w:lineRule="exact"/>
        <w:rPr>
          <w:rFonts w:ascii="Arial" w:cs="Arial" w:eastAsia="Arial" w:hAnsi="Arial"/>
          <w:sz w:val="18"/>
          <w:szCs w:val="18"/>
          <w:color w:val="auto"/>
        </w:rPr>
      </w:pPr>
    </w:p>
    <w:p>
      <w:pPr>
        <w:ind w:left="980" w:right="60" w:hanging="324"/>
        <w:spacing w:after="0" w:line="270"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and (ii) the New Tranche B Senior Unsecured Notes; provided, however, that each Holder of Allowed Prepetition Notes Claims will have the option, in its sole discretion, of converting its New Tranche B Senior Unsecured Notes pursuant to the Tranche B Equity Conversion at the mid-point of the equity value range set forth in this Disclosure Statement; provided,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Holder of Allowed Prepetition Notes Claims that elected to convert its full Pro Rata share of New Tranche B Senior Unsecured Notes into New Common Stock in the Tranche B Equity Conversion shall also be eligible to exercise their Overallotment Rights. Procedures for the effectuation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4" w:name="page135"/>
    <w:bookmarkEnd w:id="134"/>
    <w:p>
      <w:pPr>
        <w:ind w:left="324"/>
        <w:spacing w:after="0" w:line="259" w:lineRule="auto"/>
        <w:rPr>
          <w:sz w:val="20"/>
          <w:szCs w:val="20"/>
          <w:color w:val="auto"/>
        </w:rPr>
      </w:pPr>
      <w:r>
        <w:rPr>
          <w:rFonts w:ascii="Arial" w:cs="Arial" w:eastAsia="Arial" w:hAnsi="Arial"/>
          <w:sz w:val="18"/>
          <w:szCs w:val="18"/>
          <w:color w:val="auto"/>
        </w:rPr>
        <w:t>Tranche B Equity Conversion and the Overallotment Rights are set forth in Article V.V of the Plan. Each Holder of Prepetition Notes issued by Weatherford International, LLC will receive New Tranche B Senior Unsecured Notes issued by Reorganized Weatherford Delaware and each Holder of Prepetition Notes issued by Weatherford International Ltd. will receive New Tranche B Senior Unsecured Notes issued by Reorganized Weatherford Bermuda;</w:t>
      </w:r>
    </w:p>
    <w:p>
      <w:pPr>
        <w:spacing w:after="0" w:line="187" w:lineRule="exact"/>
        <w:rPr>
          <w:sz w:val="20"/>
          <w:szCs w:val="20"/>
          <w:color w:val="auto"/>
        </w:rPr>
      </w:pPr>
    </w:p>
    <w:p>
      <w:pPr>
        <w:ind w:left="324" w:right="220" w:hanging="324"/>
        <w:spacing w:after="0" w:line="342" w:lineRule="auto"/>
        <w:tabs>
          <w:tab w:leader="none" w:pos="2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Holder of an Allowed Prepetition Notes Claim will receive Subscription Rights to purchase its Pro Rata share of New Tranche A Senior Unsecured Notes pursuant to the Rights Offering (as defined below) and in accordance with the applicable Rights Offerings Procedures;</w:t>
      </w:r>
    </w:p>
    <w:p>
      <w:pPr>
        <w:spacing w:after="0" w:line="123" w:lineRule="exact"/>
        <w:rPr>
          <w:rFonts w:ascii="Arial" w:cs="Arial" w:eastAsia="Arial" w:hAnsi="Arial"/>
          <w:sz w:val="16"/>
          <w:szCs w:val="16"/>
          <w:color w:val="auto"/>
        </w:rPr>
      </w:pPr>
    </w:p>
    <w:p>
      <w:pPr>
        <w:ind w:left="324" w:right="260" w:hanging="324"/>
        <w:spacing w:after="0" w:line="286" w:lineRule="auto"/>
        <w:tabs>
          <w:tab w:leader="none" w:pos="2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Existing Common Stock will be cancelled and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65" w:lineRule="exact"/>
        <w:rPr>
          <w:rFonts w:ascii="Arial" w:cs="Arial" w:eastAsia="Arial" w:hAnsi="Arial"/>
          <w:sz w:val="17"/>
          <w:szCs w:val="17"/>
          <w:color w:val="auto"/>
        </w:rPr>
      </w:pPr>
    </w:p>
    <w:p>
      <w:pPr>
        <w:ind w:left="284" w:hanging="284"/>
        <w:spacing w:after="0"/>
        <w:tabs>
          <w:tab w:leader="none" w:pos="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Allowed DIP Facility Claims will be paid in full in Cash upon emergence;</w:t>
      </w:r>
    </w:p>
    <w:p>
      <w:pPr>
        <w:spacing w:after="0" w:line="225" w:lineRule="exact"/>
        <w:rPr>
          <w:rFonts w:ascii="Arial" w:cs="Arial" w:eastAsia="Arial" w:hAnsi="Arial"/>
          <w:sz w:val="18"/>
          <w:szCs w:val="18"/>
          <w:color w:val="auto"/>
        </w:rPr>
      </w:pPr>
    </w:p>
    <w:p>
      <w:pPr>
        <w:ind w:left="324" w:right="140" w:hanging="324"/>
        <w:spacing w:after="0" w:line="264" w:lineRule="auto"/>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Intercompany Claims will be adjusted, reinstated, compromised, or cancelled to the extent determined appropriate by the Debtors, with the consent of the Required Consenting Noteholders (and to the extent permitted by the laws of the Debtor’s jurisdiction of incorporation if non-bankruptcy law applies);</w:t>
      </w:r>
    </w:p>
    <w:p>
      <w:pPr>
        <w:spacing w:after="0" w:line="181" w:lineRule="exact"/>
        <w:rPr>
          <w:rFonts w:ascii="Arial" w:cs="Arial" w:eastAsia="Arial" w:hAnsi="Arial"/>
          <w:sz w:val="18"/>
          <w:szCs w:val="18"/>
          <w:color w:val="auto"/>
        </w:rPr>
      </w:pPr>
    </w:p>
    <w:p>
      <w:pPr>
        <w:ind w:left="324" w:right="640" w:hanging="324"/>
        <w:spacing w:after="0" w:line="277" w:lineRule="auto"/>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Intercompany Equity Interests will be reinstated for administrative convenience or cancelled as determined by the Debtors, with the reasonable consent of the Required Consenting Noteholders;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Unexercised Equity Interests will be cancelled, and the Holders of such Unexercised Equity Interests will not receive any distribution or retain any property on account of such Unexercised Equity Interests; and</w:t>
      </w:r>
    </w:p>
    <w:p>
      <w:pPr>
        <w:spacing w:after="0" w:line="170" w:lineRule="exact"/>
        <w:rPr>
          <w:rFonts w:ascii="Arial" w:cs="Arial" w:eastAsia="Arial" w:hAnsi="Arial"/>
          <w:sz w:val="18"/>
          <w:szCs w:val="18"/>
          <w:color w:val="auto"/>
        </w:rPr>
      </w:pPr>
    </w:p>
    <w:p>
      <w:pPr>
        <w:ind w:left="324" w:right="180" w:hanging="324"/>
        <w:spacing w:after="0" w:line="277" w:lineRule="auto"/>
        <w:tabs>
          <w:tab w:leader="none" w:pos="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legal, equitable, and contractual rights of the Holders of Allowed Other Priority Claims, Allowed Other Secured Claims, Allowed General Unsecured Claims, and Allowed Secured Tax Claims will be unaltered by the Plan.</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41" w:right="319" w:bottom="1440" w:gutter="0" w:footer="0" w:header="0"/>
        </w:sectPr>
      </w:pPr>
    </w:p>
    <w:bookmarkStart w:id="135" w:name="page136"/>
    <w:bookmarkEnd w:id="135"/>
    <w:p>
      <w:pPr>
        <w:ind w:left="1300" w:hanging="644"/>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Plan on Debtors’ 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effect of the Restructuring on the Debtors’ capital structure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Pre-Petition Capital Structure</w:t>
            </w: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00" w:type="dxa"/>
            <w:vAlign w:val="bottom"/>
          </w:tcPr>
          <w:p>
            <w:pPr>
              <w:ind w:left="2000"/>
              <w:spacing w:after="0"/>
              <w:rPr>
                <w:sz w:val="20"/>
                <w:szCs w:val="20"/>
                <w:color w:val="auto"/>
              </w:rPr>
            </w:pPr>
            <w:r>
              <w:rPr>
                <w:rFonts w:ascii="Arial" w:cs="Arial" w:eastAsia="Arial" w:hAnsi="Arial"/>
                <w:sz w:val="14"/>
                <w:szCs w:val="14"/>
                <w:b w:val="1"/>
                <w:bCs w:val="1"/>
                <w:color w:val="auto"/>
              </w:rPr>
              <w:t>Reorganized Capital Structure</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Prepetition A&amp;R</w:t>
            </w:r>
          </w:p>
        </w:tc>
        <w:tc>
          <w:tcPr>
            <w:tcW w:w="11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305,000,000</w:t>
            </w:r>
          </w:p>
        </w:tc>
        <w:tc>
          <w:tcPr>
            <w:tcW w:w="3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Exit Facility (undrawn on Effective Date)</w:t>
            </w:r>
          </w:p>
        </w:tc>
        <w:tc>
          <w:tcPr>
            <w:tcW w:w="18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Up to $1,000,000,000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Term Loan</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297,500,000</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A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Revolver</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316,742,581</w:t>
            </w:r>
          </w:p>
        </w:tc>
        <w:tc>
          <w:tcPr>
            <w:tcW w:w="3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Tranche B Senior Unsecured Notes</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$1,250,000,000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Prepetition Notes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7,427,067,000</w:t>
            </w:r>
          </w:p>
        </w:tc>
        <w:tc>
          <w:tcPr>
            <w:tcW w:w="4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8,346,309,581</w:t>
            </w: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Funded Debt</w:t>
            </w:r>
          </w:p>
        </w:tc>
        <w:tc>
          <w:tcPr>
            <w:tcW w:w="1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Up to $2,500,000,000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 UNDER THE PLAN</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summary of the classification and treatment of Claims and Equity Interests and the potential distributions to Holders of Allowed Claims and Equity Interests under the Plan.</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THE PROJECTED RECOVERIES SET FORTH IN THE TABLE BELOW ARE ESTIMATES ONLY AND THEREFORE ARE SUBJECT TO CHANGE. FOR A COMPLETE DESCRIPTION OF THE DEBTORS’ CLASSIFICATION AND TREATMENT OF CLAIMS AND EQUITY INTERESTS, REFERENCE SHOULD BE MADE TO THE ENTIRE PLAN AND THE RISK FACTORS DESCRIBED IN </w:t>
      </w:r>
      <w:r>
        <w:rPr>
          <w:rFonts w:ascii="Arial" w:cs="Arial" w:eastAsia="Arial" w:hAnsi="Arial"/>
          <w:sz w:val="18"/>
          <w:szCs w:val="18"/>
          <w:b w:val="1"/>
          <w:bCs w:val="1"/>
          <w:u w:val="single" w:color="auto"/>
          <w:color w:val="auto"/>
        </w:rPr>
        <w:t>ARTICLE V</w:t>
      </w:r>
      <w:r>
        <w:rPr>
          <w:rFonts w:ascii="Arial" w:cs="Arial" w:eastAsia="Arial" w:hAnsi="Arial"/>
          <w:sz w:val="18"/>
          <w:szCs w:val="18"/>
          <w:b w:val="1"/>
          <w:bCs w:val="1"/>
          <w:color w:val="auto"/>
        </w:rPr>
        <w:t xml:space="preserve"> BELOW. THE TABLE IS INTENDED FOR ILLUSTRATIVE PURPOSES ONLY AND IS NOT A SUBSTITUTE FOR A REVIEW OF THE PLAN AND DISCLOSURE STATEMENT IN THEIR ENTIRETY. FOR CERTAIN CLASSES OF CLAIMS, THE ACTUAL AMOUNT OF ALLOWED CLAIMS COULD BE MATERIALLY DIFFERENT THAN THE ESTIMATED AMOUNTS SHOWN 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SUMMARY OF EXPECTED RECOVERIES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Other Priority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9"/>
              </w:rPr>
              <w:t>Each Holder of an Allowed Class 1 Claim will receive in full satisfaction, settlement,</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1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1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1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 or</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Secured Claims</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Each Holder of an Allowed Class 2 Claim will receive in full satisfaction, settlement,</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discharge and release of, and in exchange for, such Allowed Class 2 Claim, at the election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Cash equal to the amount of such Allowed Class 2 Claim;</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Such other less favorable treatment as to which the Debtors or Reorganized</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9"/>
              </w:rPr>
              <w:t>Debtors, as applicable, and the Holder of such Allowed Class 2 Claim will have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agreed upon in writing;</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The Collateral securing such Allowed Class 2 Claim; 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8"/>
              </w:rPr>
              <w:t>·   Such other treatment such that it will not be impaired pursuant to section 1124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right"/>
              <w:ind w:right="2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Secured Tax Claims</w:t>
            </w:r>
          </w:p>
        </w:tc>
        <w:tc>
          <w:tcPr>
            <w:tcW w:w="6880" w:type="dxa"/>
            <w:vAlign w:val="bottom"/>
            <w:gridSpan w:val="4"/>
          </w:tcPr>
          <w:p>
            <w:pPr>
              <w:spacing w:after="0"/>
              <w:rPr>
                <w:sz w:val="20"/>
                <w:szCs w:val="20"/>
                <w:color w:val="auto"/>
              </w:rPr>
            </w:pPr>
            <w:r>
              <w:rPr>
                <w:rFonts w:ascii="Arial" w:cs="Arial" w:eastAsia="Arial" w:hAnsi="Arial"/>
                <w:sz w:val="18"/>
                <w:szCs w:val="18"/>
                <w:color w:val="auto"/>
              </w:rPr>
              <w:t>Each Holder of an Allowed Class 3 Claim will receive in full satisfaction, settlement,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5"/>
              </w:rPr>
              <w:t>discharge and release of, and in exchange for, such Allowed Class 3 Claim, at the election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tcPr>
          <w:p>
            <w:pPr>
              <w:spacing w:after="0"/>
              <w:rPr>
                <w:sz w:val="20"/>
                <w:szCs w:val="20"/>
                <w:color w:val="auto"/>
              </w:rPr>
            </w:pPr>
            <w:r>
              <w:rPr>
                <w:rFonts w:ascii="Arial" w:cs="Arial" w:eastAsia="Arial" w:hAnsi="Arial"/>
                <w:sz w:val="18"/>
                <w:szCs w:val="18"/>
                <w:color w:val="auto"/>
                <w:w w:val="98"/>
              </w:rPr>
              <w:t>of the Debtors or Reorganized Debtors, as applicable (with the consent of the Required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0"/>
                <w:szCs w:val="20"/>
                <w:color w:val="auto"/>
              </w:rPr>
            </w:pPr>
          </w:p>
        </w:tc>
        <w:tc>
          <w:tcPr>
            <w:tcW w:w="6880" w:type="dxa"/>
            <w:vAlign w:val="bottom"/>
            <w:gridSpan w:val="4"/>
          </w:tcPr>
          <w:p>
            <w:pPr>
              <w:spacing w:after="0"/>
              <w:rPr>
                <w:sz w:val="20"/>
                <w:szCs w:val="20"/>
                <w:color w:val="auto"/>
              </w:rPr>
            </w:pPr>
            <w:r>
              <w:rPr>
                <w:rFonts w:ascii="Arial" w:cs="Arial" w:eastAsia="Arial" w:hAnsi="Arial"/>
                <w:sz w:val="18"/>
                <w:szCs w:val="18"/>
                <w:color w:val="auto"/>
                <w:w w:val="96"/>
              </w:rPr>
              <w:t>Consenting Noteholders in the manner set forth in the Restructuring Support Agreement):</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6465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182" w:lineRule="exact"/>
        <w:rPr>
          <w:sz w:val="20"/>
          <w:szCs w:val="20"/>
          <w:color w:val="auto"/>
        </w:rPr>
      </w:pPr>
    </w:p>
    <w:p>
      <w:pPr>
        <w:ind w:left="3680"/>
        <w:spacing w:after="0"/>
        <w:tabs>
          <w:tab w:leader="none" w:pos="3940" w:val="left"/>
        </w:tabs>
        <w:rPr>
          <w:sz w:val="20"/>
          <w:szCs w:val="20"/>
          <w:color w:val="auto"/>
        </w:rPr>
      </w:pPr>
      <w:r>
        <w:rPr>
          <w:rFonts w:ascii="Arial" w:cs="Arial" w:eastAsia="Arial" w:hAnsi="Arial"/>
          <w:sz w:val="18"/>
          <w:szCs w:val="18"/>
          <w:color w:val="auto"/>
        </w:rPr>
        <w:t>·</w:t>
        <w:tab/>
        <w:t>Cash equal to the amount of such Allowed Class 3 Claim;</w:t>
      </w:r>
    </w:p>
    <w:p>
      <w:pPr>
        <w:spacing w:after="0" w:line="225" w:lineRule="exact"/>
        <w:rPr>
          <w:sz w:val="20"/>
          <w:szCs w:val="20"/>
          <w:color w:val="auto"/>
        </w:rPr>
      </w:pPr>
    </w:p>
    <w:p>
      <w:pPr>
        <w:ind w:left="3960" w:right="1600" w:hanging="323"/>
        <w:spacing w:after="0" w:line="264" w:lineRule="auto"/>
        <w:tabs>
          <w:tab w:leader="none" w:pos="3940" w:val="left"/>
        </w:tabs>
        <w:rPr>
          <w:sz w:val="20"/>
          <w:szCs w:val="20"/>
          <w:color w:val="auto"/>
        </w:rPr>
      </w:pPr>
      <w:r>
        <w:rPr>
          <w:rFonts w:ascii="Arial" w:cs="Arial" w:eastAsia="Arial" w:hAnsi="Arial"/>
          <w:sz w:val="18"/>
          <w:szCs w:val="18"/>
          <w:color w:val="auto"/>
        </w:rPr>
        <w:t>·</w:t>
        <w:tab/>
        <w:t>Such other less favorable treatment as to which the Debtors or Reorganized Debtors, as applicable, and the Holder of such Allowed Class 3 Claim shall have agreed upon in writing;</w:t>
      </w:r>
    </w:p>
    <w:p>
      <w:pPr>
        <w:spacing w:after="0" w:line="181" w:lineRule="exact"/>
        <w:rPr>
          <w:sz w:val="20"/>
          <w:szCs w:val="20"/>
          <w:color w:val="auto"/>
        </w:rPr>
      </w:pPr>
    </w:p>
    <w:p>
      <w:pPr>
        <w:jc w:val="center"/>
        <w:ind w:left="3680"/>
        <w:spacing w:after="0"/>
        <w:tabs>
          <w:tab w:leader="none" w:pos="220" w:val="left"/>
        </w:tabs>
        <w:rPr>
          <w:sz w:val="20"/>
          <w:szCs w:val="20"/>
          <w:color w:val="auto"/>
        </w:rPr>
      </w:pPr>
      <w:r>
        <w:rPr>
          <w:rFonts w:ascii="Arial" w:cs="Arial" w:eastAsia="Arial" w:hAnsi="Arial"/>
          <w:sz w:val="18"/>
          <w:szCs w:val="18"/>
          <w:color w:val="auto"/>
        </w:rPr>
        <w:t>·</w:t>
        <w:tab/>
        <w:t>The Collateral securing such Allowed Class 3 Claim;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4"/>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4"/>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gridSpan w:val="3"/>
            <w:shd w:val="clear" w:color="auto" w:fill="CCEEFF"/>
          </w:tcPr>
          <w:p>
            <w:pPr>
              <w:ind w:left="320"/>
              <w:spacing w:after="0" w:line="195" w:lineRule="exact"/>
              <w:rPr>
                <w:sz w:val="20"/>
                <w:szCs w:val="20"/>
                <w:color w:val="auto"/>
              </w:rPr>
            </w:pPr>
            <w:r>
              <w:rPr>
                <w:rFonts w:ascii="Arial" w:cs="Arial" w:eastAsia="Arial" w:hAnsi="Arial"/>
                <w:sz w:val="18"/>
                <w:szCs w:val="18"/>
                <w:color w:val="auto"/>
                <w:w w:val="94"/>
              </w:rPr>
              <w:t>·   Such other treatment such that it will not be impaired pursuant to section 1124 of</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880" w:type="dxa"/>
            <w:vAlign w:val="bottom"/>
            <w:gridSpan w:val="4"/>
            <w:shd w:val="clear" w:color="auto" w:fill="CCEEFF"/>
          </w:tcPr>
          <w:p>
            <w:pPr>
              <w:ind w:left="640"/>
              <w:spacing w:after="0" w:line="190" w:lineRule="exact"/>
              <w:rPr>
                <w:sz w:val="20"/>
                <w:szCs w:val="20"/>
                <w:color w:val="auto"/>
              </w:rPr>
            </w:pPr>
            <w:r>
              <w:rPr>
                <w:rFonts w:ascii="Arial" w:cs="Arial" w:eastAsia="Arial" w:hAnsi="Arial"/>
                <w:sz w:val="18"/>
                <w:szCs w:val="18"/>
                <w:color w:val="auto"/>
              </w:rPr>
              <w:t>the Bankruptcy Code; or</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6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99"/>
              </w:rPr>
              <w:t>·   Pursuant to and in accordance with sections 1129(a)(9)(C) and 1129(a)(9)(D) of</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the Bankruptcy Code, Cash in an aggregate amount of such Allowed Class 3</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5"/>
              </w:rPr>
              <w:t>Claim payable in regular installment payments over a period ending not more than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8"/>
              </w:rPr>
              <w:t>five (5) years after the Petition Date, plus simple interest at the rate required by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applicable non-bankruptcy law on any outstanding balance from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Date, or such lesser rate as is agreed to in writing by a particular taxing authority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and the Debtors or Reorganized Debtors, as applicable, pursuant to section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1129(a)(9)(C) of the Bankruptcy Code.</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Revolving</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Revolving Credit Claims are deemed Allowed Secured Claims in the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aggregate principal amount of $316,742,581, plus accrued and unpaid interest on such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amount as of the Petition Date. To the extent not paid in full in Cash prior to the Effective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Date, on the Effective Date, the Allowed Prepetition Revolving Credit Claims shall, in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$316,742,581</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satisfaction, settlement, discharge and release of, and in exchange for, such Claims, be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indefeasibly paid in full in Cash and the Prepetition Revolving Credit Agreement Liens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shall be deemed discharged, released, and terminated for all purposes without further 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of or by any 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Term Loan</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The Prepetition Term Loan Claims are deemed Allowed Secured Claims in the aggregate</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principal amount of $297,500,000, plus accrued and unpaid interest on such amount as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the Petition Date. To the extent not paid in full in Cash prior to the Effective Date, on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Effective Date, the Allowed Prepetition Term Loan Claims shall,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$297,500,000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settlement, discharge and release of, and in exchange for, such Claims, be indefeasibly paid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 full in Cash and the Prepetition Term Loan Agreement Liens shall be deemed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discharged, released, and terminated for all purposes without further action of or by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Person or Entity.</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Prepetition A&amp;R</w:t>
            </w:r>
          </w:p>
        </w:tc>
        <w:tc>
          <w:tcPr>
            <w:tcW w:w="68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The Prepetition A&amp;R Claims are deemed Allowed in the aggregate principal amount of</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$305,000,000 plus accrued and unpaid interest thereon. On the Effective Date,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Allowed Prepetition A&amp;R Claims shall, in full satisfaction, settlement, discharge and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Amount:</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release of, and in exchange for, such Claims, be indefeasibly paid in full in Cash.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$305,000,000</w:t>
            </w:r>
          </w:p>
        </w:tc>
        <w:tc>
          <w:tcPr>
            <w:tcW w:w="660" w:type="dxa"/>
            <w:vAlign w:val="bottom"/>
            <w:shd w:val="clear" w:color="auto" w:fill="CCEEFF"/>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6"/>
              </w:rPr>
              <w:t>letters of credit issued and outstanding as of the Effective Date under the Prepetition A&amp;R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outstanding</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Credit Agreement shall either be cash collateralized or receive such other treatment as may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in an</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 acceptable to the Debtors, the Prepetition A&amp;R Credit Agreement Agent, and the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w:t>
            </w: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Required Consenting Noteholders.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$166,000,000</w:t>
            </w:r>
          </w:p>
        </w:tc>
        <w:tc>
          <w:tcPr>
            <w:tcW w:w="6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gridSpan w:val="2"/>
          </w:tcPr>
          <w:p>
            <w:pPr>
              <w:ind w:left="2300"/>
              <w:spacing w:after="0"/>
              <w:rPr>
                <w:sz w:val="20"/>
                <w:szCs w:val="20"/>
                <w:color w:val="auto"/>
              </w:rPr>
            </w:pPr>
            <w:r>
              <w:rPr>
                <w:rFonts w:ascii="Arial" w:cs="Arial" w:eastAsia="Arial" w:hAnsi="Arial"/>
                <w:sz w:val="18"/>
                <w:szCs w:val="18"/>
                <w:color w:val="auto"/>
                <w:w w:val="99"/>
              </w:rPr>
              <w:t>7</w:t>
            </w: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Claim/Equity</w:t>
            </w: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w w:val="85"/>
              </w:rPr>
              <w:t>Class</w:t>
            </w: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40" w:type="dxa"/>
            <w:vAlign w:val="bottom"/>
            <w:gridSpan w:val="4"/>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Prepetition Notes</w:t>
            </w:r>
          </w:p>
        </w:tc>
        <w:tc>
          <w:tcPr>
            <w:tcW w:w="28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5"/>
            <w:shd w:val="clear" w:color="auto" w:fill="CCEEFF"/>
          </w:tcPr>
          <w:p>
            <w:pPr>
              <w:spacing w:after="0" w:line="195" w:lineRule="exact"/>
              <w:rPr>
                <w:sz w:val="20"/>
                <w:szCs w:val="20"/>
                <w:color w:val="auto"/>
              </w:rPr>
            </w:pPr>
            <w:r>
              <w:rPr>
                <w:rFonts w:ascii="Arial" w:cs="Arial" w:eastAsia="Arial" w:hAnsi="Arial"/>
                <w:sz w:val="18"/>
                <w:szCs w:val="18"/>
                <w:color w:val="auto"/>
                <w:w w:val="98"/>
              </w:rPr>
              <w:t>The Prepetition Notes Claims are deemed Allowed in the aggregate principal amount of</w:t>
            </w: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282"/>
              <w:spacing w:after="0" w:line="195"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$7,427,067,000, plus accrued and unpaid interest thereon. On the Initial Distribution Date,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each Holder of an Allowed Prepetition Notes Claim shall receive, in full satisfaction,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settlement, discharge and release of, and in exchange for, such Claim, its Pro Rata share of: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$7,427,067,000</w:t>
            </w:r>
          </w:p>
        </w:tc>
        <w:tc>
          <w:tcPr>
            <w:tcW w:w="280" w:type="dxa"/>
            <w:vAlign w:val="bottom"/>
            <w:shd w:val="clear" w:color="auto" w:fill="CCEEFF"/>
          </w:tcPr>
          <w:p>
            <w:pPr>
              <w:spacing w:after="0"/>
              <w:rPr>
                <w:sz w:val="20"/>
                <w:szCs w:val="20"/>
                <w:color w:val="auto"/>
              </w:rPr>
            </w:pPr>
          </w:p>
        </w:tc>
        <w:tc>
          <w:tcPr>
            <w:tcW w:w="7140" w:type="dxa"/>
            <w:vAlign w:val="bottom"/>
            <w:gridSpan w:val="6"/>
            <w:vMerge w:val="restart"/>
            <w:shd w:val="clear" w:color="auto" w:fill="CCEEFF"/>
          </w:tcPr>
          <w:p>
            <w:pPr>
              <w:ind w:left="320"/>
              <w:spacing w:after="0"/>
              <w:rPr>
                <w:sz w:val="20"/>
                <w:szCs w:val="20"/>
                <w:color w:val="auto"/>
              </w:rPr>
            </w:pPr>
            <w:r>
              <w:rPr>
                <w:rFonts w:ascii="Arial" w:cs="Arial" w:eastAsia="Arial" w:hAnsi="Arial"/>
                <w:sz w:val="18"/>
                <w:szCs w:val="18"/>
                <w:color w:val="auto"/>
              </w:rPr>
              <w:t>·   (i) 99% of the New Common Stock, subject to dilution on account of equity issued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140" w:type="dxa"/>
            <w:vAlign w:val="bottom"/>
            <w:gridSpan w:val="6"/>
            <w:vMerge w:val="continue"/>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pursuant to the New Management Incentive Plan, the Tranche B Equity Conversion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 defined below), and the New Common Stock issuable pursuant to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w w:val="95"/>
              </w:rPr>
              <w:t>·   (ii) the New Tranche B Senior Unsecured Notes in an aggregate amount of up to $1.25</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billion; provided, however, that each Holder of Allowed Prepetition Notes Claims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shall have the option, in its sole discretion, to convert its Pro Rata share of the New</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500" w:type="dxa"/>
            <w:vAlign w:val="bottom"/>
            <w:gridSpan w:val="5"/>
            <w:shd w:val="clear" w:color="auto" w:fill="CCEEFF"/>
          </w:tcPr>
          <w:p>
            <w:pPr>
              <w:spacing w:after="0" w:line="194" w:lineRule="exact"/>
              <w:rPr>
                <w:sz w:val="20"/>
                <w:szCs w:val="20"/>
                <w:color w:val="auto"/>
              </w:rPr>
            </w:pPr>
            <w:r>
              <w:rPr>
                <w:rFonts w:ascii="Arial" w:cs="Arial" w:eastAsia="Arial" w:hAnsi="Arial"/>
                <w:sz w:val="18"/>
                <w:szCs w:val="18"/>
                <w:color w:val="auto"/>
              </w:rPr>
              <w:t>Tranche B Senior Unsecured Notes into New Common Stock (the “</w:t>
            </w:r>
            <w:r>
              <w:rPr>
                <w:rFonts w:ascii="Arial" w:cs="Arial" w:eastAsia="Arial" w:hAnsi="Arial"/>
                <w:sz w:val="18"/>
                <w:szCs w:val="18"/>
                <w:b w:val="1"/>
                <w:bCs w:val="1"/>
                <w:color w:val="auto"/>
              </w:rPr>
              <w:t>Tranche B</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5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Conversion</w:t>
            </w:r>
            <w:r>
              <w:rPr>
                <w:rFonts w:ascii="Arial" w:cs="Arial" w:eastAsia="Arial" w:hAnsi="Arial"/>
                <w:sz w:val="18"/>
                <w:szCs w:val="18"/>
                <w:color w:val="auto"/>
              </w:rPr>
              <w:t>”) at a conversion price of $36.20 per unit or share of New</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040" w:type="dxa"/>
            <w:vAlign w:val="bottom"/>
            <w:gridSpan w:val="4"/>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Common Stock; provided, further that the aggregate principal amount of Tranche B</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Unsecured Notes converted into New Common Stock shall not exceed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$500,000,000; 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   (iii) Subscription Rights to purchase its Pro Rata share of New Tranche A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Unsecured Notes in an aggregate amount of up to $1.25 billion pursuant to the Rights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Offering and in accordance with the applicable Rights Offerings Procedures.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the extent that less than $500,000,000 in principal amount of the New Tranche B Senior</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Unsecured Notes is converted into New Common Stock pursuant to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Conversion, any Holder of Allowed Prepetition Notes Claims that elected to convert its full</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Pro Rata share of Tranche B Senior Unsecured Notes into New Common Stock in the Tranche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B Equity Conversion shall also be eligible to exercise their Overallotment Rights. Procedures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6"/>
              </w:rPr>
              <w:t>for the effectuation of the Tranche B Equity Conversion and the Overallotment Rights are set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forth in Article V.V of the Plan.</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8</w:t>
            </w:r>
          </w:p>
        </w:tc>
        <w:tc>
          <w:tcPr>
            <w:tcW w:w="228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General Unsecured</w:t>
            </w:r>
          </w:p>
        </w:tc>
        <w:tc>
          <w:tcPr>
            <w:tcW w:w="71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8"/>
              </w:rPr>
              <w:t>The legal, equitable, and contractual rights of the holders of General Unsecured Claims are</w:t>
            </w:r>
          </w:p>
        </w:tc>
        <w:tc>
          <w:tcPr>
            <w:tcW w:w="1020" w:type="dxa"/>
            <w:vAlign w:val="bottom"/>
            <w:shd w:val="clear" w:color="auto" w:fill="CCEEFF"/>
          </w:tcPr>
          <w:p>
            <w:pPr>
              <w:jc w:val="right"/>
              <w:ind w:right="222"/>
              <w:spacing w:after="0" w:line="201"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Claims</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unaltered by the Plan. Except to the extent that a holder of a General Unsecured Claim agrees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to a different treatment, on and after the Effective Date, the Debtors shall continue to pay (if</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Expected Amount:</w:t>
            </w: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Allowed) or dispute each General Unsecured Claim in the ordinary course of business in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0"/>
                <w:szCs w:val="20"/>
                <w:color w:val="auto"/>
              </w:rPr>
            </w:pPr>
          </w:p>
        </w:tc>
        <w:tc>
          <w:tcPr>
            <w:tcW w:w="7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accordance with applicable law.</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gridSpan w:val="3"/>
          </w:tcPr>
          <w:p>
            <w:pPr>
              <w:ind w:left="256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Claim/Equity</w:t>
            </w:r>
          </w:p>
        </w:tc>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Recovery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2320" w:type="dxa"/>
            <w:vAlign w:val="bottom"/>
            <w:gridSpan w:val="2"/>
            <w:vMerge w:val="continue"/>
          </w:tcPr>
          <w:p>
            <w:pPr>
              <w:spacing w:after="0"/>
              <w:rPr>
                <w:sz w:val="12"/>
                <w:szCs w:val="12"/>
                <w:color w:val="auto"/>
              </w:rPr>
            </w:pPr>
          </w:p>
        </w:tc>
        <w:tc>
          <w:tcPr>
            <w:tcW w:w="68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Treatment of Claim/Equity Interest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gridSpan w:val="3"/>
            <w:vMerge w:val="continue"/>
          </w:tcPr>
          <w:p>
            <w:pPr>
              <w:spacing w:after="0"/>
              <w:rPr>
                <w:sz w:val="14"/>
                <w:szCs w:val="14"/>
                <w:color w:val="auto"/>
              </w:rPr>
            </w:pPr>
          </w:p>
        </w:tc>
        <w:tc>
          <w:tcPr>
            <w:tcW w:w="2320" w:type="dxa"/>
            <w:vAlign w:val="bottom"/>
            <w:gridSpan w:val="2"/>
          </w:tcPr>
          <w:p>
            <w:pPr>
              <w:ind w:left="600"/>
              <w:spacing w:after="0"/>
              <w:rPr>
                <w:sz w:val="20"/>
                <w:szCs w:val="20"/>
                <w:color w:val="auto"/>
              </w:rPr>
            </w:pPr>
            <w:r>
              <w:rPr>
                <w:rFonts w:ascii="Arial" w:cs="Arial" w:eastAsia="Arial" w:hAnsi="Arial"/>
                <w:sz w:val="14"/>
                <w:szCs w:val="14"/>
                <w:b w:val="1"/>
                <w:bCs w:val="1"/>
                <w:color w:val="auto"/>
              </w:rPr>
              <w:t>Interest</w:t>
            </w:r>
          </w:p>
        </w:tc>
        <w:tc>
          <w:tcPr>
            <w:tcW w:w="688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9</w:t>
            </w:r>
          </w:p>
        </w:tc>
        <w:tc>
          <w:tcPr>
            <w:tcW w:w="2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Intercompany Claims</w:t>
            </w:r>
          </w:p>
        </w:tc>
        <w:tc>
          <w:tcPr>
            <w:tcW w:w="66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Subject to the Restructuring Transactions, the Intercompany Claims shall be adjusted,</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reinstated, compromised, or cancelled to the extent determined appropriate by the Debtors,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the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Existing Common</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Existing Common Stock will be cancelled without further notice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89"/>
              </w:rPr>
              <w:t>Greater than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approval of or action by any Entity. Each Holder of Existing Common Stock shall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receive its Pro Rata share of</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 1.0% of the New Common Stock, subject to dilution on account of the equity</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issued pursuant to the New Management Incentive Plan, the Tranche B Equity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5"/>
              </w:rPr>
              <w:t>Conversion, and the New Common Stock issuable pursuant to the New Warrants;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(ii) the New Warrants.</w:t>
            </w: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Intercompany Interests</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Subject to the Restructuring Transactions, the Intercompany Equity Interests shall be</w:t>
            </w:r>
          </w:p>
        </w:tc>
        <w:tc>
          <w:tcPr>
            <w:tcW w:w="11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reinstated for administrative convenience or cancelled as determined by the Debtors, with</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reasonable consent of the Required Consenting Noteholders.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Unexercised Equity</w:t>
            </w:r>
          </w:p>
        </w:tc>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On the Effective Date, the Unexercised Equity Interests will be cancelled, and the Holders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w:t>
            </w: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such Unexercised Equity Interests shall not receive any distribution or retain any</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on account of such Unexercised Equity Interests.</w:t>
            </w: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0" w:type="dxa"/>
            <w:vAlign w:val="bottom"/>
          </w:tcPr>
          <w:p>
            <w:pPr>
              <w:ind w:left="23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color w:val="auto"/>
        </w:rPr>
        <w:t>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BACKGROUND TO THE CHAPTER 11 CASES</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CORPORATE HISTORY AND STRUCTURE</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Debtor Weatherford International Ltd. was originally incorporated in Delaware in 1972. In 2002, the Company restructured its corporate structure and inserted Weatherford International Ltd., a Bermuda exempted company as the group holding company. In 2009, the Company completed a share exchange transaction in which Weatherford International Ltd., which was then the parent company, became a wholly-owned subsidiary of Weatherford Switzerland for purposes of changing the Company’s place of incorporation from Bermuda to Switzerland. In June of 2014, the Company completed the change in its place of incorporation from Switzerland to Ireland, whereby Weatherford Parent became the new public holding company and parent of the Weatherford group of companies. The ordinary shares of Weatherford Parent are listed on the New York Stock Exchange (the “</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The NYSE, however, has suspended trading in the ordinary shares and has commenced proceedings to delist the ordinary shares, subject to an appeal of the NYSE’s decision by Weatherford Parent.</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Weatherford Parent has approximately 255 direct and indirect subsidiaries as of the date hereof. Of those entities, however, only the three Debtor entities are liable on the Prepetition Notes (as described in further detail below). The Company’s entire organizational structure as of the date of this Disclosure Statement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DEBTORS’ BUSINESSES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Weatherford is a global leading provider of equipment and services used in the drilling, evaluation, completion, production, and intervention of oil and natural gas wells. Weatherford operates in over 80 countries worldwide and has service and sales locations in nearly all of the oil and natural gas producing regions in the world.</w:t>
      </w:r>
    </w:p>
    <w:p>
      <w:pPr>
        <w:spacing w:after="0" w:line="18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Weatherford offers managed-pressure drilling services, including closed-loop, air, managed pressure, and underbalanced drilling; drilling services, such as directional drilling, logging while drilling, measurement while drilling, and rotary steerable systems; and tubular running services, which consist of tubular connection and installation services for the drilling, completion, and work over of oil or natural gas wells.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Weatherford also provides drilling tools comprising of drilling jars, under reamers, rotating control devices, down hole tools, drill pipe and related tools, tubular handling equipment, and other pressure-control equipment; drilling and project management services; wire line services; testing and production services; re-entry, fishing, and thru-tubing services; equipment for cementing operations; liner systems, such as liner hangers; integrated laboratory services; and surface logging systems.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Weatherford offers artificial lift systems that include reciprocating rod lift systems, progressing cavity pumps, gas lift systems, hydraulic lift systems, plunger lift systems, hybrid lift systems, and wellhead systems to produce oil or natural gas from the wells; stimulation, including pressure pumping services, coiled tubing services equipment, and reservoir stimulation hydraulic fracturing services; and completion tools, such as cased hole and flow control systems,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and well, industrial, and sand screens, as well as completion services, including upper and lower completions, and reservoir monitoring.</w:t>
      </w:r>
    </w:p>
    <w:p>
      <w:pPr>
        <w:spacing w:after="0" w:line="221" w:lineRule="exact"/>
        <w:rPr>
          <w:sz w:val="20"/>
          <w:szCs w:val="20"/>
          <w:color w:val="auto"/>
        </w:rPr>
      </w:pPr>
    </w:p>
    <w:p>
      <w:pPr>
        <w:ind w:right="600" w:firstLine="648"/>
        <w:spacing w:after="0" w:line="314" w:lineRule="auto"/>
        <w:rPr>
          <w:sz w:val="20"/>
          <w:szCs w:val="20"/>
          <w:color w:val="auto"/>
        </w:rPr>
      </w:pPr>
      <w:r>
        <w:rPr>
          <w:rFonts w:ascii="Arial" w:cs="Arial" w:eastAsia="Arial" w:hAnsi="Arial"/>
          <w:sz w:val="16"/>
          <w:szCs w:val="16"/>
          <w:color w:val="auto"/>
        </w:rPr>
        <w:t>Weatherford has an extensive focus on research and development (“</w:t>
      </w:r>
      <w:r>
        <w:rPr>
          <w:rFonts w:ascii="Arial" w:cs="Arial" w:eastAsia="Arial" w:hAnsi="Arial"/>
          <w:sz w:val="16"/>
          <w:szCs w:val="16"/>
          <w:b w:val="1"/>
          <w:bCs w:val="1"/>
          <w:u w:val="single" w:color="auto"/>
          <w:color w:val="auto"/>
        </w:rPr>
        <w:t>R&amp;D</w:t>
      </w:r>
      <w:r>
        <w:rPr>
          <w:rFonts w:ascii="Arial" w:cs="Arial" w:eastAsia="Arial" w:hAnsi="Arial"/>
          <w:sz w:val="16"/>
          <w:szCs w:val="16"/>
          <w:color w:val="auto"/>
        </w:rPr>
        <w:t>”) activities which are aimed at providing efficient services to its customers. Weatherford’s R&amp;D focuses on improving existing products and services and developing new technologies to meet customer demands for improved drilling performance and enhanced reservoir productivity. In 2018, Weatherford invested $139 million on its R&amp;D activities.</w:t>
      </w:r>
    </w:p>
    <w:p>
      <w:pPr>
        <w:spacing w:after="0" w:line="14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Products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business focuses on the following four sectors:</w:t>
      </w:r>
    </w:p>
    <w:p>
      <w:pPr>
        <w:spacing w:after="0" w:line="225" w:lineRule="exact"/>
        <w:rPr>
          <w:sz w:val="20"/>
          <w:szCs w:val="20"/>
          <w:color w:val="auto"/>
        </w:rPr>
      </w:pPr>
    </w:p>
    <w:p>
      <w:pPr>
        <w:ind w:left="1940" w:hanging="635"/>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Production</w:t>
      </w:r>
    </w:p>
    <w:p>
      <w:pPr>
        <w:spacing w:after="0" w:line="22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Weatherford’s production sector offers various production optimization services through its production ecosystem which includes the Company’s artificial-lift portfolio, testing and flow measurement solutions, and optimization software. The Company’s artificial lift systems provide a mechanical method to produce oil or gas from wells lacking sufficient reservoir pressure for natural oil and gas flow. Through its pressure pumping systems, the Company offers its customers advanced hydraulic fracturing services. Weatherford’s drilling fluids product line provides engineered fluid and chemical technology products and services used for drilling oil and gas wells.</w:t>
      </w:r>
    </w:p>
    <w:p>
      <w:pPr>
        <w:spacing w:after="0" w:line="188"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Completions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Weatherford’s completion sector offers a variety of completion products, reservoir stimulation designs, and engineering capabilities that isolate zones and unlock reserves in deepwater, unconventional, and aging reservoirs. The Company’s completion systems offer customers a range of completion tools including safety systems, production packers, flow control and sand-control technologies, which aid in maximum oil and gas production while ensuring minimal cost per barrel. In addition, through its cementation products and liner hanger product lines, the Company provides products used to install oil and gas well steel casing systems.</w:t>
      </w:r>
    </w:p>
    <w:p>
      <w:pPr>
        <w:spacing w:after="0" w:line="188"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Drilling and Evaluation</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Weatherford’s drilling and evaluation sector comprises of a suite of services ranging from early well planning to reservoir management. The managed pressure drilling services delivers engineered balanced and underbalanced drilling services to enable and enhance drilling efficiency. The drilling services offer innovative tools and expert engineering to deliver accurate well placement, increase efficiency and maximize reservoir exposure. The evaluation services merge wellsite capabilities including wireline, logging while drilling, and surface logging with laboratory-fluid and core analyses to reduce reservoir uncertainty.</w:t>
      </w:r>
    </w:p>
    <w:p>
      <w:pPr>
        <w:spacing w:after="0" w:line="188"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Well Construction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Weatherford also offers well construction services where Weatherford builds or rebuilds well integrity for the full life cycle of the well. The Company’s land drilling rig business is included in its well construction sector. The services offered include tubular running services,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conventional rig services and intervention services. The Company also offers its patented drilling tools and equipment for rent.</w:t>
      </w:r>
    </w:p>
    <w:p>
      <w:pPr>
        <w:spacing w:after="0" w:line="22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Weatherford’s Customers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vast majority of Weatherford’s customers are in the energy sector. Most of the Company’s international sales are to large international or national oil companies. As of December 31, 2018, the Eastern Hemisphere accounted for 55% of the Company’s net outstanding accounts receivables and the Western Hemisphere accounted for 45% of the Company’s net outstanding accounts receivables. As of December 31, 2018, the Company’s net outstanding accounts receivable in the U.S. accounted for 18% of the balance and Mexico accounted for approximately 10% of the balance. No other country accounted for more than 10% of the Company’s net outstanding accounts receivables balance. During 2018, 2017 and 2016, no individual customer accounted for more than 10% of the Company’s consolidated revenues.</w:t>
      </w:r>
    </w:p>
    <w:p>
      <w:pPr>
        <w:spacing w:after="0" w:line="17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and Retention Bonus Programs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All of the employees of the Weatherford enterprise are employed by certain of the Debtors’ non-Debtor affiliates. In addition, Weatherford International, LLC, is a party to service contracts with a staffing agency that provides workers to the Company. The Debtors do not employ any personnel directly. The non-Debtor affiliates have historically maintained incentive-based bonus programs that have primarily consisted of an annual cash bonus program and a long-term equity incentive program (collectively, the “</w:t>
      </w:r>
      <w:r>
        <w:rPr>
          <w:rFonts w:ascii="Arial" w:cs="Arial" w:eastAsia="Arial" w:hAnsi="Arial"/>
          <w:sz w:val="17"/>
          <w:szCs w:val="17"/>
          <w:b w:val="1"/>
          <w:bCs w:val="1"/>
          <w:u w:val="single" w:color="auto"/>
          <w:color w:val="auto"/>
        </w:rPr>
        <w:t>Incentive and Retention Bonus Programs</w:t>
      </w:r>
      <w:r>
        <w:rPr>
          <w:rFonts w:ascii="Arial" w:cs="Arial" w:eastAsia="Arial" w:hAnsi="Arial"/>
          <w:sz w:val="17"/>
          <w:szCs w:val="17"/>
          <w:color w:val="auto"/>
        </w:rPr>
        <w:t>”). In early 2019, the non-Debtor affiliates, with the assistance of their compensation advisors, reviewed their Incentive and Retention Bonus Programs to determine whether they fulfilled the purposes of retaining and incentivizing key employees given the decline in price of Weatherford Parent stock. The Company determined that these programs did not adequately fulfill these purposes and made the decision to suspend the annual cash bonus program and the long-term equity incentive program and replace them with new programs that would more efficiently achieve the Company’s goals. The current Incentive and Retention Bonus Programs consist of the Executive Bonus Plan, the Management Bonus Plan for Non-Officers, the Technical Bonus Program, the Sales Incentive Program, the Executive Retention Program, and the Non-Officer Retention Program.</w:t>
      </w:r>
    </w:p>
    <w:p>
      <w:pPr>
        <w:spacing w:after="0" w:line="17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Executive Bonus Plan (the “</w:t>
      </w:r>
      <w:r>
        <w:rPr>
          <w:rFonts w:ascii="Arial" w:cs="Arial" w:eastAsia="Arial" w:hAnsi="Arial"/>
          <w:sz w:val="18"/>
          <w:szCs w:val="18"/>
          <w:b w:val="1"/>
          <w:bCs w:val="1"/>
          <w:u w:val="single" w:color="auto"/>
          <w:color w:val="auto"/>
        </w:rPr>
        <w:t>EBP</w:t>
      </w:r>
      <w:r>
        <w:rPr>
          <w:rFonts w:ascii="Arial" w:cs="Arial" w:eastAsia="Arial" w:hAnsi="Arial"/>
          <w:sz w:val="18"/>
          <w:szCs w:val="18"/>
          <w:color w:val="auto"/>
        </w:rPr>
        <w:t>”) provides a means of rewarding key employees based on the overall performance of Weatherford and the achievement of certain quarterly and cumulative performance goals in 2019 to be established by the compensation committee of the board. The EBP covers seventeen senior-level employees. The participants under the EBP are employed by non-Debtor affiliates. In May of 2019, the non-Debtor affiliates made the first quarterly payment under the EBP to eligible participants under the program. The second quarterly payment, if any, under the EBP will be made within 30 days after second quarter results are finalized.</w:t>
      </w:r>
    </w:p>
    <w:p>
      <w:pPr>
        <w:spacing w:after="0" w:line="18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The Management Bonus Plan for Non-Officers (the “</w:t>
      </w:r>
      <w:r>
        <w:rPr>
          <w:rFonts w:ascii="Arial" w:cs="Arial" w:eastAsia="Arial" w:hAnsi="Arial"/>
          <w:sz w:val="17"/>
          <w:szCs w:val="17"/>
          <w:b w:val="1"/>
          <w:bCs w:val="1"/>
          <w:u w:val="single" w:color="auto"/>
          <w:color w:val="auto"/>
        </w:rPr>
        <w:t>MBP</w:t>
      </w:r>
      <w:r>
        <w:rPr>
          <w:rFonts w:ascii="Arial" w:cs="Arial" w:eastAsia="Arial" w:hAnsi="Arial"/>
          <w:sz w:val="17"/>
          <w:szCs w:val="17"/>
          <w:color w:val="auto"/>
        </w:rPr>
        <w:t>”) and the Technical Bonus Program for technical employees (the “</w:t>
      </w:r>
      <w:r>
        <w:rPr>
          <w:rFonts w:ascii="Arial" w:cs="Arial" w:eastAsia="Arial" w:hAnsi="Arial"/>
          <w:sz w:val="17"/>
          <w:szCs w:val="17"/>
          <w:b w:val="1"/>
          <w:bCs w:val="1"/>
          <w:u w:val="single" w:color="auto"/>
          <w:color w:val="auto"/>
        </w:rPr>
        <w:t>TBP</w:t>
      </w:r>
      <w:r>
        <w:rPr>
          <w:rFonts w:ascii="Arial" w:cs="Arial" w:eastAsia="Arial" w:hAnsi="Arial"/>
          <w:sz w:val="17"/>
          <w:szCs w:val="17"/>
          <w:color w:val="auto"/>
        </w:rPr>
        <w:t>”) are designed to align the interests of the Company and eligible key non-officer employees of the non-Debtor affiliates. Both the MBP and the TBP reward eligible employees based on the overall performance of Weatherford and the achievement of certain quarterly goals including productivity, safety, financial metrics, and cost savings goals. Bonus payments pursuant to the MBP and the TBP are guaranteed for 2019 contingent 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8"/>
          <w:szCs w:val="18"/>
          <w:color w:val="auto"/>
        </w:rPr>
        <w:t>continued employment through each applicable payment date and certain other requirements. Approximately 2,250 employees participate in the MBP and approximately 450 employees participate in the TBP. The TBP covers eligible engineering employees in research and development, while the MBP covers employees in management roles. Officers are not eligible to participate in either program. In April of 2019, the non-Debtor affiliates made the first quarterly payment under the MBP and the TBP to the eligible participants under the program. The second quarterly payments will be made within 30 days after second quarter results are finalized.</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Approximately 600 eligible employees are entitled to earn incentive payments for the successful closing of sales to customers that result in realized revenue and profitability for the Company (the “</w:t>
      </w:r>
      <w:r>
        <w:rPr>
          <w:rFonts w:ascii="Arial" w:cs="Arial" w:eastAsia="Arial" w:hAnsi="Arial"/>
          <w:sz w:val="17"/>
          <w:szCs w:val="17"/>
          <w:b w:val="1"/>
          <w:bCs w:val="1"/>
          <w:u w:val="single" w:color="auto"/>
          <w:color w:val="auto"/>
        </w:rPr>
        <w:t>Sales Incentive Plan</w:t>
      </w:r>
      <w:r>
        <w:rPr>
          <w:rFonts w:ascii="Arial" w:cs="Arial" w:eastAsia="Arial" w:hAnsi="Arial"/>
          <w:sz w:val="17"/>
          <w:szCs w:val="17"/>
          <w:color w:val="auto"/>
        </w:rPr>
        <w:t>”). Payments under the Sales Incentive Plan are only available for employees who remain active at the time of payment. Awards under the Sales Incentive Plan are paid on a quarterly basis. Awards under the Sales Incentive Plan are based on invoiced revenue and gross margin performance. The awards have been guaranteed at a specified threshold level for the 2019 calendar year. In May of 2019, the non-Debtor affiliates made the first quarterly payment under the Sales Incentive Plan to eligible participants under the program. The second quarterly payment will be made within 30 days after second quarter results are finalized.</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employees eligible to participate in the EBP are also eligible to receive a cash retention award which is based on the participant’s annual compensation (the “</w:t>
      </w:r>
      <w:r>
        <w:rPr>
          <w:rFonts w:ascii="Arial" w:cs="Arial" w:eastAsia="Arial" w:hAnsi="Arial"/>
          <w:sz w:val="17"/>
          <w:szCs w:val="17"/>
          <w:b w:val="1"/>
          <w:bCs w:val="1"/>
          <w:u w:val="single" w:color="auto"/>
          <w:color w:val="auto"/>
        </w:rPr>
        <w:t>Executive Retention Program</w:t>
      </w:r>
      <w:r>
        <w:rPr>
          <w:rFonts w:ascii="Arial" w:cs="Arial" w:eastAsia="Arial" w:hAnsi="Arial"/>
          <w:sz w:val="17"/>
          <w:szCs w:val="17"/>
          <w:color w:val="auto"/>
        </w:rPr>
        <w:t>”). The retention awards are payable in advance within 30 days of a participant accepting the terms. In the event a recipient of a retention award voluntarily terminates his or her employment, or the recipient is terminated for cause, in either case, before the first anniversary of the date on which the recipient received the retention award, then such recipient will be required to promptly repay the amount of the retention award. The retention award letters issued pursuant to the Executive Retention Program also include certain restrictive covenants including non-solicitation and non-compete provisions. All payments under the Executive Retention Program were made in April of 2019.</w:t>
      </w:r>
    </w:p>
    <w:p>
      <w:pPr>
        <w:spacing w:after="0" w:line="174"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Approximately 1,700 employees are eligible to participate in a cash retention award program for non-officers (the “</w:t>
      </w:r>
      <w:r>
        <w:rPr>
          <w:rFonts w:ascii="Arial" w:cs="Arial" w:eastAsia="Arial" w:hAnsi="Arial"/>
          <w:sz w:val="16"/>
          <w:szCs w:val="16"/>
          <w:b w:val="1"/>
          <w:bCs w:val="1"/>
          <w:u w:val="single" w:color="auto"/>
          <w:color w:val="auto"/>
        </w:rPr>
        <w:t>Non-Officer Retention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Program</w:t>
      </w:r>
      <w:r>
        <w:rPr>
          <w:rFonts w:ascii="Arial" w:cs="Arial" w:eastAsia="Arial" w:hAnsi="Arial"/>
          <w:sz w:val="16"/>
          <w:szCs w:val="16"/>
          <w:color w:val="auto"/>
        </w:rPr>
        <w:t>”). Pursuant to the program, employees are eligible to receive a quarterly cash award contingent on such employee’s 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not eligible to participate in the program. The retention award letters issued pursuant to the Non-Officer Retention Program also include certain restrictive covenants including non-solicitation and non-compete provisions. In April of 2019, the non-Debtor affiliates made the first quarterly payment under the Non-Officer Retention Program to the eligible participants under the program. The second quarterly payment will be made in July of 2019.</w:t>
      </w:r>
    </w:p>
    <w:p>
      <w:pPr>
        <w:spacing w:after="0" w:line="158"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to the Incentive and Retention Bonus Programs, the non-Debtor affiliates maintain ordinary course incentive plans for non-insider employees including, but not limited to, a field bonus program and a bonus program relating to the Transformation Plan (as defined below).</w:t>
      </w:r>
    </w:p>
    <w:p>
      <w:pPr>
        <w:spacing w:after="0" w:line="12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management team of Weatherford Parent consists of the following individuals: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tbl>
      <w:tblPr>
        <w:tblLayout w:type="fixed"/>
        <w:tblInd w:w="660" w:type="dxa"/>
        <w:tblCellMar>
          <w:top w:w="0" w:type="dxa"/>
          <w:left w:w="0" w:type="dxa"/>
          <w:bottom w:w="0" w:type="dxa"/>
          <w:right w:w="0" w:type="dxa"/>
        </w:tblCellMar>
      </w:tblPr>
      <w:tr>
        <w:trPr>
          <w:trHeight w:val="17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540" w:type="dxa"/>
            <w:vAlign w:val="bottom"/>
          </w:tcPr>
          <w:p>
            <w:pPr>
              <w:ind w:left="25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0" w:type="dxa"/>
            <w:vAlign w:val="bottom"/>
            <w:tcBorders>
              <w:top w:val="single" w:sz="8" w:color="CCEEFF"/>
            </w:tcBorders>
            <w:shd w:val="clear" w:color="auto" w:fill="CCEEFF"/>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 Bausch</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Christina M. Ibrahim</w:t>
            </w:r>
          </w:p>
        </w:tc>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Executive Vice President, General Counsel, Chief Compliance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Accounting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INDEBTEDNESS</w:t>
      </w:r>
    </w:p>
    <w:p>
      <w:pPr>
        <w:spacing w:after="0" w:line="229"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As set forth below, as of the date of this Disclosure Statement, the Debtors have outstanding funded debt obligations consisting of approximately $8.35 billion.</w:t>
      </w:r>
    </w:p>
    <w:p>
      <w:pPr>
        <w:spacing w:after="0" w:line="16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Term Loan Agreement</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May 4, 2016, each of the Debtors entered into or guaranteed that certain Term Loan Agreement, by and among Weatherford International Ltd., Weatherford Parent, JPMorgan Chase Bank, N.A. (the “</w:t>
      </w:r>
      <w:r>
        <w:rPr>
          <w:rFonts w:ascii="Arial" w:cs="Arial" w:eastAsia="Arial" w:hAnsi="Arial"/>
          <w:sz w:val="18"/>
          <w:szCs w:val="18"/>
          <w:b w:val="1"/>
          <w:bCs w:val="1"/>
          <w:u w:val="single" w:color="auto"/>
          <w:color w:val="auto"/>
        </w:rPr>
        <w:t>Prepetition Term Loan Agent</w:t>
      </w:r>
      <w:r>
        <w:rPr>
          <w:rFonts w:ascii="Arial" w:cs="Arial" w:eastAsia="Arial" w:hAnsi="Arial"/>
          <w:sz w:val="18"/>
          <w:szCs w:val="18"/>
          <w:color w:val="auto"/>
        </w:rPr>
        <w:t>”) and the lenders party thereto from time to time (the “</w:t>
      </w:r>
      <w:r>
        <w:rPr>
          <w:rFonts w:ascii="Arial" w:cs="Arial" w:eastAsia="Arial" w:hAnsi="Arial"/>
          <w:sz w:val="18"/>
          <w:szCs w:val="18"/>
          <w:b w:val="1"/>
          <w:bCs w:val="1"/>
          <w:u w:val="single" w:color="auto"/>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 Loan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Term Loan Agreement</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amended, the Prepetition Term Loan Agreement has a maturity date of July 13, 2020. The outstanding principal amount under the Prepetition Term Loan Agreement is $297.50 million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Prepetition Term Loan Agreement is secured by substantially all of Weatherford Parent’s assets and certain assets of its subsidiaries.</w:t>
      </w:r>
    </w:p>
    <w:p>
      <w:pPr>
        <w:spacing w:after="0" w:line="233"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Revolving Credit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August 16, 2018, each of the Debtors entered into or guaranteed that certain 364-Day Revolving Credit Agreement, by and among Weatherford International Ltd., Weatherford Parent, JPMorgan Chase Bank, N.A. (the “</w:t>
      </w:r>
      <w:r>
        <w:rPr>
          <w:rFonts w:ascii="Arial" w:cs="Arial" w:eastAsia="Arial" w:hAnsi="Arial"/>
          <w:sz w:val="18"/>
          <w:szCs w:val="18"/>
          <w:b w:val="1"/>
          <w:bCs w:val="1"/>
          <w:u w:val="single" w:color="auto"/>
          <w:color w:val="auto"/>
        </w:rPr>
        <w:t>Prepetition Revolving Credit Agreement Agent</w:t>
      </w:r>
      <w:r>
        <w:rPr>
          <w:rFonts w:ascii="Arial" w:cs="Arial" w:eastAsia="Arial" w:hAnsi="Arial"/>
          <w:sz w:val="18"/>
          <w:szCs w:val="18"/>
          <w:color w:val="auto"/>
        </w:rPr>
        <w:t>”), Morgan Stanley Senior Funding, Inc. as collateral agent, and the lenders party thereto from time to time (“</w:t>
      </w:r>
      <w:r>
        <w:rPr>
          <w:rFonts w:ascii="Arial" w:cs="Arial" w:eastAsia="Arial" w:hAnsi="Arial"/>
          <w:sz w:val="18"/>
          <w:szCs w:val="18"/>
          <w:b w:val="1"/>
          <w:bCs w:val="1"/>
          <w:u w:val="single" w:color="auto"/>
          <w:color w:val="auto"/>
        </w:rPr>
        <w:t>Prepetition Revolving Credit Agreement Lenders</w:t>
      </w:r>
      <w:r>
        <w:rPr>
          <w:rFonts w:ascii="Arial" w:cs="Arial" w:eastAsia="Arial" w:hAnsi="Arial"/>
          <w:sz w:val="18"/>
          <w:szCs w:val="18"/>
          <w:color w:val="auto"/>
        </w:rPr>
        <w:t>”) as amended from time to time (the “</w:t>
      </w:r>
      <w:r>
        <w:rPr>
          <w:rFonts w:ascii="Arial" w:cs="Arial" w:eastAsia="Arial" w:hAnsi="Arial"/>
          <w:sz w:val="18"/>
          <w:szCs w:val="18"/>
          <w:b w:val="1"/>
          <w:bCs w:val="1"/>
          <w:u w:val="single" w:color="auto"/>
          <w:color w:val="auto"/>
        </w:rPr>
        <w:t>Prepetition Revolving Credit Agreement</w:t>
      </w:r>
      <w:r>
        <w:rPr>
          <w:rFonts w:ascii="Arial" w:cs="Arial" w:eastAsia="Arial" w:hAnsi="Arial"/>
          <w:sz w:val="18"/>
          <w:szCs w:val="18"/>
          <w:color w:val="auto"/>
        </w:rPr>
        <w:t>”).</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has a maturity date of August 15, 2019. The outstanding principal amount under the Prepetition Revolving Credit Agreement is $316.74 million plus accrued and unpaid interest.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Prepetition Revolving Credit Agreement is secured by a junior lien on the current assets of Weatherford Parent and certain subsidiaries of Weatherford Parent.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145" w:name="page146"/>
    <w:bookmarkEnd w:id="145"/>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Unsecured Revolving Credit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9, 2016, each of the Debtors entered into or guaranteed that certain Amended and Restated Credit Agreement, by and among Weatherford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WOFS Assurance Limited, Weatherford Parent, by and among the other borrowers party thereto, JPMorgan Chase Bank, N.A.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Prepetition A&amp;R Credit Agreement Agent</w:t>
      </w:r>
      <w:r>
        <w:rPr>
          <w:rFonts w:ascii="Arial" w:cs="Arial" w:eastAsia="Arial" w:hAnsi="Arial"/>
          <w:sz w:val="17"/>
          <w:szCs w:val="17"/>
          <w:color w:val="auto"/>
        </w:rPr>
        <w:t>”) and the lenders party thereto from time to time (the “</w:t>
      </w:r>
      <w:r>
        <w:rPr>
          <w:rFonts w:ascii="Arial" w:cs="Arial" w:eastAsia="Arial" w:hAnsi="Arial"/>
          <w:sz w:val="17"/>
          <w:szCs w:val="17"/>
          <w:b w:val="1"/>
          <w:bCs w:val="1"/>
          <w:u w:val="single" w:color="auto"/>
          <w:color w:val="auto"/>
        </w:rPr>
        <w:t>Prepetition A&amp;R Credit Agreement Lenders</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from time to time (the “</w:t>
      </w:r>
      <w:r>
        <w:rPr>
          <w:rFonts w:ascii="Arial" w:cs="Arial" w:eastAsia="Arial" w:hAnsi="Arial"/>
          <w:sz w:val="17"/>
          <w:szCs w:val="17"/>
          <w:b w:val="1"/>
          <w:bCs w:val="1"/>
          <w:u w:val="single" w:color="auto"/>
          <w:color w:val="auto"/>
        </w:rPr>
        <w:t>Prepetition A&amp;R Credit Agreement</w:t>
      </w:r>
      <w:r>
        <w:rPr>
          <w:rFonts w:ascii="Arial" w:cs="Arial" w:eastAsia="Arial" w:hAnsi="Arial"/>
          <w:sz w:val="17"/>
          <w:szCs w:val="17"/>
          <w:color w:val="auto"/>
        </w:rPr>
        <w:t>” and together with the Prepetition Term Loan Agreement and the Prepetition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Agreement, the “</w:t>
      </w:r>
      <w:r>
        <w:rPr>
          <w:rFonts w:ascii="Arial" w:cs="Arial" w:eastAsia="Arial" w:hAnsi="Arial"/>
          <w:sz w:val="18"/>
          <w:szCs w:val="18"/>
          <w:b w:val="1"/>
          <w:bCs w:val="1"/>
          <w:u w:val="single" w:color="auto"/>
          <w:color w:val="auto"/>
        </w:rPr>
        <w:t>Prepetition Credit Agreements</w:t>
      </w:r>
      <w:r>
        <w:rPr>
          <w:rFonts w:ascii="Arial" w:cs="Arial" w:eastAsia="Arial" w:hAnsi="Arial"/>
          <w:sz w:val="18"/>
          <w:szCs w:val="18"/>
          <w:color w:val="auto"/>
        </w:rPr>
        <w:t>”).</w:t>
      </w:r>
    </w:p>
    <w:p>
      <w:pPr>
        <w:spacing w:after="0" w:line="21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amended, the Prepetition A&amp;R Credit Agreement has a maturity date of July 12, 2019, which may be extended pursuant to certain conditions. The outstanding principal amount under the Prepetition A&amp;R Credit Agreement is $305.00 million (plus accrued and unpaid interest), plus outstanding letters of credit in an amount of $166,000,000. The obligations arising under the Prepetition A&amp;R Credit Agreement are unsecured.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Prepetition Credit Agreements is guaranteed by certain subsidiaries of Weatherford Parent as listed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Letters of Credit</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the date hereof, the Debtors and certain of their non-Debtor subsidiaries have entered into or guaranteed certain letter of credit facilities with a total exposure of $415.0 million. The letters of credit are held by Standard Chartered Bank, Deutsche Bank, and Citibank, among others.</w:t>
      </w:r>
    </w:p>
    <w:p>
      <w:pPr>
        <w:spacing w:after="0" w:line="14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Notes</w:t>
      </w:r>
    </w:p>
    <w:p>
      <w:pPr>
        <w:spacing w:after="0" w:line="225" w:lineRule="exact"/>
        <w:rPr>
          <w:sz w:val="20"/>
          <w:szCs w:val="20"/>
          <w:color w:val="auto"/>
        </w:rPr>
      </w:pPr>
    </w:p>
    <w:p>
      <w:pPr>
        <w:ind w:right="280" w:firstLine="648"/>
        <w:spacing w:after="0" w:line="303" w:lineRule="auto"/>
        <w:rPr>
          <w:sz w:val="20"/>
          <w:szCs w:val="20"/>
          <w:color w:val="auto"/>
        </w:rPr>
      </w:pPr>
      <w:r>
        <w:rPr>
          <w:rFonts w:ascii="Arial" w:cs="Arial" w:eastAsia="Arial" w:hAnsi="Arial"/>
          <w:sz w:val="16"/>
          <w:szCs w:val="16"/>
          <w:color w:val="auto"/>
        </w:rPr>
        <w:t>The Debtors have a series of unsecured Prepetition Notes that have been issued by either Debtor Weatherford International Ltd. (“</w:t>
      </w:r>
      <w:r>
        <w:rPr>
          <w:rFonts w:ascii="Arial" w:cs="Arial" w:eastAsia="Arial" w:hAnsi="Arial"/>
          <w:sz w:val="16"/>
          <w:szCs w:val="16"/>
          <w:b w:val="1"/>
          <w:bCs w:val="1"/>
          <w:u w:val="single" w:color="auto"/>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Bermuda</w:t>
      </w:r>
      <w:r>
        <w:rPr>
          <w:rFonts w:ascii="Arial" w:cs="Arial" w:eastAsia="Arial" w:hAnsi="Arial"/>
          <w:sz w:val="16"/>
          <w:szCs w:val="16"/>
          <w:color w:val="auto"/>
        </w:rPr>
        <w:t>”) or Debtor Weatherford International LLC (“</w:t>
      </w:r>
      <w:r>
        <w:rPr>
          <w:rFonts w:ascii="Arial" w:cs="Arial" w:eastAsia="Arial" w:hAnsi="Arial"/>
          <w:sz w:val="16"/>
          <w:szCs w:val="16"/>
          <w:b w:val="1"/>
          <w:bCs w:val="1"/>
          <w:u w:val="single" w:color="auto"/>
          <w:color w:val="auto"/>
        </w:rPr>
        <w:t>Weatherford Delaware</w:t>
      </w:r>
      <w:r>
        <w:rPr>
          <w:rFonts w:ascii="Arial" w:cs="Arial" w:eastAsia="Arial" w:hAnsi="Arial"/>
          <w:sz w:val="16"/>
          <w:szCs w:val="16"/>
          <w:color w:val="auto"/>
        </w:rPr>
        <w:t>”), with each such issuance being guaranteed by Weatherford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Prepetition Notes are pari passu with one another. The total aggregate outstanding amount of the Prepetition Notes is $7.4 billion plus accrued and unpaid interest. As noted above, the three Debtor entities are the only Weatherford entities that are liable on the Prepetition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series of Prepetition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Current Principal Amount</w:t>
            </w:r>
          </w:p>
        </w:tc>
        <w:tc>
          <w:tcPr>
            <w:tcW w:w="14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125%</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365,107,000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2020</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1,265,000,000</w:t>
            </w: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750,000,000</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646,286,000</w:t>
            </w:r>
          </w:p>
        </w:tc>
        <w:tc>
          <w:tcPr>
            <w:tcW w:w="140" w:type="dxa"/>
            <w:vAlign w:val="bottom"/>
          </w:tcPr>
          <w:p>
            <w:pPr>
              <w:spacing w:after="0"/>
              <w:rPr>
                <w:sz w:val="15"/>
                <w:szCs w:val="15"/>
                <w:color w:val="auto"/>
              </w:rPr>
            </w:pPr>
          </w:p>
        </w:tc>
        <w:tc>
          <w:tcPr>
            <w:tcW w:w="128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2600" w:type="dxa"/>
            <w:vAlign w:val="bottom"/>
            <w:gridSpan w:val="2"/>
          </w:tcPr>
          <w:p>
            <w:pPr>
              <w:jc w:val="right"/>
              <w:ind w:right="1459"/>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1"/>
        </w:trPr>
        <w:tc>
          <w:tcPr>
            <w:tcW w:w="4740" w:type="dxa"/>
            <w:vAlign w:val="bottom"/>
            <w:gridSpan w:val="4"/>
          </w:tcPr>
          <w:p>
            <w:pPr>
              <w:spacing w:after="0"/>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4"/>
                <w:szCs w:val="14"/>
                <w:color w:val="auto"/>
              </w:rPr>
            </w:pPr>
          </w:p>
        </w:tc>
        <w:tc>
          <w:tcPr>
            <w:tcW w:w="2580" w:type="dxa"/>
            <w:vAlign w:val="bottom"/>
            <w:gridSpan w:val="2"/>
          </w:tcPr>
          <w:p>
            <w:pPr>
              <w:ind w:left="96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2080" w:type="dxa"/>
            <w:vAlign w:val="bottom"/>
          </w:tcPr>
          <w:p>
            <w:pPr>
              <w:jc w:val="right"/>
              <w:ind w:right="232"/>
              <w:spacing w:after="0"/>
              <w:rPr>
                <w:sz w:val="20"/>
                <w:szCs w:val="20"/>
                <w:color w:val="auto"/>
              </w:rPr>
            </w:pPr>
            <w:r>
              <w:rPr>
                <w:rFonts w:ascii="Arial" w:cs="Arial" w:eastAsia="Arial" w:hAnsi="Arial"/>
                <w:sz w:val="14"/>
                <w:szCs w:val="14"/>
                <w:b w:val="1"/>
                <w:bCs w:val="1"/>
                <w:color w:val="auto"/>
              </w:rPr>
              <w:t>Current Principal Amount</w:t>
            </w:r>
          </w:p>
        </w:tc>
        <w:tc>
          <w:tcPr>
            <w:tcW w:w="2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w:t>
            </w:r>
          </w:p>
        </w:tc>
        <w:tc>
          <w:tcPr>
            <w:tcW w:w="3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Weatherford Bermuda</w:t>
            </w:r>
          </w:p>
        </w:tc>
        <w:tc>
          <w:tcPr>
            <w:tcW w:w="2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750,000,000</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699"/>
              <w:spacing w:after="0" w:line="170" w:lineRule="exact"/>
              <w:rPr>
                <w:sz w:val="20"/>
                <w:szCs w:val="20"/>
                <w:color w:val="auto"/>
              </w:rPr>
            </w:pPr>
            <w:r>
              <w:rPr>
                <w:rFonts w:ascii="Arial" w:cs="Arial" w:eastAsia="Arial" w:hAnsi="Arial"/>
                <w:sz w:val="18"/>
                <w:szCs w:val="18"/>
                <w:color w:val="auto"/>
                <w:w w:val="84"/>
              </w:rPr>
              <w:t>2023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2024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790,000,000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2025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600,000,000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500%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453,045,000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800%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Delaware</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258,767,000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461,300,000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9.</w:t>
            </w:r>
            <w:r>
              <w:rPr>
                <w:rFonts w:ascii="Arial" w:cs="Arial" w:eastAsia="Arial" w:hAnsi="Arial"/>
                <w:sz w:val="18"/>
                <w:szCs w:val="18"/>
                <w:b w:val="1"/>
                <w:bCs w:val="1"/>
                <w:u w:val="single" w:color="auto"/>
                <w:color w:val="auto"/>
                <w:w w:val="89"/>
              </w:rPr>
              <w:t>875%</w:t>
            </w:r>
            <w:r>
              <w:rPr>
                <w:rFonts w:ascii="Arial" w:cs="Arial" w:eastAsia="Arial" w:hAnsi="Arial"/>
                <w:sz w:val="18"/>
                <w:szCs w:val="18"/>
                <w:b w:val="1"/>
                <w:bCs w:val="1"/>
                <w:color w:val="auto"/>
                <w:w w:val="89"/>
              </w:rPr>
              <w:t xml:space="preserve"> 2039 Notes</w:t>
            </w:r>
          </w:p>
        </w:tc>
        <w:tc>
          <w:tcPr>
            <w:tcW w:w="326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250,000,000</w:t>
            </w:r>
          </w:p>
        </w:tc>
        <w:tc>
          <w:tcPr>
            <w:tcW w:w="1420" w:type="dxa"/>
            <w:vAlign w:val="bottom"/>
            <w:tcBorders>
              <w:bottom w:val="single" w:sz="8" w:color="CCEEFF"/>
            </w:tcBorders>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750%</w:t>
            </w:r>
            <w:r>
              <w:rPr>
                <w:rFonts w:ascii="Arial" w:cs="Arial" w:eastAsia="Arial" w:hAnsi="Arial"/>
                <w:sz w:val="18"/>
                <w:szCs w:val="18"/>
                <w:b w:val="1"/>
                <w:bCs w:val="1"/>
                <w:color w:val="auto"/>
              </w:rPr>
              <w:t xml:space="preserve"> Notes</w:t>
            </w:r>
          </w:p>
        </w:tc>
        <w:tc>
          <w:tcPr>
            <w:tcW w:w="28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462,601,000</w:t>
            </w:r>
          </w:p>
        </w:tc>
        <w:tc>
          <w:tcPr>
            <w:tcW w:w="1420" w:type="dxa"/>
            <w:vAlign w:val="bottom"/>
            <w:gridSpan w:val="2"/>
          </w:tcPr>
          <w:p>
            <w:pPr>
              <w:jc w:val="right"/>
              <w:ind w:right="699"/>
              <w:spacing w:after="0" w:line="176" w:lineRule="exact"/>
              <w:rPr>
                <w:sz w:val="20"/>
                <w:szCs w:val="20"/>
                <w:color w:val="auto"/>
              </w:rPr>
            </w:pPr>
            <w:r>
              <w:rPr>
                <w:rFonts w:ascii="Arial" w:cs="Arial" w:eastAsia="Arial" w:hAnsi="Arial"/>
                <w:sz w:val="18"/>
                <w:szCs w:val="18"/>
                <w:color w:val="auto"/>
              </w:rPr>
              <w:t>2040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950%</w:t>
            </w:r>
            <w:r>
              <w:rPr>
                <w:rFonts w:ascii="Arial" w:cs="Arial" w:eastAsia="Arial" w:hAnsi="Arial"/>
                <w:sz w:val="18"/>
                <w:szCs w:val="18"/>
                <w:b w:val="1"/>
                <w:bCs w:val="1"/>
                <w:color w:val="auto"/>
              </w:rPr>
              <w:t xml:space="preserve"> Notes</w:t>
            </w:r>
          </w:p>
        </w:tc>
        <w:tc>
          <w:tcPr>
            <w:tcW w:w="288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Weatherford Bermuda</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374,961,000</w:t>
            </w:r>
          </w:p>
        </w:tc>
        <w:tc>
          <w:tcPr>
            <w:tcW w:w="1420" w:type="dxa"/>
            <w:vAlign w:val="bottom"/>
            <w:gridSpan w:val="2"/>
            <w:shd w:val="clear" w:color="auto" w:fill="CCEEFF"/>
          </w:tcPr>
          <w:p>
            <w:pPr>
              <w:jc w:val="right"/>
              <w:ind w:right="699"/>
              <w:spacing w:after="0" w:line="176" w:lineRule="exact"/>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Unsecured Claims</w:t>
      </w:r>
    </w:p>
    <w:p>
      <w:pPr>
        <w:spacing w:after="0" w:line="229"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General Unsecured Claims consist of any prepetition claims against the Debtors (other than the Prepetition Notes Claims, 510(b) Claims, or any Intercompany Claims) as of the Petition Date that are neither secured by collateral nor entitled to priority under the Bankruptcy Code or any order of the Bankruptcy Court. The Debtors expect that there will be no General Unsecured Claims.</w:t>
      </w:r>
    </w:p>
    <w:p>
      <w:pPr>
        <w:spacing w:after="0" w:line="177"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Intercompany Claims</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Certain Debtors hold Claims against other Debtors resulting primarily from the normal functioning of the Company’s centralized cash management system as well as, in some cases, the provision of intercompany services by one Debtor to another Debtor, such as, for example, administrative support services. Historically, such intercompany claims were recorded in the Company’s books and records. Pursuant to the Plan, for administrative convenience only, these Intercompany Claims will be adjusted, reinstated, compromised, or cancelled to the extent determined appropriate by the Debtors, with the consent of the Required Consenting Noteholders.</w:t>
      </w:r>
    </w:p>
    <w:p>
      <w:pPr>
        <w:spacing w:after="0" w:line="18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EVENTS LEADING TO THE CHAPTER 11 FILING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Current State of the Oil &amp; Gas Industry and Impact on Debtors.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Weatherford’s operations have been and likely will continue to be affected by the volatility of oil and natural gas prices. The oil and gas industry has been in one of the longest, steepest, and most sustained declines in oil and gas prices in recent history. Oil and natural gas prices 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7" w:name="page148"/>
    <w:bookmarkEnd w:id="147"/>
    <w:p>
      <w:pPr>
        <w:ind w:right="120"/>
        <w:spacing w:after="0" w:line="257" w:lineRule="auto"/>
        <w:rPr>
          <w:sz w:val="20"/>
          <w:szCs w:val="20"/>
          <w:color w:val="auto"/>
        </w:rPr>
      </w:pPr>
      <w:r>
        <w:rPr>
          <w:rFonts w:ascii="Arial" w:cs="Arial" w:eastAsia="Arial" w:hAnsi="Arial"/>
          <w:sz w:val="18"/>
          <w:szCs w:val="18"/>
          <w:color w:val="auto"/>
        </w:rPr>
        <w:t>dependent on factors beyond the Company’s control, including the supply of and demand for oil, weather conditions, and political conditions, among others. As a result of the sustained market downturn, oil and gas companies around the world have dramatically curtailed capital and operating expenditures dedicated to oil and gas exploration, development and production, which in turn has contributed to the financial distress of numerous oilfield services companies. In fact, dozens of oilfield services companies, whose business is dependent on spending by oil and gas companies, have filed for bankruptcy in the last several years.</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sustained drop in oil and gas prices has impacted companies throughout the oil and gas industry including Weatherford and the majority of its customers. As spending on exploration, development, and production of oil and natural gas has decreased so has demand for Weatherford’s services and products. The decline in spending by oil and gas companies has had a significant effect on the Debtors’ financial health. To illustrate, on a consolidated basis, the Company’s cash flows from operating activities have been negative $304 million, negative $388 million, and negative $242 million in fiscal years 2016, 2017, and 2018, respectively.</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to the issues facing the oil and gas industry generally, Weatherford operates in a highly competitive market. The oilfield services and equipment industry is saturated with competition from various companies that operate in the same sector and the same regions of the world as Weatherford. The primary competitive factors include safety, performance, price, quality, and breadth of products and services. Weatherford also faces competition from regional suppliers in some of the sectors in which it operates as these suppliers offer limited equipment and services that are specifically tailored to the relevant local market. Some of the Company’s competitors have better financial and technical resources, which allows them to pursue more vigorous marketing and expansion activities. This heavily competitive market has impacted the Company’s ability to maintain its market share and defend or maintain the pricing for its products and services. Heavy competition has also impacted the Company’s ability to negotiate contract terms with its customers and suppliers, which has resulted in the Company accepting suboptimal terms.</w:t>
      </w:r>
    </w:p>
    <w:p>
      <w:pPr>
        <w:spacing w:after="0" w:line="17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Company’s operations are also subject to extensive federal, international, state and local laws and regulations relating to environmental production, waste management and cleanup of hazardous materials, and other matters. Compliance with the various requirements imposed by these laws and regulations has also resulted in increased capital expenditures as companies in these sectors have had to make significant investments to ensure compliance.</w:t>
      </w:r>
    </w:p>
    <w:p>
      <w:pPr>
        <w:spacing w:after="0" w:line="143"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Prepetition Efforts to Combat Market Downturn</w:t>
      </w:r>
    </w:p>
    <w:p>
      <w:pPr>
        <w:spacing w:after="0" w:line="229"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The decline in the price of oil and gas and the resulting adverse market conditions have severely impacted Weatherford affecting, among other things, the Company’s cash flow, borrowing capacity, and ability to service its outstanding indebtedness. As with many of their peers, this drastic and prolonged drop in oil and gas prices has strained the Company’s liquidity for an extended period of time.</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took several steps to try to address its capital structure and liquidity needs without a comprehensive in-court restructuring before commencing these Chapter 11 Cases. The Company and its management team focused on cutting costs, reducing capital expenditure, and managing liquidity.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8" w:name="page149"/>
    <w:bookmarkEnd w:id="148"/>
    <w:p>
      <w:pPr>
        <w:ind w:left="1940" w:hanging="635"/>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Debtors’ Cost-Reduction Initiatives and Operational Adjustments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second quarter of 2017 management, led by the new chief executive officer, focused on analyzing and assessing the structure and operations of the Company in order to determine where key cost-reduction initiatives could be implemented. Management and the board of directors engaged in an extensive review of all existing protocols and processes to determine which initiatives should be implemented. The ensuing cost-reduction efforts were strategic and focused on the reduction of overhead and elimination of inefficiencies across the enterprise. Specifically, the Company implemented new initiatives focused on training leaders as well as field-level supervisors and other personnel in order to improve efficiency and accountability. The initiatives also focused on flattening the organizational structure of the Company in order to improve cost efficiency and reduce organizational redundancies. In the fourth quarter of 2017, the Company eliminated the regional structure and consolidated countries into a geo-zone structure, to eliminate overhead costs and redundancies. This fundamental change in operation of the business resulted in a headcount reduction of approximately 900 and created annualized savings of approximately $114 million.</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2018, the Company continued its cost-reduction initiatives and operational adjustments. In the first quarter of 2018, the Company, with the assistance of McKinsey Restructuring &amp; Transformation Services, implemented its transformation plan (the “</w:t>
      </w:r>
      <w:r>
        <w:rPr>
          <w:rFonts w:ascii="Arial" w:cs="Arial" w:eastAsia="Arial" w:hAnsi="Arial"/>
          <w:sz w:val="18"/>
          <w:szCs w:val="18"/>
          <w:b w:val="1"/>
          <w:bCs w:val="1"/>
          <w:u w:val="single" w:color="auto"/>
          <w:color w:val="auto"/>
        </w:rPr>
        <w:t>Transformation Plan</w:t>
      </w:r>
      <w:r>
        <w:rPr>
          <w:rFonts w:ascii="Arial" w:cs="Arial" w:eastAsia="Arial" w:hAnsi="Arial"/>
          <w:sz w:val="18"/>
          <w:szCs w:val="18"/>
          <w:color w:val="auto"/>
        </w:rPr>
        <w:t>”), which was aimed at reducing the Company’s overall cost structure and workforce to better align the business with current activity levels. The Transformation Plan continued into 2019 and includes a workforce reduction, organization restructure, facility consolidations, and other cost reduction and efficiency initiatives across the Company globally.</w:t>
      </w:r>
    </w:p>
    <w:p>
      <w:pPr>
        <w:spacing w:after="0" w:line="18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Despite implementing these efficient and strategic initiatives, the Company continued to face declining revenue and cash flow, as well as market challenges. Due to the Company’s increasingly tight liquidity, its key vendors began requiring shortened payment terms, including pay on delivery or prepayment for all supplies purchased by the Company. This contributed to additional pressure on liquidity that the Company could not sustain. Additionally, as discussed above, the highly competitive market that the Company operates in posed challenges for the Company in winning new bids, resulting in decreased revenue.</w:t>
      </w:r>
    </w:p>
    <w:p>
      <w:pPr>
        <w:spacing w:after="0" w:line="188"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The Debtors’ Strategic Divestitures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Company’s overall operations adjustments, management conducted a detailed review of all of the Company’s product lines focusing on the current state of the product line, the ability to invest in its growth, and the overall role of the product in the Company’s long-term strategy. Management and the board determined that there were product lines and sectors that could be sold in order to increase liquidity and focus on the Company’s key product lines and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of 2017, Weatherford completed the sale of its U.S. pressure pumping and pump-down perforating assets for gross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$430 million, the proceeds of which were used to reduce the Company’s outstanding indebtedness. In the fourth quarter of 2018, the Company completed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 portion of its land drilling rigs operations for gross cash proceeds of $216 million. The sale represents two of a series of four closings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and sale agreements entered into with ADES International Holding Ltd. in July of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9" w:name="page150"/>
    <w:bookmarkEnd w:id="149"/>
    <w:p>
      <w:pPr>
        <w:spacing w:after="0" w:line="286" w:lineRule="auto"/>
        <w:rPr>
          <w:sz w:val="20"/>
          <w:szCs w:val="20"/>
          <w:color w:val="auto"/>
        </w:rPr>
      </w:pPr>
      <w:r>
        <w:rPr>
          <w:rFonts w:ascii="Arial" w:cs="Arial" w:eastAsia="Arial" w:hAnsi="Arial"/>
          <w:sz w:val="17"/>
          <w:szCs w:val="17"/>
          <w:color w:val="auto"/>
        </w:rPr>
        <w:t>to sell the Company’s land drilling rig operations in Algeria, Kuwait and Saudi Arabia, as well as two idle land rigs in Iraq. The sale is for an aggregate purchase price of $287.5 million. In April of 2019, the Company sold its laboratory services business to an affiliate of CSL Capital Management, L.P., and its surface data logging business to Excellence Logging, for an aggregate net purchase price of approximately $225 million in cash.</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Despite several successful strategic divestitures, the Company remained overleveraged, with debt service payments hampering its ability to use the proceeds of these divestitures to invest in the business and the new initiatives.</w:t>
      </w:r>
    </w:p>
    <w:p>
      <w:pPr>
        <w:spacing w:after="0" w:line="166" w:lineRule="exact"/>
        <w:rPr>
          <w:sz w:val="20"/>
          <w:szCs w:val="20"/>
          <w:color w:val="auto"/>
        </w:rPr>
      </w:pPr>
    </w:p>
    <w:p>
      <w:pPr>
        <w:ind w:left="1220" w:hanging="564"/>
        <w:spacing w:after="0"/>
        <w:tabs>
          <w:tab w:leader="none" w:pos="12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Financing Initiatives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Despite management’s best efforts, performance and liquidity continued to further deteriorate and it became apparent that the Company’s revenue and cash flow generating capacity would not be sufficient to service its outstanding debt on a long-term basis and to maintain the liquidity necessary to operate its businesses and maximize long-term enterprise value. The Company retained Lazard Frères &amp; Co. LLC (“</w:t>
      </w:r>
      <w:r>
        <w:rPr>
          <w:rFonts w:ascii="Arial" w:cs="Arial" w:eastAsia="Arial" w:hAnsi="Arial"/>
          <w:sz w:val="17"/>
          <w:szCs w:val="17"/>
          <w:b w:val="1"/>
          <w:bCs w:val="1"/>
          <w:u w:val="single" w:color="auto"/>
          <w:color w:val="auto"/>
        </w:rPr>
        <w:t>Lazard</w:t>
      </w:r>
      <w:r>
        <w:rPr>
          <w:rFonts w:ascii="Arial" w:cs="Arial" w:eastAsia="Arial" w:hAnsi="Arial"/>
          <w:sz w:val="17"/>
          <w:szCs w:val="17"/>
          <w:color w:val="auto"/>
        </w:rPr>
        <w:t>”) on May 30, 2018, to assist the Company in refinancing its revolving credit facility. The revolving credit facility was successfully extended in August of 2018.</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the third quarter of 2018, the Company reported that it had missed its cash flow projections for the quarter. In addition, Weatherford continued to face industry headwinds and was levered at over 10.0x EBITDA, a figure significantly higher those of its competitors, who have traditionally been levered at close to 2.0x EBITDA. Weatherford generated negative cash flow driven in part by approximately $600 million in annual interest payments. Its negative cash flow position began to impact the Company’s ability to win business, invest in new technologies, and compete more broadly with its better-capitalized peers. It became critical that the Company extend its liquidity runway in order to realize the benefits of the Transformation Plan, necessitating that it address approximately $2.4 billion of upcoming maturities through 2021. To that end, the Company retained Lazard on December 31, 2018 and Latham &amp; Watkins LLP as restructuring counsel on April 1, 2019, to advise on further refinancing efforts and a possible balance sheet restructuring.</w:t>
      </w:r>
    </w:p>
    <w:p>
      <w:pPr>
        <w:spacing w:after="0" w:line="163" w:lineRule="exact"/>
        <w:rPr>
          <w:sz w:val="20"/>
          <w:szCs w:val="20"/>
          <w:color w:val="auto"/>
        </w:rPr>
      </w:pPr>
    </w:p>
    <w:p>
      <w:pPr>
        <w:ind w:left="1220" w:hanging="564"/>
        <w:spacing w:after="0"/>
        <w:tabs>
          <w:tab w:leader="none" w:pos="12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Prepetition Restructuring Efforts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early 2019, the Company, with the assistance of its advisors, determined that it would need to pursue a restructuring option that significantly de-leveraged the Company while giving it enough runway to implement the cost-reduction and operational adjustments it had begun in 2017 and 2018.</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Management and the board of directors first considered a variety of out-of-court alternatives to achieve the necessary runway. The alternatives included a variety of potential transactions including maturity extensions of the revolving credit facilities and first lien term loan, debt-for-uptiered-debt and/or debt-for-cash exchanges, the issuance of convertible debt instruments, and debt equitization transactions to provide short- and medium-term runway so the Company could execute on its turnaround plan.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0" w:name="page151"/>
    <w:bookmarkEnd w:id="150"/>
    <w:p>
      <w:pPr>
        <w:ind w:right="60" w:firstLine="648"/>
        <w:spacing w:after="0" w:line="264" w:lineRule="auto"/>
        <w:rPr>
          <w:sz w:val="20"/>
          <w:szCs w:val="20"/>
          <w:color w:val="auto"/>
        </w:rPr>
      </w:pPr>
      <w:r>
        <w:rPr>
          <w:rFonts w:ascii="Arial" w:cs="Arial" w:eastAsia="Arial" w:hAnsi="Arial"/>
          <w:sz w:val="18"/>
          <w:szCs w:val="18"/>
          <w:color w:val="auto"/>
        </w:rPr>
        <w:t>During this time, revenues continued to decline, delaying execution on the Transformation Plan and further constraining liquidity. In April, the Company met with its bank group to provide a revised forecast for fiscal year 2019 and continue to explore a refinancing of the credit facility, but was unable to reach agreement on the terms of a refinancing that would meet the Company’s holistic goals.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Beginning in mid-April of 2019, the Company and their advisors began to engage in parallel arms-length negotiations with an ad hoc group holding a substantial portion of their unsecured notes to first explore out-of-court alternatives that would be workable in conjunction with a credit facility maturity extension on terms proposed by the Company’s existing bank group and, alternatively, to develop a comprehensive financing and restructuring plan to be implemented through the Chapter 11 Cases to the extent a solution could not be reached. Despite the parties’ best efforts to achieve an out-of-court solution, it became clear that an in-court process would be required to accomplish the comprehensive balance sheet restructuring the Company needed.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Over the next several weeks, the Company, with the aid of its advisors, was able to execute a consensual Restructuring Support Agreement with the Consenting Noteholders in support of the Restructuring. The Company intends to file the Chapter 11 Cases to implement the prepackaged Plan that is contemplated by the Restructuring Support Agreement.</w:t>
      </w:r>
    </w:p>
    <w:p>
      <w:pPr>
        <w:spacing w:after="0" w:line="17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Entry into the Restructuring Support Agreement</w:t>
      </w:r>
      <w:r>
        <w:rPr>
          <w:rFonts w:ascii="Arial" w:cs="Arial" w:eastAsia="Arial" w:hAnsi="Arial"/>
          <w:sz w:val="23"/>
          <w:szCs w:val="23"/>
          <w:b w:val="1"/>
          <w:bCs w:val="1"/>
          <w:color w:val="auto"/>
          <w:vertAlign w:val="superscript"/>
        </w:rPr>
        <w:t>(3)</w:t>
      </w:r>
    </w:p>
    <w:p>
      <w:pPr>
        <w:spacing w:after="0" w:line="17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May 10, 2019, the Debtors and the Consenting Noteholders entered into the Restructuring Support Agreement whereby the Consenting Noteholders have committed, subject to the terms and conditions of the Restructuring Support Agreement, to support the Debtors in their efforts to confirm the Plan, as well as to provide additional liquidity to the Debtors both during the Chapter 11 Cases and upon emergence (as described herein in more detail). The terms of the Restructuring are reflected in the Plan.</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Restructuring Support Agreement contemplates a comprehensive deleveraging of the Company’s balance sheet and an approximately $5.85 billion reduction of its prepetition funded debt. The key provisions of the Restructuring Support Agreement are as follows:</w:t>
      </w:r>
    </w:p>
    <w:p>
      <w:pPr>
        <w:spacing w:after="0" w:line="147" w:lineRule="exact"/>
        <w:rPr>
          <w:sz w:val="20"/>
          <w:szCs w:val="20"/>
          <w:color w:val="auto"/>
        </w:rPr>
      </w:pPr>
    </w:p>
    <w:p>
      <w:pPr>
        <w:ind w:left="660" w:right="140" w:hanging="328"/>
        <w:spacing w:after="0" w:line="259" w:lineRule="auto"/>
        <w:tabs>
          <w:tab w:leader="none" w:pos="6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Prepetition Notes will be cancelled and exchanged for (a) 99% of the New Common Stock, subject to dilution on account of equity issued pursuant to the New Management Incentive Plan, the Tranche B Equity Conversion, and the New Common Stock issuable pursuant to the New Warrants, and (b) an aggregate amount of up to $1.25 billion of New Tranche B Senior Unsecured Notes to be issued by Weatherford Delaware and Weatherford Bermuda, as applicable;</w:t>
      </w:r>
    </w:p>
    <w:p>
      <w:pPr>
        <w:spacing w:after="0" w:line="186" w:lineRule="exact"/>
        <w:rPr>
          <w:rFonts w:ascii="Arial" w:cs="Arial" w:eastAsia="Arial" w:hAnsi="Arial"/>
          <w:sz w:val="18"/>
          <w:szCs w:val="18"/>
          <w:color w:val="auto"/>
        </w:rPr>
      </w:pPr>
    </w:p>
    <w:p>
      <w:pPr>
        <w:ind w:left="660" w:hanging="328"/>
        <w:spacing w:after="0" w:line="277" w:lineRule="auto"/>
        <w:tabs>
          <w:tab w:leader="none" w:pos="6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Holders of the Prepetition Notes will have the option to convert up to $500 million of the New Tranche B Unsecured Notes to New Common Stock at the mid-point of plan equity value;</w:t>
      </w:r>
    </w:p>
    <w:p>
      <w:pPr>
        <w:spacing w:after="0" w:line="395" w:lineRule="exact"/>
        <w:rPr>
          <w:rFonts w:ascii="Arial" w:cs="Arial" w:eastAsia="Arial" w:hAnsi="Arial"/>
          <w:sz w:val="18"/>
          <w:szCs w:val="18"/>
          <w:color w:val="auto"/>
        </w:rPr>
      </w:pPr>
    </w:p>
    <w:p>
      <w:pPr>
        <w:ind w:right="60" w:firstLine="8"/>
        <w:spacing w:after="0" w:line="215" w:lineRule="auto"/>
        <w:tabs>
          <w:tab w:leader="none" w:pos="177"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This summary is qualified in its entirety by the Restructuring Support Agreement. To the extent that any provision of this summary is inconsistent with the Restructuring Support Agreement, the Restructuring Support Agreement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1" w:name="page152"/>
    <w:bookmarkEnd w:id="151"/>
    <w:p>
      <w:pPr>
        <w:ind w:left="660" w:right="220" w:hanging="328"/>
        <w:spacing w:after="0" w:line="308" w:lineRule="auto"/>
        <w:tabs>
          <w:tab w:leader="none" w:pos="6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Holders of Prepetition Notes also will receive subscription rights in a Rights Offering (as defined below) for the New Tranche A Senior Unsecured Notes to be issued by Weatherford Delaware and Weatherford Bermuda and backstopped by certain Prepetition Noteholders;</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Prepetition Revolving Credit Claims, the Prepetition A&amp;R Claims, and the Prepetition Term Loan Claims will be repaid in full in cash;</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trade claims will be paid in full in the ordinary course of business;</w:t>
      </w:r>
    </w:p>
    <w:p>
      <w:pPr>
        <w:spacing w:after="0" w:line="225"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Existing Common Stock will be cancelled and exchanged for (a) 1% of the New Common Stock, and (b) three-year warrants to purchase 10% of the New Common Stock (the “</w:t>
      </w:r>
      <w:r>
        <w:rPr>
          <w:rFonts w:ascii="Arial" w:cs="Arial" w:eastAsia="Arial" w:hAnsi="Arial"/>
          <w:sz w:val="17"/>
          <w:szCs w:val="17"/>
          <w:b w:val="1"/>
          <w:bCs w:val="1"/>
          <w:u w:val="single" w:color="auto"/>
          <w:color w:val="auto"/>
        </w:rPr>
        <w:t>New Warrants</w:t>
      </w:r>
      <w:r>
        <w:rPr>
          <w:rFonts w:ascii="Arial" w:cs="Arial" w:eastAsia="Arial" w:hAnsi="Arial"/>
          <w:sz w:val="17"/>
          <w:szCs w:val="17"/>
          <w:color w:val="auto"/>
        </w:rPr>
        <w:t xml:space="preserve">”) pursuant to the terms of the Warrant Term Sheet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380" w:hanging="328"/>
        <w:spacing w:after="0" w:line="282" w:lineRule="auto"/>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will be a DIP Facility which will consist of a $1.0 billion term loan facility (the “</w:t>
      </w:r>
      <w:r>
        <w:rPr>
          <w:rFonts w:ascii="Arial" w:cs="Arial" w:eastAsia="Arial" w:hAnsi="Arial"/>
          <w:sz w:val="18"/>
          <w:szCs w:val="18"/>
          <w:b w:val="1"/>
          <w:bCs w:val="1"/>
          <w:u w:val="single" w:color="auto"/>
          <w:color w:val="auto"/>
        </w:rPr>
        <w:t>DIP Term Loan Facility</w:t>
      </w:r>
      <w:r>
        <w:rPr>
          <w:rFonts w:ascii="Arial" w:cs="Arial" w:eastAsia="Arial" w:hAnsi="Arial"/>
          <w:sz w:val="18"/>
          <w:szCs w:val="18"/>
          <w:color w:val="auto"/>
        </w:rPr>
        <w:t>”) and a $750 million revolving credit facility (the “</w:t>
      </w:r>
      <w:r>
        <w:rPr>
          <w:rFonts w:ascii="Arial" w:cs="Arial" w:eastAsia="Arial" w:hAnsi="Arial"/>
          <w:sz w:val="18"/>
          <w:szCs w:val="18"/>
          <w:b w:val="1"/>
          <w:bCs w:val="1"/>
          <w:u w:val="single" w:color="auto"/>
          <w:color w:val="auto"/>
        </w:rPr>
        <w:t>DIP Revolving Credit Facility</w:t>
      </w:r>
      <w:r>
        <w:rPr>
          <w:rFonts w:ascii="Arial" w:cs="Arial" w:eastAsia="Arial" w:hAnsi="Arial"/>
          <w:sz w:val="18"/>
          <w:szCs w:val="18"/>
          <w:color w:val="auto"/>
        </w:rPr>
        <w:t>” and together with the DIP Term Loan Facility, the “</w:t>
      </w:r>
      <w:r>
        <w:rPr>
          <w:rFonts w:ascii="Arial" w:cs="Arial" w:eastAsia="Arial" w:hAnsi="Arial"/>
          <w:sz w:val="18"/>
          <w:szCs w:val="18"/>
          <w:b w:val="1"/>
          <w:bCs w:val="1"/>
          <w:u w:val="single" w:color="auto"/>
          <w:color w:val="auto"/>
        </w:rPr>
        <w:t>DIP Facility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DIP Facility will be repaid or refinanced in full upon the Effective Date of the Plan through the Company’s (a) Exit Facility (as defined and described below) and (b) issuance of up to $1.25 billion of New Tranche A Senior Unsecured Notes, which notes issuance will be fully backstopped by the Consenting Noteholders.</w:t>
      </w:r>
    </w:p>
    <w:p>
      <w:pPr>
        <w:spacing w:after="0" w:line="181"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The Restructuring Support Agreement includes certain milestones for the progress of the Chapter 11 Cases, which include the dates by which the Debtors are required to, among other things, obtain certain court orders and complete the Restructuring.</w:t>
      </w:r>
      <w:r>
        <w:rPr>
          <w:rFonts w:ascii="Arial" w:cs="Arial" w:eastAsia="Arial" w:hAnsi="Arial"/>
          <w:sz w:val="23"/>
          <w:szCs w:val="23"/>
          <w:color w:val="auto"/>
          <w:vertAlign w:val="superscript"/>
        </w:rPr>
        <w:t>(4)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Milestone</w:t>
            </w:r>
          </w:p>
        </w:tc>
        <w:tc>
          <w:tcPr>
            <w:tcW w:w="5600" w:type="dxa"/>
            <w:vAlign w:val="bottom"/>
          </w:tcPr>
          <w:p>
            <w:pPr>
              <w:ind w:left="254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Commencement of Chapter 11 Cases</w:t>
            </w: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 later than July 15,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Bermuda Proceedings</w:t>
            </w:r>
          </w:p>
        </w:tc>
        <w:tc>
          <w:tcPr>
            <w:tcW w:w="5600" w:type="dxa"/>
            <w:vAlign w:val="bottom"/>
          </w:tcPr>
          <w:p>
            <w:pPr>
              <w:spacing w:after="0"/>
              <w:rPr>
                <w:sz w:val="20"/>
                <w:szCs w:val="20"/>
                <w:color w:val="auto"/>
              </w:rPr>
            </w:pPr>
            <w:r>
              <w:rPr>
                <w:rFonts w:ascii="Arial" w:cs="Arial" w:eastAsia="Arial" w:hAnsi="Arial"/>
                <w:sz w:val="18"/>
                <w:szCs w:val="18"/>
                <w:color w:val="auto"/>
              </w:rPr>
              <w:t>One calendar day after the Petition Date</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Filing of Chapter 11 Plan, Disclosure Statement, and Solicitation Procedures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One calendar day after the Petition Date</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Motion</w:t>
            </w:r>
          </w:p>
        </w:tc>
        <w:tc>
          <w:tcPr>
            <w:tcW w:w="5600" w:type="dxa"/>
            <w:vAlign w:val="bottom"/>
            <w:shd w:val="clear" w:color="auto" w:fill="CCEEFF"/>
          </w:tcPr>
          <w:p>
            <w:pPr>
              <w:spacing w:after="0"/>
              <w:rPr>
                <w:sz w:val="20"/>
                <w:szCs w:val="20"/>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Entry of interim order approving DIP Motion (as defined below)</w:t>
            </w:r>
          </w:p>
        </w:tc>
        <w:tc>
          <w:tcPr>
            <w:tcW w:w="5600" w:type="dxa"/>
            <w:vAlign w:val="bottom"/>
          </w:tcPr>
          <w:p>
            <w:pPr>
              <w:spacing w:after="0"/>
              <w:rPr>
                <w:sz w:val="20"/>
                <w:szCs w:val="20"/>
                <w:color w:val="auto"/>
              </w:rPr>
            </w:pPr>
            <w:r>
              <w:rPr>
                <w:rFonts w:ascii="Arial" w:cs="Arial" w:eastAsia="Arial" w:hAnsi="Arial"/>
                <w:sz w:val="18"/>
                <w:szCs w:val="18"/>
                <w:color w:val="auto"/>
              </w:rPr>
              <w:t>No later than July 18,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Entry of final order approving DIP Motion</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 after entry of Interim DIP Order</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Commencement of Irish Examinership Proceeding</w:t>
            </w:r>
          </w:p>
        </w:tc>
        <w:tc>
          <w:tcPr>
            <w:tcW w:w="5600" w:type="dxa"/>
            <w:vAlign w:val="bottom"/>
          </w:tcPr>
          <w:p>
            <w:pPr>
              <w:spacing w:after="0"/>
              <w:rPr>
                <w:sz w:val="20"/>
                <w:szCs w:val="20"/>
                <w:color w:val="auto"/>
              </w:rPr>
            </w:pPr>
            <w:r>
              <w:rPr>
                <w:rFonts w:ascii="Arial" w:cs="Arial" w:eastAsia="Arial" w:hAnsi="Arial"/>
                <w:sz w:val="18"/>
                <w:szCs w:val="18"/>
                <w:color w:val="auto"/>
              </w:rPr>
              <w:t>October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Entry of order confirming the Chapter 11 Plan</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 later than September 15, 2019, subject to availability of the Bankruptcy</w:t>
            </w:r>
          </w:p>
        </w:tc>
      </w:tr>
      <w:tr>
        <w:trPr>
          <w:trHeight w:val="230"/>
        </w:trPr>
        <w:tc>
          <w:tcPr>
            <w:tcW w:w="5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Court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40" w:firstLine="8"/>
        <w:spacing w:after="0" w:line="215" w:lineRule="auto"/>
        <w:tabs>
          <w:tab w:leader="none" w:pos="17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The Restructuring Support Agreement was amended by the Debtors and the Consenting Noteholders in June of 2019 to, among other things, amend certain of the milestones, incorporate the Bermuda proceedings, and address certain diligence issues.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w:t>
            </w:r>
          </w:p>
        </w:tc>
        <w:tc>
          <w:tcPr>
            <w:tcW w:w="220" w:type="dxa"/>
            <w:vAlign w:val="bottom"/>
            <w:tcBorders>
              <w:bottom w:val="single" w:sz="8" w:color="CCEEFF"/>
            </w:tcBorders>
          </w:tcPr>
          <w:p>
            <w:pPr>
              <w:spacing w:after="0"/>
              <w:rPr>
                <w:sz w:val="14"/>
                <w:szCs w:val="14"/>
                <w:color w:val="auto"/>
              </w:rPr>
            </w:pPr>
          </w:p>
        </w:tc>
        <w:tc>
          <w:tcPr>
            <w:tcW w:w="55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Deadline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9"/>
              </w:rPr>
              <w:t>Entry of order of the Irish Court approving the Scheme of Arrangement</w:t>
            </w:r>
          </w:p>
        </w:tc>
        <w:tc>
          <w:tcPr>
            <w:tcW w:w="2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1"/>
              </w:rPr>
              <w:t>No later than 70 calendar days after the Examinership Commencement Date</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Chapter 11 Plan Effective Date</w:t>
            </w:r>
          </w:p>
        </w:tc>
        <w:tc>
          <w:tcPr>
            <w:tcW w:w="58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3"/>
              </w:rPr>
              <w:t>No later than fifteen calendar days after entry of the Confirmation Order by</w:t>
            </w:r>
          </w:p>
        </w:tc>
      </w:tr>
      <w:tr>
        <w:trPr>
          <w:trHeight w:val="216"/>
        </w:trPr>
        <w:tc>
          <w:tcPr>
            <w:tcW w:w="5620" w:type="dxa"/>
            <w:vAlign w:val="bottom"/>
          </w:tcPr>
          <w:p>
            <w:pPr>
              <w:spacing w:after="0"/>
              <w:rPr>
                <w:sz w:val="18"/>
                <w:szCs w:val="18"/>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w w:val="92"/>
              </w:rPr>
              <w:t>the Bankruptcy Court and entry of the order of the Irish Court approving the</w:t>
            </w:r>
          </w:p>
        </w:tc>
      </w:tr>
      <w:tr>
        <w:trPr>
          <w:trHeight w:val="230"/>
        </w:trPr>
        <w:tc>
          <w:tcPr>
            <w:tcW w:w="5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Scheme of Arrangement and the Bermuda Scheme</w:t>
            </w:r>
          </w:p>
        </w:tc>
      </w:tr>
    </w:tbl>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Of key importance, the Restructuring Support Agreement provides that the Consenting Noteholders will support the Plan. The Plan provides for a comprehensive restructuring of the Debtors’ prepetition obligations, preserves the going-concern value of the Debtors’ business, maximizes creditor recoveries, provides for an equitable distribution to the Debtors’ stakeholders, and protects the jobs of thousands of employees.</w:t>
      </w:r>
    </w:p>
    <w:p>
      <w:pPr>
        <w:spacing w:after="0" w:line="162"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Amortization Payment and Interest Payments Due Under Prepetition Debt</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Prepetition Credit Agreements provide for interest payments (and in the case of the Prepetition Term Loan Agreement, payments of principal) to be made on each of June 30, September 30, December 31, and March 31 (or in the case of a Eurodollar rate loan, at the end of each interest period) until maturity. Failure to make the interest and/or principal payments, as applicable, on one of the Prepetition Credit Agreements when due will result in an event of default under such Prepetition Credit Agreement and the other Prepetition Credit Agreements. The occurrence of an event of default under the Prepetition Credit Agreements allows the respective administrative agents and lenders to declare each Debtor’s obligations under the Prepetition Credit Agreements immediately due and payable and to exercise such administrative agents’ and lenders’ rights under the Prepetition Credit Agreements.</w:t>
      </w:r>
    </w:p>
    <w:p>
      <w:pPr>
        <w:spacing w:after="0" w:line="161"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A&amp;R Forbearance Agreement</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June of 2019, the Company and Prepetition A&amp;R Credit Agreement Lenders entered into a forbearance agreement (the “</w:t>
      </w:r>
      <w:r>
        <w:rPr>
          <w:rFonts w:ascii="Arial" w:cs="Arial" w:eastAsia="Arial" w:hAnsi="Arial"/>
          <w:sz w:val="17"/>
          <w:szCs w:val="17"/>
          <w:b w:val="1"/>
          <w:bCs w:val="1"/>
          <w:u w:val="single" w:color="auto"/>
          <w:color w:val="auto"/>
        </w:rPr>
        <w:t>A&amp;R Forbearance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with respect to certain defaults under the Prepetition A&amp;R Credit Agreement. Specifically, under the Forbearance Agreement,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A&amp;R Credit Agreement Lenders agreed to forbear from exercising their rights and remedies, including the right to accelerate any indebtedness for a specified period of time. Under the terms of the A&amp;R Forbearance Agreement, the Company will pay a fee for the ratable account of the Prepetition A&amp;R Credit Agreement Lenders in an amount equal to 0.25% on the outstanding principal amount of the loans and total letter of credit exposure under the A&amp;R Credit Agreement, with such fee due and payable on the effective date of the A&amp;R Forbearance Agreement. Additionally, (i) to the extent such entities are not currently guarantors under the Prepetition A&amp;R Credit Agreement, all subsidiaries of the Company who will be guarantors under the DIP Facility will join as guarantors under the Prepetition A&amp;R Credit Agreement; provided that the aggregate amount of all guaranteed obligations and (ii) all U.S. and Canadian subsidiaries of the Company will grant a second lien security interest in favor of the Prepetition A&amp;R Credit Agreement Lenders in the same assets that such U.S. and Canadian subsidiaries are pledging a first lien security interest in under the DIP Facility; provided that the aggregate amount of the guaranteed obligations to be secured under the Prepetition A&amp;R Credit Agreement shall not exceed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3" w:name="page154"/>
    <w:bookmarkEnd w:id="153"/>
    <w:p>
      <w:pPr>
        <w:ind w:right="40"/>
        <w:spacing w:after="0" w:line="264" w:lineRule="auto"/>
        <w:rPr>
          <w:sz w:val="20"/>
          <w:szCs w:val="20"/>
          <w:color w:val="auto"/>
        </w:rPr>
      </w:pPr>
      <w:r>
        <w:rPr>
          <w:rFonts w:ascii="Arial" w:cs="Arial" w:eastAsia="Arial" w:hAnsi="Arial"/>
          <w:sz w:val="18"/>
          <w:szCs w:val="18"/>
          <w:color w:val="auto"/>
        </w:rPr>
        <w:t xml:space="preserve">$100,000,000; provided, further, that if the obligations under the Prepetition A&amp;R Credit Agreement are not paid in full by November 30, 2019, such security interest of the Prepetition A&amp;R Credit Agreement Lenders shall automatically transition from second liens to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liens with the liens under the DIP Facility.</w:t>
      </w:r>
    </w:p>
    <w:p>
      <w:pPr>
        <w:spacing w:after="0" w:line="177"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Formation of Equity Holder Group</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 May of 2019, certain counsel contacted the Company’s legal advisors claiming to represent a group of Holders of Existing Common Stock (the “</w:t>
      </w:r>
      <w:r>
        <w:rPr>
          <w:rFonts w:ascii="Arial" w:cs="Arial" w:eastAsia="Arial" w:hAnsi="Arial"/>
          <w:sz w:val="16"/>
          <w:szCs w:val="16"/>
          <w:b w:val="1"/>
          <w:bCs w:val="1"/>
          <w:u w:val="single" w:color="auto"/>
          <w:color w:val="auto"/>
        </w:rPr>
        <w:t>Equity Holder Group</w:t>
      </w:r>
      <w:r>
        <w:rPr>
          <w:rFonts w:ascii="Arial" w:cs="Arial" w:eastAsia="Arial" w:hAnsi="Arial"/>
          <w:sz w:val="16"/>
          <w:szCs w:val="16"/>
          <w:color w:val="auto"/>
        </w:rPr>
        <w:t>”). According to counsel for the Equity Holder Group, the Equity Holder Group holds approximately 25% of the issued and outstanding common stock of Weatherford Parent. Subsequently, Proskauer Rose LLP was retained as counsel to the Equity Holder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ANTICIPATED EVENTS DURING THE CHAPTER 11 CASE, THE IRISH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EXAMINERSHIP PROCEEDING, AND THE BERMUDA PROCEEDING</w:t>
      </w:r>
    </w:p>
    <w:p>
      <w:pPr>
        <w:spacing w:after="0" w:line="20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CHAPTER 11 FIRST DAY MOTIONS AND CERTAIN RELATED RELIEF</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anticipate filing voluntary petitions for relief under chapter 11 of the Bankruptcy Code on or around July 1, 2019. The filing of the petitions will commence the Chapter 11 Cases at which time the Debtors will be afforded the benefits and become subject to the limitations of the Bankruptcy Code.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Debtors intend to continue operating their businesses in the ordinary course during the pendency of the Chapter 11 Cases as they have been doing prior to the intended Petition Date. To facilitate the efficient and expeditious implementation of the Plan through the Chapter 11 Cases, and to minimize disruptions to the Debtors’ operations on the Petition Date, the Debtors intend to seek to have the Chapter 11 Cases assigned to the same bankruptcy judge and administered jointly and to file various motions seeking important and urgent relief from the Bankruptcy Court. Such relief, if granted, will assist in the administration of the Chapter 11 Cases; however, there can be no assurance that the requested relief will be granted by the Bankruptcy Court.</w:t>
      </w:r>
    </w:p>
    <w:p>
      <w:pPr>
        <w:spacing w:after="0" w:line="154"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First Day Motions and Other Related Relief</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the Petition Date, the Debtors intend to file multiple motions seeking various relief from the Bankruptcy Court and authorizing the Debtors to maintain their operations in the ordinary course. Such relief is designed to ensure a seamless transition between the Debtors’ prepetition and postpetition business operations, facilitate a smooth reorganization through the Chapter 11 Cases, and minimize any disruptions to the Debtors’ operations. The following is a brief overview of the relief the Debtors intend to seek on the Petition Date to maintain their operations in the ordinary course.</w:t>
      </w:r>
    </w:p>
    <w:p>
      <w:pPr>
        <w:spacing w:after="0" w:line="154" w:lineRule="exact"/>
        <w:rPr>
          <w:sz w:val="20"/>
          <w:szCs w:val="20"/>
          <w:color w:val="auto"/>
        </w:rPr>
      </w:pPr>
    </w:p>
    <w:p>
      <w:pPr>
        <w:ind w:left="1940" w:hanging="635"/>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First Day Motions</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Recognizing that any interruption of the Debtors’ business, even for a brief period of time, would negatively impact their operations, customer relationships, revenue and profits, the Debtors intend to file a number of motions to help stabilize their operations and effectuate, as much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4" w:name="page155"/>
    <w:bookmarkEnd w:id="154"/>
    <w:p>
      <w:pPr>
        <w:ind w:right="780"/>
        <w:spacing w:after="0" w:line="277" w:lineRule="auto"/>
        <w:rPr>
          <w:sz w:val="20"/>
          <w:szCs w:val="20"/>
          <w:color w:val="auto"/>
        </w:rPr>
      </w:pPr>
      <w:r>
        <w:rPr>
          <w:rFonts w:ascii="Arial" w:cs="Arial" w:eastAsia="Arial" w:hAnsi="Arial"/>
          <w:sz w:val="18"/>
          <w:szCs w:val="18"/>
          <w:color w:val="auto"/>
        </w:rPr>
        <w:t>possible, a smooth transition into operations as debtors in possession. Specifically, the Debtors will request that the Bankruptcy Court enter orders authorizing the Debtors to:</w:t>
      </w:r>
    </w:p>
    <w:p>
      <w:pPr>
        <w:spacing w:after="0" w:line="170" w:lineRule="exact"/>
        <w:rPr>
          <w:sz w:val="20"/>
          <w:szCs w:val="20"/>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and administer customer programs and honor their obligations arising under or relating to those customer programs;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insurance coverage, including performance under its insurance financing agreements, and enter into new insurance policies, if necessary;</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procedures to protect certain tax attributes, including stock trading restrictions, and establish record date and sell-down procedures for trading claims; and</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their existing cash management system, maintain existing bank accounts and continue entering into certain intercompany transactions among the Debtors and with their non-debtor affiliates.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Motion to Approve Debtor in Possession Financing</w:t>
      </w:r>
    </w:p>
    <w:p>
      <w:pPr>
        <w:spacing w:after="0" w:line="221"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The Debtors intend to file a motion (the “</w:t>
      </w:r>
      <w:r>
        <w:rPr>
          <w:rFonts w:ascii="Arial" w:cs="Arial" w:eastAsia="Arial" w:hAnsi="Arial"/>
          <w:sz w:val="16"/>
          <w:szCs w:val="16"/>
          <w:b w:val="1"/>
          <w:bCs w:val="1"/>
          <w:u w:val="single" w:color="auto"/>
          <w:color w:val="auto"/>
        </w:rPr>
        <w:t>DIP Motion</w:t>
      </w:r>
      <w:r>
        <w:rPr>
          <w:rFonts w:ascii="Arial" w:cs="Arial" w:eastAsia="Arial" w:hAnsi="Arial"/>
          <w:sz w:val="16"/>
          <w:szCs w:val="16"/>
          <w:color w:val="auto"/>
        </w:rPr>
        <w:t>”) to approve the DIP Facility and the use of cash collateral. The Debtors will be entering chapter 11 with minimal cash on hand. Access to the DIP Facility and the use of Cash Collateral (as such term is defined in section 363(a) of the Bankruptcy Code) is critical to ensure that the Debtors have sufficient liquidity to operate their business and administer their estates during these Chapter 11 Cases.</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address their working capital needs and fund their reorganization efforts, in the months leading up to the Petition Date, the Debtors and their advisors solicited interest in providing the DIP Facility from various parties including major banks that were current holders of the Debtors’ prepetition credit facilities. Each of the lenders submitted initial non-binding term sheets. The Debtors, with the help of their advisors, evaluated each of the proposals and considered each potential lender’s indicative proposed economics, perceived ability to fully commit and underwrite the entire facility if needed, financing structure, perceived deal risk, market flex, and proposed covenants, among other factors. The Debtors submitted counterproposals to each of the term sheets and received updated proposals from four potential lenders. The Debtors, with assistance from their advisors, then undertook similar quantitative and qualitative analyses to compare the updated proposals. Based on these analyses, the Debtors and their advisors determined that the current proposed DIP Facility was the best option reasonably available under the totality of the circumstances. The Debtors and their advisors negotiated the terms of the proposed DIP Facility with the DIP Lenders in good faith and at arm’s-length.</w:t>
      </w:r>
    </w:p>
    <w:p>
      <w:pPr>
        <w:spacing w:after="0" w:line="182"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Motion to Authorize Hedging Program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the ordinary course of business, the Debtors have historically entered into financial derivative contracts primarily to hedge the Debtors’ exposure to foreign exchange rate risks to their cash flows. To that end, shortly after commencement of the Chapter 11 Cases, the Debtors intend to file a motion requesting that the Bankruptcy Court enter an order authorizing the Debtors to, among other things, perform under existing financial derivative contracts, enter into and perform under new postpetition financial derivative contracts, and in each case grant counterparties to such contracts superpriority administrative expense claims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superpriority administrative expense claims provided under the DIP Order.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55" w:name="page156"/>
    <w:bookmarkEnd w:id="155"/>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Other Procedural Motions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To facilitate a smooth and efficient administration of the Chapter 11 Cases, the Debtors intend to file several other motions that are common to chapter 11 cases of similar size and complexity as the Chapter 11 Cases, including applications to retain various professionals to assist the Debtors in the Chapter 11 Cases.</w:t>
      </w:r>
    </w:p>
    <w:p>
      <w:pPr>
        <w:spacing w:after="0" w:line="17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 Motion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Contemporaneously with the filing of their chapter 11 petitions, the Debtors will seek an order of the Bankruptcy Court scheduling a hearing to conditionally approve the Disclosure Statement for purposes of soliciting the Holders of Existing Common Stock and the Solicitation in connection therewith, and scheduling the Confirmation Hearing to consider the adequacy of the Disclosure Statement and confirmation of the Plan (the “</w:t>
      </w:r>
      <w:r>
        <w:rPr>
          <w:rFonts w:ascii="Arial" w:cs="Arial" w:eastAsia="Arial" w:hAnsi="Arial"/>
          <w:sz w:val="18"/>
          <w:szCs w:val="18"/>
          <w:b w:val="1"/>
          <w:bCs w:val="1"/>
          <w:u w:val="single" w:color="auto"/>
          <w:color w:val="auto"/>
        </w:rPr>
        <w:t>Solicitation Procedures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Motion</w:t>
      </w:r>
      <w:r>
        <w:rPr>
          <w:rFonts w:ascii="Arial" w:cs="Arial" w:eastAsia="Arial" w:hAnsi="Arial"/>
          <w:sz w:val="18"/>
          <w:szCs w:val="18"/>
          <w:color w:val="auto"/>
        </w:rPr>
        <w:t>”). Notice of these hearings will be published and mailed to all known holders of Claims and Equity Interests in accordance with orders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Court to be requested by the Debtors.</w:t>
      </w:r>
    </w:p>
    <w:p>
      <w:pPr>
        <w:spacing w:after="0" w:line="184"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Chapter 11 Cases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the Restructuring Support Agreement, the Debtors have agreed to proceed with the implementation of the Plan through the Chapter 11 Cases. The milestones contained in the Restructuring Support Agreement are described in section II.D.5. Achieving the various milestones under the Restructuring Support Agreement is crucial to successfully reorganizing the Debtors.</w:t>
      </w:r>
    </w:p>
    <w:p>
      <w:pPr>
        <w:spacing w:after="0" w:line="177"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and Backstop Commitment Agreement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the Initial Distribution Date, either Weatherford Delaware or Weatherford Bermuda will issue the New Tranche A Senior Unsecured Notes up to an aggregate principal amount of up to $1.25 billion, which will be offered Pro Rata to all holders of Allowed Prepetition Notes Claims through a rights offering (the “</w:t>
      </w:r>
      <w:r>
        <w:rPr>
          <w:rFonts w:ascii="Arial" w:cs="Arial" w:eastAsia="Arial" w:hAnsi="Arial"/>
          <w:sz w:val="16"/>
          <w:szCs w:val="16"/>
          <w:b w:val="1"/>
          <w:bCs w:val="1"/>
          <w:u w:val="single" w:color="auto"/>
          <w:color w:val="auto"/>
        </w:rPr>
        <w:t>Rights Offering</w:t>
      </w:r>
      <w:r>
        <w:rPr>
          <w:rFonts w:ascii="Arial" w:cs="Arial" w:eastAsia="Arial" w:hAnsi="Arial"/>
          <w:sz w:val="16"/>
          <w:szCs w:val="16"/>
          <w:color w:val="auto"/>
        </w:rPr>
        <w:t xml:space="preserve">”), which will be fully backstopped by the Backstop Parties pursuant to the Backstop Commitment Agreement which is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The Debtors expect to commence the Rights Offering following confirmation of the Plan. The procedures for soliciting participation from the holders of the Prepetition Notes in the Rights Offering (the “</w:t>
      </w:r>
      <w:r>
        <w:rPr>
          <w:rFonts w:ascii="Arial" w:cs="Arial" w:eastAsia="Arial" w:hAnsi="Arial"/>
          <w:sz w:val="16"/>
          <w:szCs w:val="16"/>
          <w:b w:val="1"/>
          <w:bCs w:val="1"/>
          <w:u w:val="single" w:color="auto"/>
          <w:color w:val="auto"/>
        </w:rPr>
        <w:t>Rights Offering Procedures</w:t>
      </w:r>
      <w:r>
        <w:rPr>
          <w:rFonts w:ascii="Arial" w:cs="Arial" w:eastAsia="Arial" w:hAnsi="Arial"/>
          <w:sz w:val="16"/>
          <w:szCs w:val="16"/>
          <w:color w:val="auto"/>
        </w:rPr>
        <w:t>”) will be attached to the Confirmation Order.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Backstop Commitment Agreement generally provides as follows:</w:t>
      </w:r>
    </w:p>
    <w:p>
      <w:pPr>
        <w:spacing w:after="0" w:line="225" w:lineRule="exact"/>
        <w:rPr>
          <w:sz w:val="20"/>
          <w:szCs w:val="20"/>
          <w:color w:val="auto"/>
        </w:rPr>
      </w:pPr>
    </w:p>
    <w:p>
      <w:pPr>
        <w:ind w:left="98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Backstop Party agrees to purchase its Commitment Percentage (as defined in the Backstop Commitment Agreement) of the New Tranche A Senior Unsecured Notes that have not been subscribed for in the Rights Offering.</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consideration for the foregoing, the Backstop Parties have received the Backstop Commitment Premium (as defined in the Backstop Commitment Agreement).</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Backstop Parties will be entitled to have all of the reasonable and documented out-of-pocket fees and expenses of their advisors paid by the Debtors.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6" w:name="page157"/>
    <w:bookmarkEnd w:id="156"/>
    <w:p>
      <w:pPr>
        <w:ind w:left="980" w:right="160" w:hanging="324"/>
        <w:spacing w:after="0" w:line="277" w:lineRule="auto"/>
        <w:tabs>
          <w:tab w:leader="none" w:pos="9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Backstop Parties will be entitled to a termination fee payment in an amount equal to the Backstop Commitment Premium, payable in cash, under certain circumstances if the Backstop Commitment Agreement is terminated.</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Because the Backstop Commitment Agreement facilitates the success of the Rights Offering and thereby significantly reduces the financing risks associated with consummation of the Plan, the Debtors submit, in their business judgment, that the payments are fair and reasonable.</w:t>
      </w:r>
    </w:p>
    <w:p>
      <w:pPr>
        <w:spacing w:after="0" w:line="143"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Holders of Existing Common Stock will receive three-year warrants for 10.0% of the New Common Stock to be issued by Reorganized Parent, which will be subject to dilution on account of the equity issued pursuant to the New Management Incentive Plan and the Tranche B Equity Conversion, with a strike price to be set at an equity value at which the Prepetition Noteholders would receive a recovery equal to par plus accrued and unpaid interest as of the Petition Date in respect of the Prepetition Notes.</w:t>
      </w:r>
    </w:p>
    <w:p>
      <w:pPr>
        <w:spacing w:after="0" w:line="183"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Debtors intend to begin marketing for secured commitments for an exit facility (the “</w:t>
      </w:r>
      <w:r>
        <w:rPr>
          <w:rFonts w:ascii="Arial" w:cs="Arial" w:eastAsia="Arial" w:hAnsi="Arial"/>
          <w:sz w:val="18"/>
          <w:szCs w:val="18"/>
          <w:b w:val="1"/>
          <w:bCs w:val="1"/>
          <w:u w:val="single" w:color="auto"/>
          <w:color w:val="auto"/>
        </w:rPr>
        <w:t>Exit Facility</w:t>
      </w:r>
      <w:r>
        <w:rPr>
          <w:rFonts w:ascii="Arial" w:cs="Arial" w:eastAsia="Arial" w:hAnsi="Arial"/>
          <w:sz w:val="18"/>
          <w:szCs w:val="18"/>
          <w:color w:val="auto"/>
        </w:rPr>
        <w:t>”) which will be provided to the Reorganized Debtors on the Effective Date consisting of a first lien revolving credit facility in the principal amount of up to $1.00 billion. The proceeds of the Exit Facility will be used to fund general working capital needs and for general corporate purposes of Reorganized Weatherford, subject to the terms of the Exit Facility Credit Agreement.</w:t>
      </w:r>
    </w:p>
    <w:p>
      <w:pPr>
        <w:spacing w:after="0" w:line="180"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Internal Reorganizations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the Plan, Weatherford intends to carry out certain internal reorganizations (“</w:t>
      </w:r>
      <w:r>
        <w:rPr>
          <w:rFonts w:ascii="Arial" w:cs="Arial" w:eastAsia="Arial" w:hAnsi="Arial"/>
          <w:sz w:val="17"/>
          <w:szCs w:val="17"/>
          <w:b w:val="1"/>
          <w:bCs w:val="1"/>
          <w:u w:val="single" w:color="auto"/>
          <w:color w:val="auto"/>
        </w:rPr>
        <w:t>Internal Reorganizations</w:t>
      </w:r>
      <w:r>
        <w:rPr>
          <w:rFonts w:ascii="Arial" w:cs="Arial" w:eastAsia="Arial" w:hAnsi="Arial"/>
          <w:sz w:val="17"/>
          <w:szCs w:val="17"/>
          <w:color w:val="auto"/>
        </w:rPr>
        <w:t xml:space="preserve">”). The Internal Reorganizations are intended to be effected substantially in accordance with those transaction steps outlined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Reorganization Steps Overview</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Description of Reorganization Steps</w:t>
      </w:r>
      <w:r>
        <w:rPr>
          <w:rFonts w:ascii="Arial" w:cs="Arial" w:eastAsia="Arial" w:hAnsi="Arial"/>
          <w:sz w:val="17"/>
          <w:szCs w:val="17"/>
          <w:color w:val="auto"/>
        </w:rPr>
        <w:t xml:space="preserve">”) is intended as an illustrative example of specific reorganization steps by which Weatherford Parent may effect the Internal Reorganizations. There can be no assurance that all or any of the reorganization steps outlined in the Reorganization Steps Overview or described in the Description of Reorganization Steps will actually occur or, if they do occur, will occur in the order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J</w:t>
      </w:r>
      <w:r>
        <w:rPr>
          <w:rFonts w:ascii="Arial" w:cs="Arial" w:eastAsia="Arial" w:hAnsi="Arial"/>
          <w:sz w:val="17"/>
          <w:szCs w:val="17"/>
          <w:color w:val="auto"/>
        </w:rPr>
        <w:t>, as applicable. In addition, the Internal Reorganizations may be effected by means of steps not outlined in the Reorganization Steps Overview or the Description of Reorganization Steps. The Internal Reorganizations are intended to take place during the period following the confirmation of the Plan and ending on and including the Effective Date, but the actual timing of the steps comprising the Internal Reorganizations is uncertain and certain steps may occur, if at all, prior to confirmation of the Plan or after the Effective Date.</w:t>
      </w:r>
    </w:p>
    <w:p>
      <w:pPr>
        <w:spacing w:after="0" w:line="17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PERIOD FOR FILING A CHAPTER 11 PLAN AND SOLICITING VOTES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Bankruptcy Code, a debtor has the exclusive right to file and solicit acceptances of a plan or plans of reorganization for an initial period of 120 days from the date on which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7" w:name="page158"/>
    <w:bookmarkEnd w:id="157"/>
    <w:p>
      <w:pPr>
        <w:jc w:val="both"/>
        <w:ind w:right="20"/>
        <w:spacing w:after="0" w:line="264" w:lineRule="auto"/>
        <w:rPr>
          <w:sz w:val="20"/>
          <w:szCs w:val="20"/>
          <w:color w:val="auto"/>
        </w:rPr>
      </w:pPr>
      <w:r>
        <w:rPr>
          <w:rFonts w:ascii="Arial" w:cs="Arial" w:eastAsia="Arial" w:hAnsi="Arial"/>
          <w:sz w:val="18"/>
          <w:szCs w:val="18"/>
          <w:color w:val="auto"/>
        </w:rPr>
        <w:t>debtor filed for voluntary relief. If a debtor files a plan within this exclusive period, then the debtor has the exclusive right for 180 days from the petition date to solicit acceptances to the plan. During these exclusive periods, no other party in interest may file a competing plan of reorganization; however, a court may extend these periods upon request of a party in interest and “for cause.”</w:t>
      </w:r>
    </w:p>
    <w:p>
      <w:pPr>
        <w:spacing w:after="0" w:line="17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THE IRISH EXAMINERSHIP PROCEEDING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accordance with the Restructuring Support Agreement, Weatherford Parent anticipates filing a petition for the appointment of an examiner to itself under part 10 of the Companies Act 2014 (Ireland) following confirmation of the Plan (the “</w:t>
      </w:r>
      <w:r>
        <w:rPr>
          <w:rFonts w:ascii="Arial" w:cs="Arial" w:eastAsia="Arial" w:hAnsi="Arial"/>
          <w:sz w:val="18"/>
          <w:szCs w:val="18"/>
          <w:b w:val="1"/>
          <w:bCs w:val="1"/>
          <w:u w:val="single" w:color="auto"/>
          <w:color w:val="auto"/>
        </w:rPr>
        <w:t>Irish Examinership Proceeding</w:t>
      </w:r>
      <w:r>
        <w:rPr>
          <w:rFonts w:ascii="Arial" w:cs="Arial" w:eastAsia="Arial" w:hAnsi="Arial"/>
          <w:sz w:val="18"/>
          <w:szCs w:val="18"/>
          <w:color w:val="auto"/>
        </w:rPr>
        <w:t>”). The filing of the petition will commence the protection period during which Weatherford Parent will, under Irish law, have the benefit of protection against enforcement and other actions by its creditors for a period of up to 100 calendar days. Weatherford Parent intends to apply on the same date as the filing of the petition to the High Court of Ireland for the appointment of an examiner to itself on an interim basis pending the hearing of the petition which is likely to take place between one and two weeks after filing.</w:t>
      </w:r>
    </w:p>
    <w:p>
      <w:pPr>
        <w:spacing w:after="0" w:line="1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Weatherford Parent intends to continue operating its business in the ordinary course during the protection period, save that an examiner will be in place whose primary function will be to seek approval for its proposals for a scheme of arrangement in relation to Weatherford Parent (the “</w:t>
      </w:r>
      <w:r>
        <w:rPr>
          <w:rFonts w:ascii="Arial" w:cs="Arial" w:eastAsia="Arial" w:hAnsi="Arial"/>
          <w:sz w:val="18"/>
          <w:szCs w:val="18"/>
          <w:b w:val="1"/>
          <w:bCs w:val="1"/>
          <w:u w:val="single" w:color="auto"/>
          <w:color w:val="auto"/>
        </w:rPr>
        <w:t>Scheme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Arrangement</w:t>
      </w:r>
      <w:r>
        <w:rPr>
          <w:rFonts w:ascii="Arial" w:cs="Arial" w:eastAsia="Arial" w:hAnsi="Arial"/>
          <w:sz w:val="18"/>
          <w:szCs w:val="18"/>
          <w:color w:val="auto"/>
        </w:rPr>
        <w:t>”).</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Weatherford Parent believes that the terms of the proposals for a scheme of arrangement which will accompany the petition to have an examiner appointed to Weatherford Parent will, inter alia, deal with the: (i) cancellation of all Existing Common Stock; (ii) issue of New Common Stock and New Warrants to the Holders of Existing Common Stock; and (iii) issue of New Common Stock and New Tranche B Senior Unsecured Notes to the holders of Allowed Prepetition Notes Claims each on terms consistent with the Plan. Weatherford Parent is a guarantor of the Prepetition Revolving Credit Claims, the Prepetition Term Loan Claims, the Prepetition A&amp;R Claims and the Prepetition Note Claims, all of which are expected to be treated in the same way in the Scheme of Arrangement as in the Plan.</w:t>
      </w:r>
    </w:p>
    <w:p>
      <w:pPr>
        <w:spacing w:after="0" w:line="189"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Petition Hearing</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the petition hearing date, Weatherford Parent will apply to have the examiner’s appointment confirmed. Weatherford Parent will be required to establish that it is insolvent and that there is a reasonable prospect of the survival of both the company and its undertaking. It is intended that the petition will be accompanied by the Scheme of Arrangement.</w:t>
      </w:r>
    </w:p>
    <w:p>
      <w:pPr>
        <w:spacing w:after="0" w:line="177"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Proposals for the Scheme of Arrangement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examiner will convene meetings of classes of creditors and the shareholders of Weatherford Parent. The Scheme of Arrangement is required to be approved by in excess of 50% plus one in value and in number of at least one class of impaired creditors. The Prepetition Notes Claims class will be the only impaired class of creditors in the Scheme of Arrangement.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8" w:name="page159"/>
    <w:bookmarkEnd w:id="158"/>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Approval by the High Court of Ireland</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Once the requisite creditor class has voted in favor of the Scheme of Arrangement, the examiner will file a report containing details of the outcome of the votes of the class meetings with the High Court of Ireland and apply to the High Court of Ireland for a hearing date to confirm the Scheme of Arrangement. At such hearing the examiner will be required to establish that the proposals are fair and equitable to any class of creditors which has not accepted the proposals and whose interests would be impaired by the proposals and that the proposals are not unfairly prejudicial to the interests of any interested party.</w:t>
      </w:r>
    </w:p>
    <w:p>
      <w:pPr>
        <w:spacing w:after="0" w:line="184"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Timetable for Irish Examinership Proceeding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Irish Examinership Proceeding is a milestone under the Restructuring Support Agreement as described in section II.D.5 above.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Alternatively, Weatherford Parent may commence an alternative proceeding or implement an alternative structure that is reasonably acceptable to the Required Consenting Noteholders.</w:t>
      </w:r>
    </w:p>
    <w:p>
      <w:pPr>
        <w:spacing w:after="0" w:line="166"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PROCEEDING</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implement the foregoing restructuring, in parallel with these Chapter 11 Cases, and contemporaneously with the Debtors’ commencing these Chapter 11 Cases, Weatherford Bermuda (the “</w:t>
      </w:r>
      <w:r>
        <w:rPr>
          <w:rFonts w:ascii="Arial" w:cs="Arial" w:eastAsia="Arial" w:hAnsi="Arial"/>
          <w:sz w:val="17"/>
          <w:szCs w:val="17"/>
          <w:b w:val="1"/>
          <w:bCs w:val="1"/>
          <w:u w:val="single" w:color="auto"/>
          <w:color w:val="auto"/>
        </w:rPr>
        <w:t>Bermuda Debtor</w:t>
      </w:r>
      <w:r>
        <w:rPr>
          <w:rFonts w:ascii="Arial" w:cs="Arial" w:eastAsia="Arial" w:hAnsi="Arial"/>
          <w:sz w:val="17"/>
          <w:szCs w:val="17"/>
          <w:color w:val="auto"/>
        </w:rPr>
        <w:t xml:space="preserve">”) expects to commence “provisional liquidation” proceedings (the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rPr>
        <w:t>Bermuda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Proceedings</w:t>
      </w:r>
      <w:r>
        <w:rPr>
          <w:rFonts w:ascii="Arial" w:cs="Arial" w:eastAsia="Arial" w:hAnsi="Arial"/>
          <w:sz w:val="17"/>
          <w:szCs w:val="17"/>
          <w:color w:val="auto"/>
        </w:rPr>
        <w:t>”) pursuant to sections 161 and 170 of the Companies Act 1981 of Bermuda by presenting a “winding up” petition to the Supreme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Bermuda (the “</w:t>
      </w:r>
      <w:r>
        <w:rPr>
          <w:rFonts w:ascii="Arial" w:cs="Arial" w:eastAsia="Arial" w:hAnsi="Arial"/>
          <w:sz w:val="17"/>
          <w:szCs w:val="17"/>
          <w:b w:val="1"/>
          <w:bCs w:val="1"/>
          <w:u w:val="single" w:color="auto"/>
          <w:color w:val="auto"/>
        </w:rPr>
        <w:t>Bermuda Court</w:t>
      </w:r>
      <w:r>
        <w:rPr>
          <w:rFonts w:ascii="Arial" w:cs="Arial" w:eastAsia="Arial" w:hAnsi="Arial"/>
          <w:sz w:val="17"/>
          <w:szCs w:val="17"/>
          <w:color w:val="auto"/>
        </w:rPr>
        <w:t>”). Upon the application of the Bermuda Debtor, the Bermuda Court will be requested to appoint one or more “provisional liquidators” over the Bermuda Debtor to facilitate the restructuring of the Bermuda Debtor in its chapter 11 case. The provisional liquidator(s) act as officers of the Bermuda Court, and will be required under the Bermuda Court’s order to report to the Bermuda Court from time to time on the progress of the Bermuda Debtor’s chapter 11 proceedings. The Bermuda Debtor’s application will also seek to limit the provisional liquidator(s)’ powers such that the Bermuda Debtor’s management team and boards of directors will remain in control of the Bermuda Debtor’s day-to-day operations and its chapter 11 case and the provisional liquidators will have the power to oversee the process, including the review of documents. Upon the appointment of provisional liquidators in respect of the Bermuda Debtor, a statutory stay of proceedings in Bermuda against the Bermuda Debtor or its assets will automatically arise. On the “return date” for the Bermuda petition—similar to a “second day” hearing in a chapter 11 proceeding—the Bermuda Debtor will seek to postpone its petition for a specified period, while the Bermuda Debtor administers its Chapter 11 Cases.</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Prior to the Effective Date the Bermuda Debtor may, along with the provisional liquidator and subject to the direction of the Supreme Court of Bermuda, convene meetings of the impaired creditors in order to consider and if thought fit approve a scheme of arrangement pursuant to the Companies Act 1981 of Bermuda (the “</w:t>
      </w:r>
      <w:r>
        <w:rPr>
          <w:rFonts w:ascii="Arial" w:cs="Arial" w:eastAsia="Arial" w:hAnsi="Arial"/>
          <w:sz w:val="18"/>
          <w:szCs w:val="18"/>
          <w:b w:val="1"/>
          <w:bCs w:val="1"/>
          <w:u w:val="single" w:color="auto"/>
          <w:color w:val="auto"/>
        </w:rPr>
        <w:t>Bermuda Scheme</w:t>
      </w:r>
      <w:r>
        <w:rPr>
          <w:rFonts w:ascii="Arial" w:cs="Arial" w:eastAsia="Arial" w:hAnsi="Arial"/>
          <w:sz w:val="18"/>
          <w:szCs w:val="18"/>
          <w:color w:val="auto"/>
        </w:rPr>
        <w:t>”).</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It is anticipated that a terms of the Bermuda Scheme will mirror the terms of the Plan. A Bermuda Scheme is a mechanism for ensuring that all of the impaired creditors of the Bermuda Debtor are bound by the terms of the Plan and will be binding on impaired creditors after (i) 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59" w:name="page160"/>
    <w:bookmarkEnd w:id="159"/>
    <w:p>
      <w:pPr>
        <w:ind w:right="120"/>
        <w:spacing w:after="0" w:line="312" w:lineRule="auto"/>
        <w:rPr>
          <w:sz w:val="20"/>
          <w:szCs w:val="20"/>
          <w:color w:val="auto"/>
        </w:rPr>
      </w:pPr>
      <w:r>
        <w:rPr>
          <w:rFonts w:ascii="Arial" w:cs="Arial" w:eastAsia="Arial" w:hAnsi="Arial"/>
          <w:sz w:val="16"/>
          <w:szCs w:val="16"/>
          <w:color w:val="auto"/>
        </w:rPr>
        <w:t>majority in number of those impaired creditors voting, representing three-quarters in value of those voting, vote in person or by proxy in favor of the scheme at a meeting convened at the direction of the court for the purpose of considering the Bermuda Scheme; and (ii) the Bermuda Court subsequently makes an order approving the Bermuda Scheme; and (iii) a copy of that order is delivered to the Registrar of Companies in Bermuda for registration.</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impaired creditors who have claims in Class 7 in both the Plan and a Bermuda Scheme will be asked to vote on both the Plan and the Bermuda Scheme, they will only receive a single distribution in respect of such a claim if allowed. Impaired creditors who have claimed only in a Bermuda Scheme will not be prejudiced as a result and will receive a single distribution in the same way as all other claims which are allowed under a Bermuda Scheme and the Plan.</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Bermuda Scheme and the Plan are expected to be inter-conditional; one is expected not to become effective without the other. Impaired creditors should expect to receive a separate circular explaining the Bermuda Scheme. It is anticipated that the meeting to consider the Bermuda Scheme will be held after the meetings convened to vote on the Plan.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Alternatively, instead of a Bermuda Scheme, after the Confirmation of the Plan by the Bankruptcy Court, applications may be made by the Bermuda Debtor and the provisional liquidator(s) to the Bermuda Court seeking orders that, conditional upon the Confirmation Order, (i) the Bermuda Court recognize the Confirmation Order as a matter of Bermuda law; (ii) the Bermuda Court permanently restrain creditors and shareholders of the Bermuda Debtor from pursing claims against the Bermuda Debtor in breach of their obligations under the chapter 11 plan; and (iii) the Bermuda Court dismiss the winding up petition, thereby removing the provisional liquidators from office and terminating the Bermuda Proceedings.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SUMMARY OF THE PLAN</w:t>
      </w:r>
    </w:p>
    <w:p>
      <w:pPr>
        <w:spacing w:after="0" w:line="207"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 xml:space="preserve">This section of the Disclosure Statement summarized the Plan, a copy of which is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This summary is qualified in its entirety by reference to the Plan. </w:t>
      </w:r>
      <w:r>
        <w:rPr>
          <w:rFonts w:ascii="Arial" w:cs="Arial" w:eastAsia="Arial" w:hAnsi="Arial"/>
          <w:sz w:val="18"/>
          <w:szCs w:val="18"/>
          <w:b w:val="1"/>
          <w:bCs w:val="1"/>
          <w:color w:val="auto"/>
        </w:rPr>
        <w:t>YOU SHOULD READ THE PLAN IN ITS ENTIRETY BEFORE VOTING TO ACCEPT OR REJECT THE</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general, a chapter 11 plan (1) divided claims and equity interests into separate classes, (2) specifies the consideration that each class is to receive under the plan and (3) contains other provisions necessary to implement the plan. Under the Bankruptcy Code, “claims” and “equity interests,” rather than “creditors” and “shareholders,” are classified because creditors and shareholders may hold claims and equity interests in more than one class. Under section 1124 of the Bankruptcy Code, a class of claims is “impaired” under a plan unless the plan (1) leaves unaltered the legal, equitable, and contractual rights of each holder of a claim in such class or (2) provides, among other things, for the cure of certain existing defaults and reinstatement of the maturity of claims in such class. Under the Plan, Classes 7, 10, and 12 are impaired, and holders of Claims or Interests in such Classes are entitled to vote to accept or reject the Plan unless such Classes of Claims or Interests are deemed to reject the Plan (e.g., Class 12) or subject to an objection filed by the Debtors. Ballots are being furnished herewith to all holders of Claims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0" w:name="page161"/>
    <w:bookmarkEnd w:id="160"/>
    <w:p>
      <w:pPr>
        <w:ind w:right="80"/>
        <w:spacing w:after="0" w:line="277" w:lineRule="auto"/>
        <w:rPr>
          <w:sz w:val="20"/>
          <w:szCs w:val="20"/>
          <w:color w:val="auto"/>
        </w:rPr>
      </w:pPr>
      <w:r>
        <w:rPr>
          <w:rFonts w:ascii="Arial" w:cs="Arial" w:eastAsia="Arial" w:hAnsi="Arial"/>
          <w:sz w:val="18"/>
          <w:szCs w:val="18"/>
          <w:color w:val="auto"/>
        </w:rPr>
        <w:t>Classes 7 and 10 that are entitled to vote to facilitate their voting to accept or reject the Plan. Class 12 is deemed to reject the Plan, and, therefore, holders of Claims or Interests in such Class will not vote on the Plan.</w:t>
      </w:r>
    </w:p>
    <w:p>
      <w:pPr>
        <w:spacing w:after="0" w:line="16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DIP FACILITY, AND PRIORITY TAX CLAIMS</w:t>
      </w:r>
    </w:p>
    <w:p>
      <w:pPr>
        <w:spacing w:after="0" w:line="22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Claims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(a)</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1940" w:hanging="635"/>
        <w:spacing w:after="0"/>
        <w:tabs>
          <w:tab w:leader="none" w:pos="19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the Plan, in each case without further application or notice to or order of the Bankruptcy Court.</w:t>
      </w:r>
    </w:p>
    <w:p>
      <w:pPr>
        <w:spacing w:after="0" w:line="158"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the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1" w:name="page162"/>
    <w:bookmarkEnd w:id="161"/>
    <w:p>
      <w:pPr>
        <w:ind w:right="520"/>
        <w:spacing w:after="0" w:line="277" w:lineRule="auto"/>
        <w:rPr>
          <w:sz w:val="20"/>
          <w:szCs w:val="20"/>
          <w:color w:val="auto"/>
        </w:rPr>
      </w:pPr>
      <w:r>
        <w:rPr>
          <w:rFonts w:ascii="Arial" w:cs="Arial" w:eastAsia="Arial" w:hAnsi="Arial"/>
          <w:sz w:val="18"/>
          <w:szCs w:val="18"/>
          <w:color w:val="auto"/>
        </w:rPr>
        <w:t>Claims, such Professionals will have an Allowed Administrative Claim for any such deficiency, which will be satisfied in full in Cash accordance with Article II.A of the Plan.</w:t>
      </w:r>
    </w:p>
    <w:p>
      <w:pPr>
        <w:spacing w:after="0" w:line="16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DIP Facility Claims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4"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Priority Tax Claims</w:t>
      </w:r>
    </w:p>
    <w:p>
      <w:pPr>
        <w:spacing w:after="0" w:line="229" w:lineRule="exact"/>
        <w:rPr>
          <w:sz w:val="20"/>
          <w:szCs w:val="20"/>
          <w:color w:val="auto"/>
        </w:rPr>
      </w:pPr>
    </w:p>
    <w:p>
      <w:pPr>
        <w:ind w:right="40" w:firstLine="662"/>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of the Plan,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2" w:name="page163"/>
    <w:bookmarkEnd w:id="162"/>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CLASSIFIED CLAIMS AND EQUITY INTERESTS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Plan constitutes a separate plan of reorganization for each Debtor. All Claims and Equity Interests, except Administrative Claims, DIP Facility Claims, and Priority Tax Claims, are placed in the Classes set forth below. For all purposes under the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of the Plan.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The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Claim/Equity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30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Tax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Revolving Credit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Term Loan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Prepetition A&amp;R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Prepetition Notes Claims</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30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Unsecured Claims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Claims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16"/>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300" w:type="dxa"/>
            <w:vAlign w:val="bottom"/>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(5)</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Entitled to Vote</w:t>
            </w:r>
          </w:p>
        </w:tc>
      </w:tr>
      <w:tr>
        <w:trPr>
          <w:trHeight w:val="216"/>
        </w:trPr>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3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Equity Interests</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Unimpaired</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Deemed to Accept</w:t>
            </w:r>
          </w:p>
        </w:tc>
      </w:tr>
      <w:tr>
        <w:trPr>
          <w:trHeight w:val="230"/>
        </w:trPr>
        <w:tc>
          <w:tcPr>
            <w:tcW w:w="20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30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Unexercised Equity Interests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Impaired</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Deemed to Reject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ind w:left="644" w:hanging="644"/>
        <w:spacing w:after="0"/>
        <w:tabs>
          <w:tab w:leader="none" w:pos="64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and Treatment of Claims and Equity Interests</w:t>
      </w:r>
    </w:p>
    <w:p>
      <w:pPr>
        <w:spacing w:after="0" w:line="229" w:lineRule="exact"/>
        <w:rPr>
          <w:sz w:val="20"/>
          <w:szCs w:val="20"/>
          <w:color w:val="auto"/>
        </w:rPr>
      </w:pPr>
    </w:p>
    <w:p>
      <w:pPr>
        <w:ind w:left="1284" w:hanging="635"/>
        <w:spacing w:after="0"/>
        <w:tabs>
          <w:tab w:leader="none" w:pos="128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sz w:val="20"/>
          <w:szCs w:val="20"/>
          <w:color w:val="auto"/>
        </w:rPr>
      </w:pPr>
    </w:p>
    <w:p>
      <w:pPr>
        <w:ind w:left="944" w:hanging="295"/>
        <w:spacing w:after="0"/>
        <w:tabs>
          <w:tab w:leader="none" w:pos="94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964" w:hanging="315"/>
        <w:spacing w:after="0" w:line="287" w:lineRule="auto"/>
        <w:tabs>
          <w:tab w:leader="none" w:pos="928" w:val="left"/>
        </w:tabs>
        <w:numPr>
          <w:ilvl w:val="0"/>
          <w:numId w:val="80"/>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ind w:left="964" w:right="180" w:hanging="315"/>
        <w:spacing w:after="0" w:line="264" w:lineRule="auto"/>
        <w:tabs>
          <w:tab w:leader="none" w:pos="928"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 is an Unimpaired Class, and the Holders of Claims in Class 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the Plan.</w:t>
      </w:r>
    </w:p>
    <w:p>
      <w:pPr>
        <w:spacing w:after="0" w:line="181" w:lineRule="exact"/>
        <w:rPr>
          <w:sz w:val="20"/>
          <w:szCs w:val="20"/>
          <w:color w:val="auto"/>
        </w:rPr>
      </w:pPr>
    </w:p>
    <w:p>
      <w:pPr>
        <w:ind w:left="1304" w:hanging="655"/>
        <w:spacing w:after="0"/>
        <w:tabs>
          <w:tab w:leader="none" w:pos="130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Class 2 — Other Secured Claims</w:t>
      </w:r>
    </w:p>
    <w:p>
      <w:pPr>
        <w:spacing w:after="0" w:line="225" w:lineRule="exact"/>
        <w:rPr>
          <w:sz w:val="20"/>
          <w:szCs w:val="20"/>
          <w:color w:val="auto"/>
        </w:rPr>
      </w:pPr>
    </w:p>
    <w:p>
      <w:pPr>
        <w:ind w:left="944" w:hanging="295"/>
        <w:spacing w:after="0"/>
        <w:tabs>
          <w:tab w:leader="none" w:pos="944"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Classification</w:t>
      </w:r>
      <w:r>
        <w:rPr>
          <w:rFonts w:ascii="Arial" w:cs="Arial" w:eastAsia="Arial" w:hAnsi="Arial"/>
          <w:sz w:val="16"/>
          <w:szCs w:val="16"/>
          <w:color w:val="auto"/>
        </w:rPr>
        <w:t>: Class 2 consists of the Other Secured Claims. Class 2 consists of separate subclasses for each Other Secured Claim.</w:t>
      </w:r>
    </w:p>
    <w:p>
      <w:pPr>
        <w:spacing w:after="0" w:line="248" w:lineRule="exact"/>
        <w:rPr>
          <w:rFonts w:ascii="Arial" w:cs="Arial" w:eastAsia="Arial" w:hAnsi="Arial"/>
          <w:sz w:val="16"/>
          <w:szCs w:val="16"/>
          <w:color w:val="auto"/>
        </w:rPr>
      </w:pPr>
    </w:p>
    <w:p>
      <w:pPr>
        <w:ind w:left="964" w:hanging="315"/>
        <w:spacing w:after="0" w:line="264" w:lineRule="auto"/>
        <w:tabs>
          <w:tab w:leader="none" w:pos="928"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on, or as soon as reasonably practicable after, the later of (i) the Initial Distribution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if such Class 2 Claim is an Allowed Class 2 Claim as of the Effective Date or (ii) the next Subsequent Distribution Date after the date on which such Class 2 Claim becomes 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84"/>
          </w:cols>
          <w:pgMar w:left="896" w:top="338" w:right="319" w:bottom="1440" w:gutter="0" w:footer="0" w:header="0"/>
        </w:sectPr>
      </w:pPr>
    </w:p>
    <w:bookmarkStart w:id="164" w:name="page165"/>
    <w:bookmarkEnd w:id="164"/>
    <w:p>
      <w:pPr>
        <w:ind w:left="420"/>
        <w:spacing w:after="0" w:line="289" w:lineRule="auto"/>
        <w:rPr>
          <w:sz w:val="20"/>
          <w:szCs w:val="20"/>
          <w:color w:val="auto"/>
        </w:rPr>
      </w:pPr>
      <w:r>
        <w:rPr>
          <w:rFonts w:ascii="Arial" w:cs="Arial" w:eastAsia="Arial" w:hAnsi="Arial"/>
          <w:sz w:val="16"/>
          <w:szCs w:val="16"/>
          <w:color w:val="auto"/>
        </w:rPr>
        <w:t xml:space="preserve">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2 Claims incurred by any Debtor in the ordinary course of business may be paid in the ordinary course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occurrence of the Effective Date by the applicable Reorganized Debtor in accordance with the terms and conditions of any agreements relating thereto without further notice to or order of the Bankruptcy Court.</w:t>
      </w:r>
    </w:p>
    <w:p>
      <w:pPr>
        <w:spacing w:after="0" w:line="167" w:lineRule="exact"/>
        <w:rPr>
          <w:sz w:val="20"/>
          <w:szCs w:val="20"/>
          <w:color w:val="auto"/>
        </w:rPr>
      </w:pPr>
    </w:p>
    <w:p>
      <w:pPr>
        <w:ind w:left="420" w:right="220" w:hanging="315"/>
        <w:spacing w:after="0" w:line="264" w:lineRule="auto"/>
        <w:tabs>
          <w:tab w:leader="none" w:pos="384" w:val="left"/>
        </w:tabs>
        <w:numPr>
          <w:ilvl w:val="0"/>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2 is an Unimpaired Class, and the Holders of Claims in Class 2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Class 3 - Secured Tax Claims</w:t>
      </w:r>
    </w:p>
    <w:p>
      <w:pPr>
        <w:spacing w:after="0" w:line="225" w:lineRule="exact"/>
        <w:rPr>
          <w:sz w:val="20"/>
          <w:szCs w:val="20"/>
          <w:color w:val="auto"/>
        </w:rPr>
      </w:pPr>
    </w:p>
    <w:p>
      <w:pPr>
        <w:ind w:left="400" w:hanging="295"/>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420" w:right="40" w:hanging="315"/>
        <w:spacing w:after="0" w:line="268" w:lineRule="auto"/>
        <w:tabs>
          <w:tab w:leader="none" w:pos="384" w:val="left"/>
        </w:tabs>
        <w:numPr>
          <w:ilvl w:val="0"/>
          <w:numId w:val="85"/>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165" w:name="page166"/>
    <w:bookmarkEnd w:id="165"/>
    <w:p>
      <w:pPr>
        <w:ind w:left="420"/>
        <w:spacing w:after="0" w:line="273" w:lineRule="auto"/>
        <w:rPr>
          <w:sz w:val="20"/>
          <w:szCs w:val="20"/>
          <w:color w:val="auto"/>
        </w:rPr>
      </w:pPr>
      <w:r>
        <w:rPr>
          <w:rFonts w:ascii="Arial" w:cs="Arial" w:eastAsia="Arial" w:hAnsi="Arial"/>
          <w:sz w:val="17"/>
          <w:szCs w:val="17"/>
          <w:color w:val="auto"/>
        </w:rPr>
        <w:t xml:space="preserve">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8" w:lineRule="exact"/>
        <w:rPr>
          <w:sz w:val="20"/>
          <w:szCs w:val="20"/>
          <w:color w:val="auto"/>
        </w:rPr>
      </w:pPr>
    </w:p>
    <w:p>
      <w:pPr>
        <w:ind w:left="420" w:right="240" w:hanging="315"/>
        <w:spacing w:after="0" w:line="264" w:lineRule="auto"/>
        <w:tabs>
          <w:tab w:leader="none" w:pos="384"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3 is an Unimpaired Class, and the Holders of Claims in Class 3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3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Class 4 — Prepetition Revolving Credit Claims</w:t>
      </w:r>
    </w:p>
    <w:p>
      <w:pPr>
        <w:spacing w:after="0" w:line="225" w:lineRule="exact"/>
        <w:rPr>
          <w:sz w:val="20"/>
          <w:szCs w:val="20"/>
          <w:color w:val="auto"/>
        </w:rPr>
      </w:pPr>
    </w:p>
    <w:p>
      <w:pPr>
        <w:ind w:left="400" w:hanging="295"/>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420" w:right="420" w:hanging="315"/>
        <w:spacing w:after="0" w:line="277" w:lineRule="auto"/>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420" w:right="140" w:hanging="315"/>
        <w:spacing w:after="0" w:line="259" w:lineRule="auto"/>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420" w:right="60" w:hanging="315"/>
        <w:spacing w:after="0" w:line="264" w:lineRule="auto"/>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4 is an Unimpaired Class, and the Holders of Claims in Class 4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4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Class 5 — Prepetition Term Loan Claims</w:t>
      </w:r>
    </w:p>
    <w:p>
      <w:pPr>
        <w:spacing w:after="0" w:line="225" w:lineRule="exact"/>
        <w:rPr>
          <w:sz w:val="20"/>
          <w:szCs w:val="20"/>
          <w:color w:val="auto"/>
        </w:rPr>
      </w:pPr>
    </w:p>
    <w:p>
      <w:pPr>
        <w:ind w:left="400" w:hanging="295"/>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420" w:right="200" w:hanging="315"/>
        <w:spacing w:after="0" w:line="277"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Term Loans Claims are deemed Allowed in the aggregate principal amount of $297,500,000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w:t>
      </w:r>
    </w:p>
    <w:p>
      <w:pPr>
        <w:spacing w:after="0" w:line="170"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 in full in Cash prior to the Effective Date, on the Effective Date, the Allowed Prepetition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will, in full</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166" w:name="page167"/>
    <w:bookmarkEnd w:id="166"/>
    <w:p>
      <w:pPr>
        <w:ind w:left="420" w:right="20"/>
        <w:spacing w:after="0" w:line="264" w:lineRule="auto"/>
        <w:rPr>
          <w:sz w:val="20"/>
          <w:szCs w:val="20"/>
          <w:color w:val="auto"/>
        </w:rPr>
      </w:pPr>
      <w:r>
        <w:rPr>
          <w:rFonts w:ascii="Arial" w:cs="Arial" w:eastAsia="Arial" w:hAnsi="Arial"/>
          <w:sz w:val="18"/>
          <w:szCs w:val="18"/>
          <w:color w:val="auto"/>
        </w:rPr>
        <w:t>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1" w:lineRule="exact"/>
        <w:rPr>
          <w:sz w:val="20"/>
          <w:szCs w:val="20"/>
          <w:color w:val="auto"/>
        </w:rPr>
      </w:pPr>
    </w:p>
    <w:p>
      <w:pPr>
        <w:ind w:left="420" w:hanging="315"/>
        <w:spacing w:after="0" w:line="264" w:lineRule="auto"/>
        <w:tabs>
          <w:tab w:leader="none" w:pos="384"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5 is an Unimpaired Class, and the Holders of Claims in Class 5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5 are not entitled to vote to accept or reject the Plan.</w:t>
      </w:r>
    </w:p>
    <w:p>
      <w:pPr>
        <w:spacing w:after="0" w:line="181" w:lineRule="exact"/>
        <w:rPr>
          <w:sz w:val="20"/>
          <w:szCs w:val="20"/>
          <w:color w:val="auto"/>
        </w:rPr>
      </w:pPr>
    </w:p>
    <w:p>
      <w:pPr>
        <w:ind w:left="760" w:hanging="655"/>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Class 6 — Prepetition A&amp;R Claims</w:t>
      </w:r>
    </w:p>
    <w:p>
      <w:pPr>
        <w:spacing w:after="0" w:line="225" w:lineRule="exact"/>
        <w:rPr>
          <w:sz w:val="20"/>
          <w:szCs w:val="20"/>
          <w:color w:val="auto"/>
        </w:rPr>
      </w:pPr>
    </w:p>
    <w:p>
      <w:pPr>
        <w:ind w:left="400" w:hanging="295"/>
        <w:spacing w:after="0"/>
        <w:tabs>
          <w:tab w:leader="none" w:pos="400"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420" w:right="300" w:hanging="315"/>
        <w:spacing w:after="0" w:line="277" w:lineRule="auto"/>
        <w:tabs>
          <w:tab w:leader="none" w:pos="384"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420" w:right="80" w:hanging="315"/>
        <w:spacing w:after="0" w:line="279" w:lineRule="auto"/>
        <w:tabs>
          <w:tab w:leader="none" w:pos="384" w:val="left"/>
        </w:tabs>
        <w:numPr>
          <w:ilvl w:val="0"/>
          <w:numId w:val="93"/>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Effective Date, the Allowed Prepetition A&amp;R Claims will, in full satisfaction, settlement, discharge and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71" w:lineRule="exact"/>
        <w:rPr>
          <w:rFonts w:ascii="Arial" w:cs="Arial" w:eastAsia="Arial" w:hAnsi="Arial"/>
          <w:sz w:val="17"/>
          <w:szCs w:val="17"/>
          <w:color w:val="auto"/>
        </w:rPr>
      </w:pPr>
    </w:p>
    <w:p>
      <w:pPr>
        <w:ind w:left="420" w:hanging="315"/>
        <w:spacing w:after="0" w:line="264" w:lineRule="auto"/>
        <w:tabs>
          <w:tab w:leader="none" w:pos="384"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6 is an Unimpaired Class, and the Holders of Claims in Class 6 will be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Holders of Claims in Class 6 are not entitled to vote to accept or reject the Plan.</w:t>
      </w:r>
    </w:p>
    <w:p>
      <w:pPr>
        <w:spacing w:after="0" w:line="181" w:lineRule="exact"/>
        <w:rPr>
          <w:sz w:val="20"/>
          <w:szCs w:val="20"/>
          <w:color w:val="auto"/>
        </w:rPr>
      </w:pPr>
    </w:p>
    <w:p>
      <w:pPr>
        <w:ind w:left="780" w:hanging="675"/>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Class 7 — Prepetition Notes Claims</w:t>
      </w:r>
    </w:p>
    <w:p>
      <w:pPr>
        <w:spacing w:after="0" w:line="225" w:lineRule="exact"/>
        <w:rPr>
          <w:sz w:val="20"/>
          <w:szCs w:val="20"/>
          <w:color w:val="auto"/>
        </w:rPr>
      </w:pPr>
    </w:p>
    <w:p>
      <w:pPr>
        <w:ind w:left="400" w:hanging="295"/>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420" w:right="100" w:hanging="315"/>
        <w:spacing w:after="0" w:line="277" w:lineRule="auto"/>
        <w:tabs>
          <w:tab w:leader="none" w:pos="384" w:val="left"/>
        </w:tabs>
        <w:numPr>
          <w:ilvl w:val="0"/>
          <w:numId w:val="95"/>
        </w:numPr>
        <w:rPr>
          <w:rFonts w:ascii="Arial" w:cs="Arial" w:eastAsia="Arial" w:hAnsi="Arial"/>
          <w:sz w:val="18"/>
          <w:szCs w:val="18"/>
          <w:color w:val="auto"/>
        </w:rPr>
      </w:pPr>
      <w:r>
        <w:rPr>
          <w:rFonts w:ascii="Arial" w:cs="Arial" w:eastAsia="Arial" w:hAnsi="Arial"/>
          <w:sz w:val="18"/>
          <w:szCs w:val="18"/>
          <w:i w:val="1"/>
          <w:iCs w:val="1"/>
          <w:u w:val="single" w:color="auto"/>
          <w:color w:val="auto"/>
        </w:rPr>
        <w:t>Allowance</w:t>
      </w:r>
      <w:r>
        <w:rPr>
          <w:rFonts w:ascii="Arial" w:cs="Arial" w:eastAsia="Arial" w:hAnsi="Arial"/>
          <w:sz w:val="18"/>
          <w:szCs w:val="18"/>
          <w:color w:val="auto"/>
        </w:rPr>
        <w:t>: The Prepetition Notes Claims are deemed Allowed in the aggregate principal amount of $7,427,067,000,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consisting of:</w:t>
      </w:r>
    </w:p>
    <w:p>
      <w:pPr>
        <w:spacing w:after="0" w:line="170"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$365,107,000 in aggregate principal amount, plus accrued and unpaid interest on account of the 5.125%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7.750%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$1,265,000,000 in aggregate principal amount, plus accrued and unpaid interest on account of the 5.875% Notes;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167" w:name="page168"/>
    <w:bookmarkEnd w:id="167"/>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$646,286,000 in aggregate principal amount, plus accrued and unpaid interest on account of the 4.500%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$750,000,000 in aggregate principal amount, plus accrued and unpaid interest on account of the 8.250%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$790,000,000 in aggregate principal amount, plus accrued and unpaid interest on account of the 9.875% 2024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$453,045,000 in aggregate principal amount, plus accrued and unpaid interest on account of the 6.500%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$461,300,000 in aggregate principal amount, plus accrued and unpaid interest on account of the 7.000%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$250,000,000 in aggregate principal amount, plus accrued and unpaid interest on account of the 9.875% 2039 Notes;</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$462,601,000 in aggregate principal amount, plus accrued and unpaid interest on account of the 6.750%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$374,961,000 in aggregate principal amount, plus accrued and unpaid interest on account of the 5.950% Notes;</w:t>
      </w:r>
    </w:p>
    <w:p>
      <w:pPr>
        <w:spacing w:after="0" w:line="225" w:lineRule="exact"/>
        <w:rPr>
          <w:rFonts w:ascii="Arial" w:cs="Arial" w:eastAsia="Arial" w:hAnsi="Arial"/>
          <w:sz w:val="18"/>
          <w:szCs w:val="18"/>
          <w:color w:val="auto"/>
        </w:rPr>
      </w:pPr>
    </w:p>
    <w:p>
      <w:pPr>
        <w:ind w:left="1040" w:hanging="287"/>
        <w:spacing w:after="0"/>
        <w:tabs>
          <w:tab w:leader="none" w:pos="10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$600,000,000 in aggregate principal amount, plus accrued and unpaid interest on account of the 9.875% 2025 Notes; and</w:t>
      </w:r>
    </w:p>
    <w:p>
      <w:pPr>
        <w:spacing w:after="0" w:line="236" w:lineRule="exact"/>
        <w:rPr>
          <w:rFonts w:ascii="Arial" w:cs="Arial" w:eastAsia="Arial" w:hAnsi="Arial"/>
          <w:sz w:val="17"/>
          <w:szCs w:val="17"/>
          <w:color w:val="auto"/>
        </w:rPr>
      </w:pPr>
    </w:p>
    <w:p>
      <w:pPr>
        <w:ind w:left="1040" w:hanging="287"/>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$258,767,000 in aggregate principal amount, plus accrued and unpaid interest on account of the 6.8000% Notes.</w:t>
      </w:r>
    </w:p>
    <w:p>
      <w:pPr>
        <w:spacing w:after="0" w:line="225" w:lineRule="exact"/>
        <w:rPr>
          <w:rFonts w:ascii="Arial" w:cs="Arial" w:eastAsia="Arial" w:hAnsi="Arial"/>
          <w:sz w:val="18"/>
          <w:szCs w:val="18"/>
          <w:color w:val="auto"/>
        </w:rPr>
      </w:pPr>
    </w:p>
    <w:p>
      <w:pPr>
        <w:ind w:left="420" w:hanging="315"/>
        <w:spacing w:after="0" w:line="287" w:lineRule="auto"/>
        <w:tabs>
          <w:tab w:leader="none" w:pos="384" w:val="left"/>
        </w:tabs>
        <w:numPr>
          <w:ilvl w:val="0"/>
          <w:numId w:val="96"/>
        </w:numPr>
        <w:rPr>
          <w:rFonts w:ascii="Arial" w:cs="Arial" w:eastAsia="Arial" w:hAnsi="Arial"/>
          <w:sz w:val="16"/>
          <w:szCs w:val="16"/>
          <w:color w:val="auto"/>
        </w:rPr>
      </w:pPr>
      <w:r>
        <w:rPr>
          <w:rFonts w:ascii="Arial" w:cs="Arial" w:eastAsia="Arial" w:hAnsi="Arial"/>
          <w:sz w:val="16"/>
          <w:szCs w:val="16"/>
          <w:i w:val="1"/>
          <w:iCs w:val="1"/>
          <w:u w:val="single" w:color="auto"/>
          <w:color w:val="auto"/>
        </w:rPr>
        <w:t>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settlement, discharge and release of, and in exchange for, such Claim, its Pro Rata share of (i) 99% of the New Common Stock, subject to dilution on account of equity issued pursuant to the New Management Incentive Plan, the Tranche B Equity Conversion (as defined below), and the New Common Stock issuable pursuant to the New Warrants and (ii) the New Tranche B Senior Unsecured Notes;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each of such Holders will have the option, in its sole discretion, to convert its Pro Rata share of $500,000,000</w:t>
      </w:r>
      <w:r>
        <w:rPr>
          <w:rFonts w:ascii="Arial" w:cs="Arial" w:eastAsia="Arial" w:hAnsi="Arial"/>
          <w:sz w:val="16"/>
          <w:szCs w:val="16"/>
          <w:i w:val="1"/>
          <w:iCs w:val="1"/>
          <w:color w:val="auto"/>
        </w:rPr>
        <w:t xml:space="preserve"> </w:t>
      </w:r>
      <w:r>
        <w:rPr>
          <w:rFonts w:ascii="Arial" w:cs="Arial" w:eastAsia="Arial" w:hAnsi="Arial"/>
          <w:sz w:val="16"/>
          <w:szCs w:val="16"/>
          <w:color w:val="auto"/>
        </w:rPr>
        <w:t>in principal amount of the New Tranche B Senior Unsecured Notes into New Common Stock (the “</w:t>
      </w:r>
      <w:r>
        <w:rPr>
          <w:rFonts w:ascii="Arial" w:cs="Arial" w:eastAsia="Arial" w:hAnsi="Arial"/>
          <w:sz w:val="16"/>
          <w:szCs w:val="16"/>
          <w:b w:val="1"/>
          <w:bCs w:val="1"/>
          <w:u w:val="single" w:color="auto"/>
          <w:color w:val="auto"/>
        </w:rPr>
        <w:t>Tranche B Equity Conversion</w:t>
      </w:r>
      <w:r>
        <w:rPr>
          <w:rFonts w:ascii="Arial" w:cs="Arial" w:eastAsia="Arial" w:hAnsi="Arial"/>
          <w:sz w:val="16"/>
          <w:szCs w:val="16"/>
          <w:color w:val="auto"/>
        </w:rPr>
        <w:t xml:space="preserve">”) at a conversion price of $36.20 per share of New Common Stock;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2" w:right="259" w:bottom="1440" w:gutter="0" w:footer="0" w:header="0"/>
        </w:sectPr>
      </w:pPr>
    </w:p>
    <w:bookmarkStart w:id="168" w:name="page169"/>
    <w:bookmarkEnd w:id="168"/>
    <w:p>
      <w:pPr>
        <w:ind w:left="1952"/>
        <w:spacing w:after="0" w:line="286" w:lineRule="auto"/>
        <w:rPr>
          <w:sz w:val="20"/>
          <w:szCs w:val="20"/>
          <w:color w:val="auto"/>
        </w:rPr>
      </w:pPr>
      <w:r>
        <w:rPr>
          <w:rFonts w:ascii="Arial" w:cs="Arial" w:eastAsia="Arial" w:hAnsi="Arial"/>
          <w:sz w:val="17"/>
          <w:szCs w:val="17"/>
          <w:color w:val="auto"/>
        </w:rPr>
        <w:t>effectuation of the Tranche B Equity Conversion and the Overallotment Rights are set forth in Article V.V of the Plan. In addition, each of such Holders will receive Subscription Rights to purchase its Pro Rata share of New Tranche A Senior Unsecured Notes pursuant to the Rights Offering and in accordance with the applicable Rights Offerings Procedures.</w:t>
      </w:r>
    </w:p>
    <w:p>
      <w:pPr>
        <w:spacing w:after="0" w:line="166" w:lineRule="exact"/>
        <w:rPr>
          <w:sz w:val="20"/>
          <w:szCs w:val="20"/>
          <w:color w:val="auto"/>
        </w:rPr>
      </w:pPr>
    </w:p>
    <w:p>
      <w:pPr>
        <w:ind w:left="1592" w:hanging="295"/>
        <w:spacing w:after="0"/>
        <w:tabs>
          <w:tab w:leader="none" w:pos="1592" w:val="left"/>
        </w:tabs>
        <w:numPr>
          <w:ilvl w:val="0"/>
          <w:numId w:val="97"/>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7 is Impaired, and Holders of Claims in Class 7 are entitled to vote to accept or reject the Plan.</w:t>
      </w:r>
    </w:p>
    <w:p>
      <w:pPr>
        <w:spacing w:after="0" w:line="225" w:lineRule="exact"/>
        <w:rPr>
          <w:sz w:val="20"/>
          <w:szCs w:val="20"/>
          <w:color w:val="auto"/>
        </w:rPr>
      </w:pPr>
    </w:p>
    <w:p>
      <w:pPr>
        <w:ind w:left="1952" w:hanging="655"/>
        <w:spacing w:after="0"/>
        <w:tabs>
          <w:tab w:leader="none" w:pos="195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Class 8 — General Unsecured Claims</w:t>
      </w:r>
    </w:p>
    <w:p>
      <w:pPr>
        <w:spacing w:after="0" w:line="225" w:lineRule="exact"/>
        <w:rPr>
          <w:sz w:val="20"/>
          <w:szCs w:val="20"/>
          <w:color w:val="auto"/>
        </w:rPr>
      </w:pPr>
    </w:p>
    <w:p>
      <w:pPr>
        <w:ind w:left="1592" w:hanging="295"/>
        <w:spacing w:after="0"/>
        <w:tabs>
          <w:tab w:leader="none" w:pos="1592" w:val="left"/>
        </w:tabs>
        <w:numPr>
          <w:ilvl w:val="0"/>
          <w:numId w:val="99"/>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612" w:hanging="315"/>
        <w:spacing w:after="0" w:line="259" w:lineRule="auto"/>
        <w:tabs>
          <w:tab w:leader="none" w:pos="1576" w:val="left"/>
        </w:tabs>
        <w:numPr>
          <w:ilvl w:val="0"/>
          <w:numId w:val="99"/>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equitable, and contractual rights of the holders of General Unsecured Claims are unaltered by the Plan. Except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ind w:left="1612" w:right="220" w:hanging="315"/>
        <w:spacing w:after="0" w:line="264" w:lineRule="auto"/>
        <w:tabs>
          <w:tab w:leader="none" w:pos="1576" w:val="left"/>
        </w:tabs>
        <w:numPr>
          <w:ilvl w:val="0"/>
          <w:numId w:val="99"/>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8 is an Unimpaired Class, and the Holders of Claims in Class 8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the Plan.</w:t>
      </w:r>
    </w:p>
    <w:p>
      <w:pPr>
        <w:spacing w:after="0" w:line="181" w:lineRule="exact"/>
        <w:rPr>
          <w:sz w:val="20"/>
          <w:szCs w:val="20"/>
          <w:color w:val="auto"/>
        </w:rPr>
      </w:pPr>
    </w:p>
    <w:p>
      <w:pPr>
        <w:ind w:left="1972" w:hanging="675"/>
        <w:spacing w:after="0"/>
        <w:tabs>
          <w:tab w:leader="none" w:pos="197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Class 9 — Intercompany Claims</w:t>
      </w:r>
    </w:p>
    <w:p>
      <w:pPr>
        <w:spacing w:after="0" w:line="225" w:lineRule="exact"/>
        <w:rPr>
          <w:sz w:val="20"/>
          <w:szCs w:val="20"/>
          <w:color w:val="auto"/>
        </w:rPr>
      </w:pPr>
    </w:p>
    <w:p>
      <w:pPr>
        <w:ind w:left="1592" w:hanging="295"/>
        <w:spacing w:after="0"/>
        <w:tabs>
          <w:tab w:leader="none" w:pos="1592" w:val="left"/>
        </w:tabs>
        <w:numPr>
          <w:ilvl w:val="0"/>
          <w:numId w:val="101"/>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612" w:right="20" w:hanging="315"/>
        <w:spacing w:after="0" w:line="308" w:lineRule="auto"/>
        <w:tabs>
          <w:tab w:leader="none" w:pos="1576" w:val="left"/>
        </w:tabs>
        <w:numPr>
          <w:ilvl w:val="0"/>
          <w:numId w:val="101"/>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Restructuring Transactions, the Intercompany Claims will be adjusted, reinstated, compromised, or cancelled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extent determined appropriate by the Debtors, with the consent of the Required Consenting Noteholders.</w:t>
      </w:r>
    </w:p>
    <w:p>
      <w:pPr>
        <w:spacing w:after="0" w:line="146" w:lineRule="exact"/>
        <w:rPr>
          <w:rFonts w:ascii="Arial" w:cs="Arial" w:eastAsia="Arial" w:hAnsi="Arial"/>
          <w:sz w:val="17"/>
          <w:szCs w:val="17"/>
          <w:color w:val="auto"/>
        </w:rPr>
      </w:pPr>
    </w:p>
    <w:p>
      <w:pPr>
        <w:ind w:left="1612" w:right="220" w:hanging="315"/>
        <w:spacing w:after="0" w:line="264" w:lineRule="auto"/>
        <w:tabs>
          <w:tab w:leader="none" w:pos="1576" w:val="left"/>
        </w:tabs>
        <w:numPr>
          <w:ilvl w:val="0"/>
          <w:numId w:val="101"/>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i w:val="1"/>
          <w:iCs w:val="1"/>
          <w:color w:val="auto"/>
        </w:rPr>
        <w:t xml:space="preserve">: </w:t>
      </w:r>
      <w:r>
        <w:rPr>
          <w:rFonts w:ascii="Arial" w:cs="Arial" w:eastAsia="Arial" w:hAnsi="Arial"/>
          <w:sz w:val="18"/>
          <w:szCs w:val="18"/>
          <w:color w:val="auto"/>
        </w:rPr>
        <w:t>Class 9 is an Unimpaired Class and the Holders of Claims in Class 9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the Plan.</w:t>
      </w:r>
    </w:p>
    <w:p>
      <w:pPr>
        <w:spacing w:after="0" w:line="181" w:lineRule="exact"/>
        <w:rPr>
          <w:sz w:val="20"/>
          <w:szCs w:val="20"/>
          <w:color w:val="auto"/>
        </w:rPr>
      </w:pPr>
    </w:p>
    <w:p>
      <w:pPr>
        <w:ind w:left="1952" w:hanging="655"/>
        <w:spacing w:after="0"/>
        <w:tabs>
          <w:tab w:leader="none" w:pos="195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Class 10 — Existing Common Stock</w:t>
      </w:r>
    </w:p>
    <w:p>
      <w:pPr>
        <w:spacing w:after="0" w:line="225" w:lineRule="exact"/>
        <w:rPr>
          <w:sz w:val="20"/>
          <w:szCs w:val="20"/>
          <w:color w:val="auto"/>
        </w:rPr>
      </w:pPr>
    </w:p>
    <w:p>
      <w:pPr>
        <w:ind w:left="1592" w:hanging="295"/>
        <w:spacing w:after="0"/>
        <w:tabs>
          <w:tab w:leader="none" w:pos="1592" w:val="left"/>
        </w:tabs>
        <w:numPr>
          <w:ilvl w:val="1"/>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(6)</w:t>
      </w:r>
    </w:p>
    <w:p>
      <w:pPr>
        <w:spacing w:after="0" w:line="167" w:lineRule="exact"/>
        <w:rPr>
          <w:rFonts w:ascii="Arial" w:cs="Arial" w:eastAsia="Arial" w:hAnsi="Arial"/>
          <w:sz w:val="18"/>
          <w:szCs w:val="18"/>
          <w:color w:val="auto"/>
        </w:rPr>
      </w:pPr>
    </w:p>
    <w:p>
      <w:pPr>
        <w:ind w:left="1612" w:right="80" w:hanging="315"/>
        <w:spacing w:after="0" w:line="277" w:lineRule="auto"/>
        <w:tabs>
          <w:tab w:leader="none" w:pos="1576" w:val="left"/>
        </w:tabs>
        <w:numPr>
          <w:ilvl w:val="1"/>
          <w:numId w:val="103"/>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On the Effective Date, the Existing Common Stock will be cancelled without further notice to, approval of or action by any</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On the</w:t>
      </w:r>
    </w:p>
    <w:p>
      <w:pPr>
        <w:spacing w:after="0" w:line="370" w:lineRule="exact"/>
        <w:rPr>
          <w:rFonts w:ascii="Arial" w:cs="Arial" w:eastAsia="Arial" w:hAnsi="Arial"/>
          <w:sz w:val="18"/>
          <w:szCs w:val="18"/>
          <w:color w:val="auto"/>
        </w:rPr>
      </w:pPr>
    </w:p>
    <w:p>
      <w:pPr>
        <w:ind w:left="172" w:hanging="172"/>
        <w:spacing w:after="0"/>
        <w:tabs>
          <w:tab w:leader="none" w:pos="172"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169" w:name="page170"/>
    <w:bookmarkEnd w:id="169"/>
    <w:p>
      <w:pPr>
        <w:jc w:val="both"/>
        <w:ind w:left="1620" w:right="380"/>
        <w:spacing w:after="0" w:line="312" w:lineRule="auto"/>
        <w:rPr>
          <w:sz w:val="20"/>
          <w:szCs w:val="20"/>
          <w:color w:val="auto"/>
        </w:rPr>
      </w:pPr>
      <w:r>
        <w:rPr>
          <w:rFonts w:ascii="Arial" w:cs="Arial" w:eastAsia="Arial" w:hAnsi="Arial"/>
          <w:sz w:val="16"/>
          <w:szCs w:val="16"/>
          <w:color w:val="auto"/>
        </w:rPr>
        <w:t>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the Plan and the occurrence of the Effective Date.</w:t>
      </w:r>
    </w:p>
    <w:p>
      <w:pPr>
        <w:spacing w:after="0" w:line="170" w:lineRule="exact"/>
        <w:rPr>
          <w:sz w:val="20"/>
          <w:szCs w:val="20"/>
          <w:color w:val="auto"/>
        </w:rPr>
      </w:pPr>
    </w:p>
    <w:p>
      <w:pPr>
        <w:ind w:left="1600" w:hanging="295"/>
        <w:spacing w:after="0"/>
        <w:tabs>
          <w:tab w:leader="none" w:pos="1600" w:val="left"/>
        </w:tabs>
        <w:numPr>
          <w:ilvl w:val="0"/>
          <w:numId w:val="104"/>
        </w:numPr>
        <w:rPr>
          <w:rFonts w:ascii="Arial" w:cs="Arial" w:eastAsia="Arial" w:hAnsi="Arial"/>
          <w:sz w:val="16"/>
          <w:szCs w:val="16"/>
          <w:color w:val="auto"/>
        </w:rPr>
      </w:pPr>
      <w:r>
        <w:rPr>
          <w:rFonts w:ascii="Arial" w:cs="Arial" w:eastAsia="Arial" w:hAnsi="Arial"/>
          <w:sz w:val="16"/>
          <w:szCs w:val="16"/>
          <w:i w:val="1"/>
          <w:iCs w:val="1"/>
          <w:u w:val="single" w:color="auto"/>
          <w:color w:val="auto"/>
        </w:rPr>
        <w:t>Voting</w:t>
      </w:r>
      <w:r>
        <w:rPr>
          <w:rFonts w:ascii="Arial" w:cs="Arial" w:eastAsia="Arial" w:hAnsi="Arial"/>
          <w:sz w:val="16"/>
          <w:szCs w:val="16"/>
          <w:color w:val="auto"/>
        </w:rPr>
        <w:t>: Class 10 is Impaired, and the Holders of Existing Common Stock in Class 10 are entitled to vote to accept or reject the Plan.</w:t>
      </w:r>
    </w:p>
    <w:p>
      <w:pPr>
        <w:spacing w:after="0" w:line="248" w:lineRule="exact"/>
        <w:rPr>
          <w:sz w:val="20"/>
          <w:szCs w:val="20"/>
          <w:color w:val="auto"/>
        </w:rPr>
      </w:pPr>
    </w:p>
    <w:p>
      <w:pPr>
        <w:ind w:left="1960" w:hanging="655"/>
        <w:spacing w:after="0"/>
        <w:tabs>
          <w:tab w:leader="none" w:pos="19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Class 11 — Intercompany Equity Interests</w:t>
      </w:r>
    </w:p>
    <w:p>
      <w:pPr>
        <w:spacing w:after="0" w:line="225" w:lineRule="exact"/>
        <w:rPr>
          <w:sz w:val="20"/>
          <w:szCs w:val="20"/>
          <w:color w:val="auto"/>
        </w:rPr>
      </w:pPr>
    </w:p>
    <w:p>
      <w:pPr>
        <w:ind w:left="1600" w:hanging="295"/>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620" w:right="180" w:hanging="315"/>
        <w:spacing w:after="0" w:line="264" w:lineRule="auto"/>
        <w:tabs>
          <w:tab w:leader="none" w:pos="1584"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ind w:left="1620" w:right="60" w:hanging="315"/>
        <w:spacing w:after="0" w:line="264" w:lineRule="auto"/>
        <w:tabs>
          <w:tab w:leader="none" w:pos="1584" w:val="left"/>
        </w:tabs>
        <w:numPr>
          <w:ilvl w:val="0"/>
          <w:numId w:val="106"/>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11 is an Unimpaired Class and the Holders of Claims in Class 11 are conclusively deemed to have accepted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the Plan.</w:t>
      </w:r>
    </w:p>
    <w:p>
      <w:pPr>
        <w:spacing w:after="0" w:line="181" w:lineRule="exact"/>
        <w:rPr>
          <w:sz w:val="20"/>
          <w:szCs w:val="20"/>
          <w:color w:val="auto"/>
        </w:rPr>
      </w:pPr>
    </w:p>
    <w:p>
      <w:pPr>
        <w:ind w:left="1980" w:hanging="675"/>
        <w:spacing w:after="0"/>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Class 12 — Unexercised Equity Interests</w:t>
      </w:r>
    </w:p>
    <w:p>
      <w:pPr>
        <w:spacing w:after="0" w:line="225" w:lineRule="exact"/>
        <w:rPr>
          <w:sz w:val="20"/>
          <w:szCs w:val="20"/>
          <w:color w:val="auto"/>
        </w:rPr>
      </w:pPr>
    </w:p>
    <w:p>
      <w:pPr>
        <w:ind w:left="1600" w:hanging="295"/>
        <w:spacing w:after="0"/>
        <w:tabs>
          <w:tab w:leader="none" w:pos="1600" w:val="left"/>
        </w:tabs>
        <w:numPr>
          <w:ilvl w:val="1"/>
          <w:numId w:val="108"/>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620" w:right="260" w:hanging="315"/>
        <w:spacing w:after="0" w:line="308" w:lineRule="auto"/>
        <w:tabs>
          <w:tab w:leader="none" w:pos="1584" w:val="left"/>
        </w:tabs>
        <w:numPr>
          <w:ilvl w:val="1"/>
          <w:numId w:val="108"/>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jc w:val="both"/>
        <w:ind w:left="1620" w:hanging="315"/>
        <w:spacing w:after="0" w:line="264" w:lineRule="auto"/>
        <w:tabs>
          <w:tab w:leader="none" w:pos="1584" w:val="left"/>
        </w:tabs>
        <w:numPr>
          <w:ilvl w:val="1"/>
          <w:numId w:val="108"/>
        </w:numPr>
        <w:rPr>
          <w:rFonts w:ascii="Arial" w:cs="Arial" w:eastAsia="Arial" w:hAnsi="Arial"/>
          <w:sz w:val="18"/>
          <w:szCs w:val="18"/>
          <w:color w:val="auto"/>
        </w:rPr>
      </w:pPr>
      <w:r>
        <w:rPr>
          <w:rFonts w:ascii="Arial" w:cs="Arial" w:eastAsia="Arial" w:hAnsi="Arial"/>
          <w:sz w:val="18"/>
          <w:szCs w:val="18"/>
          <w:i w:val="1"/>
          <w:iCs w:val="1"/>
          <w:u w:val="single" w:color="auto"/>
          <w:color w:val="auto"/>
        </w:rPr>
        <w:t>Voting</w:t>
      </w:r>
      <w:r>
        <w:rPr>
          <w:rFonts w:ascii="Arial" w:cs="Arial" w:eastAsia="Arial" w:hAnsi="Arial"/>
          <w:sz w:val="18"/>
          <w:szCs w:val="18"/>
          <w:color w:val="auto"/>
        </w:rPr>
        <w:t>: Class 12 is Impaired, and the Holders of Unexercised Equity Interests in Class 12 will be conclusively deemed to have rejected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pursuant to section 1126(g) of the Bankruptcy Code. Therefore, Holders of Unexercised Equity Interests in Class 12 will not be entitled to vote to accept or reject the Plan.</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 Governing Unimpaired Claims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Except as otherwise provided herein, nothing under the Plan will affect or limit the Debtors’ or the Reorganized Debtors’ rights and defenses (whether legal or equitable) in respect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70" w:name="page171"/>
    <w:bookmarkEnd w:id="170"/>
    <w:p>
      <w:pPr>
        <w:ind w:right="320"/>
        <w:spacing w:after="0" w:line="277" w:lineRule="auto"/>
        <w:rPr>
          <w:sz w:val="20"/>
          <w:szCs w:val="20"/>
          <w:color w:val="auto"/>
        </w:rPr>
      </w:pPr>
      <w:r>
        <w:rPr>
          <w:rFonts w:ascii="Arial" w:cs="Arial" w:eastAsia="Arial" w:hAnsi="Arial"/>
          <w:sz w:val="18"/>
          <w:szCs w:val="18"/>
          <w:color w:val="auto"/>
        </w:rPr>
        <w:t>of any Unimpaired Claims, including, without limitation, all rights in respect of legal and equitable defenses to or setoffs or recoupments against any such Unimpaired Claims.</w:t>
      </w:r>
    </w:p>
    <w:p>
      <w:pPr>
        <w:spacing w:after="0" w:line="166"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Elimination of Vacant Classes</w:t>
      </w:r>
    </w:p>
    <w:p>
      <w:pPr>
        <w:spacing w:after="0" w:line="229" w:lineRule="exact"/>
        <w:rPr>
          <w:sz w:val="20"/>
          <w:szCs w:val="20"/>
          <w:color w:val="auto"/>
        </w:rPr>
      </w:pPr>
    </w:p>
    <w:p>
      <w:pPr>
        <w:ind w:right="20" w:firstLine="662"/>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the Plan for purposes of voting to accept or reject the Plan and for purposes of determining acceptance or rejection of the Plan by such Class pursuant to section 1129(a)(8) of the Bankruptcy Code.</w:t>
      </w:r>
    </w:p>
    <w:p>
      <w:pPr>
        <w:spacing w:after="0" w:line="16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OR REJECTION OF THE PLAN</w:t>
      </w:r>
    </w:p>
    <w:p>
      <w:pPr>
        <w:spacing w:after="0" w:line="225"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Presumed Acceptance of Plan</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Classes 1-6 and 8, 9, and 11 are Unimpaired under the Plan. Therefore, the Holders of Claims or Equity Interests in such Classes are deemed to have accepted the Plan pursuant to section 1126(f) of the Bankruptcy Code and are not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Presumed Rejection of Plan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the Plan. Accordingly, under section 1126(g) of the Bankruptcy Code, the votes of Holders of Unexercised Equity Interests in Class 12 will not be solicited and such Holders are deemed to reject the Plan.</w:t>
      </w:r>
    </w:p>
    <w:p>
      <w:pPr>
        <w:spacing w:after="0" w:line="177"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Voting Classes</w:t>
      </w:r>
    </w:p>
    <w:p>
      <w:pPr>
        <w:spacing w:after="0" w:line="229"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Classes 7 and 10 are Impaired and entitled to vote under the Plan. The Holders of Claims in Class 7 and Existing Common Stock in Class 10 as of the Voting Record Date are entitled to vote to accept or reject the Plan.</w:t>
      </w:r>
    </w:p>
    <w:p>
      <w:pPr>
        <w:spacing w:after="0" w:line="166"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 of Claims</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the Plan if the Holders of at least two-thirds (2/3) in dollar amount and more than one-half (1/2) in number of the Allowed Claims in such Class actually voting have voted to accept the Plan.</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the Plan if the Holders of at least two-thirds (2/3) in amount of the Allowed Equity Interests in such Class actually have voted to accept the Plan.</w:t>
      </w:r>
    </w:p>
    <w:p>
      <w:pPr>
        <w:spacing w:after="0" w:line="177"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Pursuant to Sections 1129(a)(10) and 1129(b) of the Bankruptcy Code; Cram Down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1129(a)(10) of the Bankruptcy Code will be satisfied for purposes of Confirmation by acceptance of the Plan by Class 7. The Debtors request confirmation of the Plan under section 1129(b) of the Bankruptcy Code with respect to any Impaired Class that does not accept the Plan pursuant to section 1126 of the Bankruptcy Code. The Debtors reserve the right, in accordance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1" w:name="page172"/>
    <w:bookmarkEnd w:id="171"/>
    <w:p>
      <w:pPr>
        <w:ind w:right="340"/>
        <w:spacing w:after="0" w:line="277" w:lineRule="auto"/>
        <w:rPr>
          <w:sz w:val="20"/>
          <w:szCs w:val="20"/>
          <w:color w:val="auto"/>
        </w:rPr>
      </w:pPr>
      <w:r>
        <w:rPr>
          <w:rFonts w:ascii="Arial" w:cs="Arial" w:eastAsia="Arial" w:hAnsi="Arial"/>
          <w:sz w:val="18"/>
          <w:szCs w:val="18"/>
          <w:color w:val="auto"/>
        </w:rPr>
        <w:t>with the terms of the Restructuring Support Agreement, to modify the Plan or any Exhibit or Plan Schedule in order to satisfy the requirements of section 1129(b) of the Bankruptcy Code, if necessary.</w:t>
      </w:r>
    </w:p>
    <w:p>
      <w:pPr>
        <w:spacing w:after="0" w:line="166"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Votes Solicited in Good Faith</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the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MEANS FOR IMPLEMENTATION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Restructuring Transactions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the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the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the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the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the Plan and having such other terms to which the applicable Entities may agree; (iii) the filing of appropriate certificates or articles of merger, amalgamation,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2" w:name="page173"/>
    <w:bookmarkEnd w:id="172"/>
    <w:p>
      <w:pPr>
        <w:ind w:right="60"/>
        <w:spacing w:after="0" w:line="302" w:lineRule="auto"/>
        <w:rPr>
          <w:sz w:val="20"/>
          <w:szCs w:val="20"/>
          <w:color w:val="auto"/>
        </w:rPr>
      </w:pPr>
      <w:r>
        <w:rPr>
          <w:rFonts w:ascii="Arial" w:cs="Arial" w:eastAsia="Arial" w:hAnsi="Arial"/>
          <w:sz w:val="16"/>
          <w:szCs w:val="16"/>
          <w:color w:val="auto"/>
        </w:rPr>
        <w:t>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the Plan, the DIP Financing Documents (if applicable), and the Restructuring Documents and any consents or approvals required thereunder.</w:t>
      </w:r>
    </w:p>
    <w:p>
      <w:pPr>
        <w:spacing w:after="0" w:line="150"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Corporate Existence</w:t>
      </w:r>
    </w:p>
    <w:p>
      <w:pPr>
        <w:spacing w:after="0" w:line="229" w:lineRule="exact"/>
        <w:rPr>
          <w:sz w:val="20"/>
          <w:szCs w:val="20"/>
          <w:color w:val="auto"/>
        </w:rPr>
      </w:pPr>
    </w:p>
    <w:p>
      <w:pPr>
        <w:ind w:right="20" w:firstLine="662"/>
        <w:spacing w:after="0" w:line="284" w:lineRule="auto"/>
        <w:rPr>
          <w:sz w:val="20"/>
          <w:szCs w:val="20"/>
          <w:color w:val="auto"/>
        </w:rPr>
      </w:pPr>
      <w:r>
        <w:rPr>
          <w:rFonts w:ascii="Arial" w:cs="Arial" w:eastAsia="Arial" w:hAnsi="Arial"/>
          <w:sz w:val="16"/>
          <w:szCs w:val="16"/>
          <w:color w:val="auto"/>
        </w:rPr>
        <w:t xml:space="preserve">Subject to the Restructuring Transactions permitted by </w:t>
      </w:r>
      <w:r>
        <w:rPr>
          <w:rFonts w:ascii="Arial" w:cs="Arial" w:eastAsia="Arial" w:hAnsi="Arial"/>
          <w:sz w:val="16"/>
          <w:szCs w:val="16"/>
          <w:u w:val="single" w:color="auto"/>
          <w:color w:val="auto"/>
        </w:rPr>
        <w:t>Article V.A</w:t>
      </w:r>
      <w:r>
        <w:rPr>
          <w:rFonts w:ascii="Arial" w:cs="Arial" w:eastAsia="Arial" w:hAnsi="Arial"/>
          <w:sz w:val="16"/>
          <w:szCs w:val="16"/>
          <w:color w:val="auto"/>
        </w:rPr>
        <w:t xml:space="preserve"> of the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the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the Plan or the Chapter</w:t>
      </w:r>
    </w:p>
    <w:p>
      <w:pPr>
        <w:spacing w:after="0" w:line="1" w:lineRule="exact"/>
        <w:rPr>
          <w:sz w:val="20"/>
          <w:szCs w:val="20"/>
          <w:color w:val="auto"/>
        </w:rPr>
      </w:pPr>
    </w:p>
    <w:p>
      <w:pPr>
        <w:ind w:left="220" w:hanging="212"/>
        <w:spacing w:after="0"/>
        <w:tabs>
          <w:tab w:leader="none" w:pos="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Cases.</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Assets in the Reorganized Debtors Free and Clear of Liens and Claims</w:t>
      </w:r>
    </w:p>
    <w:p>
      <w:pPr>
        <w:spacing w:after="0" w:line="22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 xml:space="preserve">Except as otherwise expressly provided in the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the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the Plan or the Confirmation Order.</w:t>
      </w:r>
    </w:p>
    <w:p>
      <w:pPr>
        <w:spacing w:after="0" w:line="174"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Exit Facility Loan Documents</w:t>
      </w:r>
    </w:p>
    <w:p>
      <w:pPr>
        <w:spacing w:after="0" w:line="229"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3" w:name="page174"/>
    <w:bookmarkEnd w:id="173"/>
    <w:p>
      <w:pPr>
        <w:spacing w:after="0" w:line="255" w:lineRule="auto"/>
        <w:rPr>
          <w:sz w:val="20"/>
          <w:szCs w:val="20"/>
          <w:color w:val="auto"/>
        </w:rPr>
      </w:pPr>
      <w:r>
        <w:rPr>
          <w:rFonts w:ascii="Arial" w:cs="Arial" w:eastAsia="Arial" w:hAnsi="Arial"/>
          <w:sz w:val="18"/>
          <w:szCs w:val="18"/>
          <w:color w:val="auto"/>
        </w:rPr>
        <w:t>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85"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New Senior Unsecured Notes Indentures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the Plan, the Confirmation Order or on account of the Confirmation or Consummation of the Plan.</w:t>
      </w:r>
    </w:p>
    <w:p>
      <w:pPr>
        <w:spacing w:after="0" w:line="178"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New Common Stock; Book Entry</w:t>
      </w:r>
    </w:p>
    <w:p>
      <w:pPr>
        <w:spacing w:after="0" w:line="229"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On the Effective Date, subject to the terms and conditions of the Plan and the Restructuring Transactions and as described more fully in the Reorganization Steps Overview, Reorganized Parent will issue the New Common Stock pursuant to the Plan and the Amended/New Corporate Governance Documents.</w:t>
      </w:r>
    </w:p>
    <w:p>
      <w:pPr>
        <w:spacing w:after="0" w:line="181"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the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3"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New Securities and Transfer Restrictions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4" w:name="page175"/>
    <w:bookmarkEnd w:id="174"/>
    <w:p>
      <w:pPr>
        <w:ind w:right="60"/>
        <w:spacing w:after="0" w:line="259" w:lineRule="auto"/>
        <w:rPr>
          <w:sz w:val="20"/>
          <w:szCs w:val="20"/>
          <w:color w:val="auto"/>
        </w:rPr>
      </w:pPr>
      <w:r>
        <w:rPr>
          <w:rFonts w:ascii="Arial" w:cs="Arial" w:eastAsia="Arial" w:hAnsi="Arial"/>
          <w:sz w:val="18"/>
          <w:szCs w:val="18"/>
          <w:color w:val="auto"/>
        </w:rPr>
        <w:t>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3"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New Registration Rights Agreement</w:t>
      </w:r>
    </w:p>
    <w:p>
      <w:pPr>
        <w:spacing w:after="0" w:line="229"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the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67"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New Management Incentive Plan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3"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New Warrants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0"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Plan Securities and Related Documentation; Exemption from Securities Laws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the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the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75" w:name="page176"/>
    <w:bookmarkEnd w:id="175"/>
    <w:p>
      <w:pPr>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the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the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69"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Liens and Claims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the Plan) or in any contract, instrument, release or other agreement or document entered into or delivered in connection with the Plan, on the Effective Date and concurrently with the applicable distributions made pursuant to Article VII of the Plan,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such instruments of termination, release, satisfaction and/or assignment (in recordable form) as may be reasonably requested by the Reorganized Debtors.</w:t>
      </w:r>
    </w:p>
    <w:p>
      <w:pPr>
        <w:spacing w:after="0" w:line="244"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 Documents of the Reorganized Debtors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New/Amended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the Plan (including as a result of the exercise of New Warrants); and (iii) to the extent necessary or appropriate, include such provisions as may be needed to effectuate and consummate the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63"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of the Reorganized Debtors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3"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Action</w:t>
      </w:r>
    </w:p>
    <w:p>
      <w:pPr>
        <w:spacing w:after="0" w:line="229" w:lineRule="exact"/>
        <w:rPr>
          <w:sz w:val="20"/>
          <w:szCs w:val="20"/>
          <w:color w:val="auto"/>
        </w:rPr>
      </w:pPr>
    </w:p>
    <w:p>
      <w:pPr>
        <w:ind w:right="620" w:firstLine="662"/>
        <w:spacing w:after="0" w:line="342" w:lineRule="auto"/>
        <w:rPr>
          <w:sz w:val="20"/>
          <w:szCs w:val="20"/>
          <w:color w:val="auto"/>
        </w:rPr>
      </w:pPr>
      <w:r>
        <w:rPr>
          <w:rFonts w:ascii="Arial" w:cs="Arial" w:eastAsia="Arial" w:hAnsi="Arial"/>
          <w:sz w:val="16"/>
          <w:szCs w:val="16"/>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7" w:name="page178"/>
    <w:bookmarkEnd w:id="177"/>
    <w:p>
      <w:pPr>
        <w:ind w:right="100"/>
        <w:spacing w:after="0" w:line="255" w:lineRule="auto"/>
        <w:rPr>
          <w:sz w:val="20"/>
          <w:szCs w:val="20"/>
          <w:color w:val="auto"/>
        </w:rPr>
      </w:pPr>
      <w:r>
        <w:rPr>
          <w:rFonts w:ascii="Arial" w:cs="Arial" w:eastAsia="Arial" w:hAnsi="Arial"/>
          <w:sz w:val="18"/>
          <w:szCs w:val="18"/>
          <w:color w:val="auto"/>
        </w:rPr>
        <w:t>provisions of the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19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the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As of the Effective Date, all matters provided for in the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the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the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5"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Notes, Certificates and Instruments</w:t>
      </w:r>
    </w:p>
    <w:p>
      <w:pPr>
        <w:spacing w:after="0" w:line="229" w:lineRule="exact"/>
        <w:rPr>
          <w:sz w:val="20"/>
          <w:szCs w:val="20"/>
          <w:color w:val="auto"/>
        </w:rPr>
      </w:pPr>
    </w:p>
    <w:p>
      <w:pPr>
        <w:ind w:right="200" w:firstLine="662"/>
        <w:spacing w:after="0" w:line="308" w:lineRule="auto"/>
        <w:rPr>
          <w:sz w:val="20"/>
          <w:szCs w:val="20"/>
          <w:color w:val="auto"/>
        </w:rPr>
      </w:pPr>
      <w:r>
        <w:rPr>
          <w:rFonts w:ascii="Arial" w:cs="Arial" w:eastAsia="Arial" w:hAnsi="Arial"/>
          <w:sz w:val="17"/>
          <w:szCs w:val="17"/>
          <w:color w:val="auto"/>
        </w:rPr>
        <w:t>On the Effective Date, except to the extent otherwise provided in the Plan (including, without limitation, Article II.B, Article V.B, Article V.E, and Article V.K of the Plan), all notes, indentures, instruments, certificates, agreements and other documents evidencing or relating to any Impaired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spacing w:after="0" w:line="285" w:lineRule="auto"/>
        <w:rPr>
          <w:sz w:val="20"/>
          <w:szCs w:val="20"/>
          <w:color w:val="auto"/>
        </w:rPr>
      </w:pPr>
      <w:r>
        <w:rPr>
          <w:rFonts w:ascii="Arial" w:cs="Arial" w:eastAsia="Arial" w:hAnsi="Arial"/>
          <w:sz w:val="16"/>
          <w:szCs w:val="16"/>
          <w:color w:val="auto"/>
        </w:rPr>
        <w:t>Claim (including, for the avoidance of doubt and without limitation, the Prepetition Notes Indentures and the Prepetition Notes, or any Claim being paid in full in Cash under the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the Plan; provided that the Prepetition Debt 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the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the Plan, and (iv) preserving the DIP Contingent Claims as contemplated by Article II.B of the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the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the Plan or otherwise.</w:t>
      </w:r>
    </w:p>
    <w:p>
      <w:pPr>
        <w:spacing w:after="0" w:line="171"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Existing Equity Interests</w:t>
      </w:r>
    </w:p>
    <w:p>
      <w:pPr>
        <w:spacing w:after="0" w:line="229"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the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9" w:name="page180"/>
    <w:bookmarkEnd w:id="179"/>
    <w:p>
      <w:pPr>
        <w:ind w:left="1300" w:hanging="644"/>
        <w:spacing w:after="0"/>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Sources of Cash for Plan Distributions</w:t>
      </w:r>
    </w:p>
    <w:p>
      <w:pPr>
        <w:spacing w:after="0" w:line="229"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the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the Plan and the DIP Orders.</w:t>
      </w:r>
    </w:p>
    <w:p>
      <w:pPr>
        <w:spacing w:after="0" w:line="174"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Funding and Use of Professional Fee Claim Reserve</w:t>
      </w:r>
    </w:p>
    <w:p>
      <w:pPr>
        <w:spacing w:after="0" w:line="229"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the Plan.</w:t>
      </w:r>
    </w:p>
    <w:p>
      <w:pPr>
        <w:spacing w:after="0" w:line="171" w:lineRule="exact"/>
        <w:rPr>
          <w:sz w:val="20"/>
          <w:szCs w:val="20"/>
          <w:color w:val="auto"/>
        </w:rPr>
      </w:pPr>
    </w:p>
    <w:p>
      <w:pPr>
        <w:jc w:val="both"/>
        <w:ind w:right="140" w:firstLine="662"/>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4"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Certain Creditors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0" w:name="page181"/>
    <w:bookmarkEnd w:id="180"/>
    <w:p>
      <w:pPr>
        <w:ind w:right="380"/>
        <w:spacing w:after="0" w:line="277" w:lineRule="auto"/>
        <w:rPr>
          <w:sz w:val="20"/>
          <w:szCs w:val="20"/>
          <w:color w:val="auto"/>
        </w:rPr>
      </w:pPr>
      <w:r>
        <w:rPr>
          <w:rFonts w:ascii="Arial" w:cs="Arial" w:eastAsia="Arial" w:hAnsi="Arial"/>
          <w:sz w:val="18"/>
          <w:szCs w:val="18"/>
          <w:color w:val="auto"/>
        </w:rPr>
        <w:t>during the Chapter 11 Cases), without the need for application by any such parties to the Bankruptcy Court, and without notice and a hearing pursuant to section 1129(a)(4) of the Bankruptcy Code or otherwise.</w:t>
      </w:r>
    </w:p>
    <w:p>
      <w:pPr>
        <w:spacing w:after="0" w:line="166"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Fees and Expenses of the Prepetition Notes Indenture Trustee</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the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63"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Tranche B Equity Conversion and Overallotment Rights</w:t>
      </w:r>
    </w:p>
    <w:p>
      <w:pPr>
        <w:spacing w:after="0" w:line="229"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the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1" w:name="page182"/>
    <w:bookmarkEnd w:id="181"/>
    <w:p>
      <w:pPr>
        <w:ind w:right="360" w:firstLine="662"/>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the Plan.</w:t>
      </w:r>
    </w:p>
    <w:p>
      <w:pPr>
        <w:spacing w:after="0" w:line="167"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the Plan and the Rights Offering Procedures. Pursuant to the Rights Offering Procedures and the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the Plan, the Reorganized Debtors will be authorized to issue the New Tranche A Senior Unsecured Notes on the Effective Date in accordance with the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EXECUTORY CONTRACTS AND UNEXPIRED LEASES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 of Executory Contracts and Unexpired Leases</w:t>
      </w:r>
    </w:p>
    <w:p>
      <w:pPr>
        <w:spacing w:after="0" w:line="229" w:lineRule="exact"/>
        <w:rPr>
          <w:sz w:val="20"/>
          <w:szCs w:val="20"/>
          <w:color w:val="auto"/>
        </w:rPr>
      </w:pPr>
    </w:p>
    <w:p>
      <w:pPr>
        <w:ind w:firstLine="662"/>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940" w:hanging="635"/>
        <w:spacing w:after="0"/>
        <w:tabs>
          <w:tab w:leader="none" w:pos="19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1960" w:hanging="655"/>
        <w:spacing w:after="0" w:line="279" w:lineRule="auto"/>
        <w:tabs>
          <w:tab w:leader="none" w:pos="197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the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82" w:name="page183"/>
    <w:bookmarkEnd w:id="182"/>
    <w:p>
      <w:pPr>
        <w:ind w:right="20" w:firstLine="662"/>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ind w:right="20" w:firstLine="662"/>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the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the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the Plan, in each case subject to the remaining terms and conditions of Article VI of the Plan.</w:t>
      </w:r>
    </w:p>
    <w:p>
      <w:pPr>
        <w:spacing w:after="0" w:line="185"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the Plan will revest in and be fully enforceable by the applicable Reorganized Debtor or the applicable assignee in accordance with its terms and conditions, except as modified by the provisions of the Plan, any order of the Bankruptcy Court approving its assumption and/or assignment, or applicable law.</w:t>
      </w:r>
    </w:p>
    <w:p>
      <w:pPr>
        <w:spacing w:after="0" w:line="181" w:lineRule="exact"/>
        <w:rPr>
          <w:sz w:val="20"/>
          <w:szCs w:val="20"/>
          <w:color w:val="auto"/>
        </w:rPr>
      </w:pPr>
    </w:p>
    <w:p>
      <w:pPr>
        <w:ind w:right="20" w:firstLine="662"/>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66"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Cure of Defaults; Assignment of Executory Contracts and Unexpired Leases</w:t>
      </w:r>
    </w:p>
    <w:p>
      <w:pPr>
        <w:spacing w:after="0" w:line="229" w:lineRule="exact"/>
        <w:rPr>
          <w:sz w:val="20"/>
          <w:szCs w:val="20"/>
          <w:color w:val="auto"/>
        </w:rPr>
      </w:pPr>
    </w:p>
    <w:p>
      <w:pPr>
        <w:ind w:right="280" w:firstLine="662"/>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the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In the event of an assumption, or an assumption and assignment, of an Executory Contract or Unexpired Lease under the Plan, at least twenty-one (21) days prior to the Plan Objection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3" w:name="page184"/>
    <w:bookmarkEnd w:id="183"/>
    <w:p>
      <w:pPr>
        <w:ind w:right="220"/>
        <w:spacing w:after="0" w:line="257" w:lineRule="auto"/>
        <w:rPr>
          <w:sz w:val="20"/>
          <w:szCs w:val="20"/>
          <w:color w:val="auto"/>
        </w:rPr>
      </w:pPr>
      <w:r>
        <w:rPr>
          <w:rFonts w:ascii="Arial" w:cs="Arial" w:eastAsia="Arial" w:hAnsi="Arial"/>
          <w:sz w:val="18"/>
          <w:szCs w:val="18"/>
          <w:color w:val="auto"/>
        </w:rPr>
        <w:t>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 Contract or Unexpired Lease will be assigned; (c) describe the procedures for filing objections thereto; and (d) explain the process by which related disputes will be resolved by the Bankruptcy Court.</w:t>
      </w:r>
    </w:p>
    <w:p>
      <w:pPr>
        <w:spacing w:after="0" w:line="188"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the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180" w:firstLine="662"/>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00" w:firstLine="662"/>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the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Article VI the Plan.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480" w:firstLine="662"/>
        <w:spacing w:after="0" w:line="308" w:lineRule="auto"/>
        <w:rPr>
          <w:sz w:val="20"/>
          <w:szCs w:val="20"/>
          <w:color w:val="auto"/>
        </w:rPr>
      </w:pPr>
      <w:r>
        <w:rPr>
          <w:rFonts w:ascii="Arial" w:cs="Arial" w:eastAsia="Arial" w:hAnsi="Arial"/>
          <w:sz w:val="17"/>
          <w:szCs w:val="17"/>
          <w:color w:val="auto"/>
        </w:rPr>
        <w:t>With respect to any Executory Contract or Unexpired Lease assumed and assigned pursuant to the Plan, upon and as of the Effective Date, the applicable assignee will be deemed to be substituted as a party thereto for the applicable Debtor party to such assigned Executory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4" w:name="page185"/>
    <w:bookmarkEnd w:id="184"/>
    <w:p>
      <w:pPr>
        <w:ind w:right="340"/>
        <w:spacing w:after="0" w:line="277" w:lineRule="auto"/>
        <w:rPr>
          <w:sz w:val="20"/>
          <w:szCs w:val="20"/>
          <w:color w:val="auto"/>
        </w:rPr>
      </w:pPr>
      <w:r>
        <w:rPr>
          <w:rFonts w:ascii="Arial" w:cs="Arial" w:eastAsia="Arial" w:hAnsi="Arial"/>
          <w:sz w:val="18"/>
          <w:szCs w:val="18"/>
          <w:color w:val="auto"/>
        </w:rPr>
        <w:t>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66"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Rejection of Executory Contracts and Unexpired Leases</w:t>
      </w:r>
    </w:p>
    <w:p>
      <w:pPr>
        <w:spacing w:after="0" w:line="22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Plan pursuant to sections 365 and 1123 of the Bankruptcy Code as of the Effective Date. Rejection of any Executory Contract or Unexpired Lease pursuant to the Plan or otherwise will not constitute a termination of any preexisting obligations owed to the Debtors or the Reorganized Debtors, as applicable, under such Executory Contracts or Unexpired Leases.</w:t>
      </w:r>
    </w:p>
    <w:p>
      <w:pPr>
        <w:spacing w:after="0" w:line="185"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Claims on Account of the Rejection of Executory Contracts or Unexpired Leases</w:t>
      </w:r>
    </w:p>
    <w:p>
      <w:pPr>
        <w:spacing w:after="0" w:line="229"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the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60" w:firstLine="662"/>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of the Plan.</w:t>
      </w:r>
    </w:p>
    <w:p>
      <w:pPr>
        <w:spacing w:after="0" w:line="154"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D&amp;O Liability Insurance Policies</w:t>
      </w:r>
    </w:p>
    <w:p>
      <w:pPr>
        <w:spacing w:after="0" w:line="229" w:lineRule="exact"/>
        <w:rPr>
          <w:sz w:val="20"/>
          <w:szCs w:val="20"/>
          <w:color w:val="auto"/>
        </w:rPr>
      </w:pPr>
    </w:p>
    <w:p>
      <w:pPr>
        <w:ind w:right="60" w:firstLine="662"/>
        <w:spacing w:after="0" w:line="290"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5" w:name="page186"/>
    <w:bookmarkEnd w:id="185"/>
    <w:p>
      <w:pPr>
        <w:spacing w:after="0" w:line="255" w:lineRule="auto"/>
        <w:rPr>
          <w:sz w:val="20"/>
          <w:szCs w:val="20"/>
          <w:color w:val="auto"/>
        </w:rPr>
      </w:pPr>
      <w:r>
        <w:rPr>
          <w:rFonts w:ascii="Arial" w:cs="Arial" w:eastAsia="Arial" w:hAnsi="Arial"/>
          <w:sz w:val="18"/>
          <w:szCs w:val="18"/>
          <w:color w:val="auto"/>
        </w:rPr>
        <w:t>nothing in the Plan otherwise alters the terms and conditions of the D&amp;O Liability Insurance Policies. Confirmation and Consummation of the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85"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Provisions</w:t>
      </w:r>
    </w:p>
    <w:p>
      <w:pPr>
        <w:spacing w:after="0" w:line="229"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the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5"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Plans</w:t>
      </w:r>
    </w:p>
    <w:p>
      <w:pPr>
        <w:spacing w:after="0" w:line="229" w:lineRule="exact"/>
        <w:rPr>
          <w:sz w:val="20"/>
          <w:szCs w:val="20"/>
          <w:color w:val="auto"/>
        </w:rPr>
      </w:pPr>
    </w:p>
    <w:p>
      <w:pPr>
        <w:ind w:right="120" w:firstLine="662"/>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4"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Contracts</w:t>
      </w:r>
    </w:p>
    <w:p>
      <w:pPr>
        <w:spacing w:after="0" w:line="229" w:lineRule="exact"/>
        <w:rPr>
          <w:sz w:val="20"/>
          <w:szCs w:val="20"/>
          <w:color w:val="auto"/>
        </w:rPr>
      </w:pPr>
    </w:p>
    <w:p>
      <w:pPr>
        <w:ind w:right="160" w:firstLine="662"/>
        <w:spacing w:after="0" w:line="257"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6" w:name="page187"/>
    <w:bookmarkEnd w:id="186"/>
    <w:p>
      <w:pPr>
        <w:ind w:right="640"/>
        <w:spacing w:after="0" w:line="277" w:lineRule="auto"/>
        <w:rPr>
          <w:sz w:val="20"/>
          <w:szCs w:val="20"/>
          <w:color w:val="auto"/>
        </w:rPr>
      </w:pPr>
      <w:r>
        <w:rPr>
          <w:rFonts w:ascii="Arial" w:cs="Arial" w:eastAsia="Arial" w:hAnsi="Arial"/>
          <w:sz w:val="18"/>
          <w:szCs w:val="18"/>
          <w:color w:val="auto"/>
        </w:rPr>
        <w:t>Consummation of the Plan will not impair or otherwise modify any available defenses of the Reorganized Debtors or any insurer under the Insurance Contracts.</w:t>
      </w:r>
    </w:p>
    <w:p>
      <w:pPr>
        <w:spacing w:after="0" w:line="166"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Time to Assume or Reject</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the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4"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Amendments, Supplements, Restatements, or Other Agreements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otherwise provided in the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DISTRIBUTIONS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Distributions for Claims Allowed as of the Effective Date</w:t>
      </w:r>
    </w:p>
    <w:p>
      <w:pPr>
        <w:spacing w:after="0" w:line="229"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the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w:t>
      </w:r>
    </w:p>
    <w:p>
      <w:pPr>
        <w:spacing w:after="0" w:line="184"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No Postpetition Interest on Claims</w:t>
      </w:r>
    </w:p>
    <w:p>
      <w:pPr>
        <w:spacing w:after="0" w:line="229" w:lineRule="exact"/>
        <w:rPr>
          <w:sz w:val="20"/>
          <w:szCs w:val="20"/>
          <w:color w:val="auto"/>
        </w:rPr>
      </w:pPr>
    </w:p>
    <w:p>
      <w:pPr>
        <w:jc w:val="both"/>
        <w:ind w:right="300" w:firstLine="662"/>
        <w:spacing w:after="0" w:line="264" w:lineRule="auto"/>
        <w:rPr>
          <w:sz w:val="20"/>
          <w:szCs w:val="20"/>
          <w:color w:val="auto"/>
        </w:rPr>
      </w:pPr>
      <w:r>
        <w:rPr>
          <w:rFonts w:ascii="Arial" w:cs="Arial" w:eastAsia="Arial" w:hAnsi="Arial"/>
          <w:sz w:val="18"/>
          <w:szCs w:val="18"/>
          <w:color w:val="auto"/>
        </w:rPr>
        <w:t>Unless otherwise specifically provided for in the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Holder of a Claim (except a DIP Facility Claim) will be entitled to interest accruing on or after the Petition Date on any Claim.</w:t>
      </w:r>
    </w:p>
    <w:p>
      <w:pPr>
        <w:spacing w:after="0" w:line="221"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by the Reorganized Debtors or Other Applicable Distribution Agent</w:t>
      </w:r>
    </w:p>
    <w:p>
      <w:pPr>
        <w:spacing w:after="0" w:line="229" w:lineRule="exact"/>
        <w:rPr>
          <w:sz w:val="20"/>
          <w:szCs w:val="20"/>
          <w:color w:val="auto"/>
        </w:rPr>
      </w:pPr>
    </w:p>
    <w:p>
      <w:pPr>
        <w:ind w:right="20" w:firstLine="662"/>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the Plan, the Reorganized Debtors or other applicable Distribution Agent will make all distributions required to be distributed under the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the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the Plan, as applicable. The Reorganized Debtors may employ or contract with other Entities to assist in or make the distributions required by the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62"/>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the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the Plan, the Prepetition Notes Indenture Trustee may transfer or direct the transfer of such distributions through the facilities of DTC and, in such event, will be entitled to recognize and deal for all purposes under the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the Plan to Holders of Allowed Prepetition Notes Claims shall be made by the Voting and Claims Agent as provided in the Rights Offering Procedures. The obligations of the Prepetition Notes Indenture Trustee under the Prepetition Notes Indentures, the Prepetition Notes, and the Plan shall be deemed fully satisfied upon DTC’s receipt of the distributions with respect to the Prepetition Notes.</w:t>
      </w:r>
    </w:p>
    <w:p>
      <w:pPr>
        <w:spacing w:after="0" w:line="17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distributions of New Common Stock and New Warrants to be made under the Plan to Holders of Allowed Existing Common Stock shall be made by the Debtors or Reorganized Debtors, as applicable, and may include the distribution of that New Common Stock and New</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88" w:name="page189"/>
    <w:bookmarkEnd w:id="188"/>
    <w:p>
      <w:pPr>
        <w:ind w:right="80"/>
        <w:spacing w:after="0" w:line="308" w:lineRule="auto"/>
        <w:rPr>
          <w:sz w:val="20"/>
          <w:szCs w:val="20"/>
          <w:color w:val="auto"/>
        </w:rPr>
      </w:pPr>
      <w:r>
        <w:rPr>
          <w:rFonts w:ascii="Arial" w:cs="Arial" w:eastAsia="Arial" w:hAnsi="Arial"/>
          <w:sz w:val="17"/>
          <w:szCs w:val="17"/>
          <w:color w:val="auto"/>
        </w:rPr>
        <w:t>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43" w:lineRule="exact"/>
        <w:rPr>
          <w:sz w:val="20"/>
          <w:szCs w:val="20"/>
          <w:color w:val="auto"/>
        </w:rPr>
      </w:pPr>
    </w:p>
    <w:p>
      <w:pPr>
        <w:ind w:left="1300" w:hanging="644"/>
        <w:spacing w:after="0"/>
        <w:tabs>
          <w:tab w:leader="none" w:pos="13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Distributions; Undeliverable or Unclaimed Distributions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60" w:firstLine="729"/>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the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960" w:hanging="655"/>
        <w:spacing w:after="0"/>
        <w:tabs>
          <w:tab w:leader="none" w:pos="19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the Plan would otherwise be called for, the actual payment or distribution will reflect a rounding of such fraction down to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89" w:name="page190"/>
    <w:bookmarkEnd w:id="189"/>
    <w:p>
      <w:pPr>
        <w:ind w:right="100"/>
        <w:spacing w:after="0" w:line="308" w:lineRule="auto"/>
        <w:rPr>
          <w:sz w:val="20"/>
          <w:szCs w:val="20"/>
          <w:color w:val="auto"/>
        </w:rPr>
      </w:pPr>
      <w:r>
        <w:rPr>
          <w:rFonts w:ascii="Arial" w:cs="Arial" w:eastAsia="Arial" w:hAnsi="Arial"/>
          <w:sz w:val="17"/>
          <w:szCs w:val="17"/>
          <w:color w:val="auto"/>
        </w:rPr>
        <w:t>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4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the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of the Plan.</w:t>
      </w:r>
    </w:p>
    <w:p>
      <w:pPr>
        <w:spacing w:after="0" w:line="188" w:lineRule="exact"/>
        <w:rPr>
          <w:sz w:val="20"/>
          <w:szCs w:val="20"/>
          <w:color w:val="auto"/>
        </w:rPr>
      </w:pPr>
    </w:p>
    <w:p>
      <w:pPr>
        <w:ind w:left="1960" w:hanging="655"/>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620" w:right="40" w:hanging="315"/>
        <w:spacing w:after="0" w:line="271" w:lineRule="auto"/>
        <w:tabs>
          <w:tab w:leader="none" w:pos="1584" w:val="left"/>
        </w:tabs>
        <w:numPr>
          <w:ilvl w:val="0"/>
          <w:numId w:val="159"/>
        </w:numPr>
        <w:rPr>
          <w:rFonts w:ascii="Arial" w:cs="Arial" w:eastAsia="Arial" w:hAnsi="Arial"/>
          <w:sz w:val="17"/>
          <w:szCs w:val="17"/>
          <w:color w:val="auto"/>
        </w:rPr>
      </w:pPr>
      <w:r>
        <w:rPr>
          <w:rFonts w:ascii="Arial" w:cs="Arial" w:eastAsia="Arial" w:hAnsi="Arial"/>
          <w:sz w:val="17"/>
          <w:szCs w:val="17"/>
          <w:i w:val="1"/>
          <w:iCs w:val="1"/>
          <w:u w:val="single" w:color="auto"/>
          <w:color w:val="auto"/>
        </w:rPr>
        <w:t>Holding of Certain Undeliverable Distributions</w:t>
      </w:r>
      <w:r>
        <w:rPr>
          <w:rFonts w:ascii="Arial" w:cs="Arial" w:eastAsia="Arial" w:hAnsi="Arial"/>
          <w:sz w:val="17"/>
          <w:szCs w:val="17"/>
          <w:color w:val="auto"/>
        </w:rPr>
        <w:t>: If the distribution to any Holder of an Allowed Claim or an Allowed Equity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7"/>
          <w:szCs w:val="17"/>
          <w:u w:val="single" w:color="auto"/>
          <w:color w:val="auto"/>
        </w:rPr>
        <w:t>Article VII.D.4(b)</w:t>
      </w:r>
      <w:r>
        <w:rPr>
          <w:rFonts w:ascii="Arial" w:cs="Arial" w:eastAsia="Arial" w:hAnsi="Arial"/>
          <w:sz w:val="17"/>
          <w:szCs w:val="17"/>
          <w:color w:val="auto"/>
        </w:rPr>
        <w:t xml:space="preserve"> of the Plan, until such time as any such distributions become deliverable. Undeliverable distributions will not be entitled to any additional interest, dividends or other accruals of any kind on account of their distribution being undeliverable.</w:t>
      </w:r>
    </w:p>
    <w:p>
      <w:pPr>
        <w:spacing w:after="0" w:line="178" w:lineRule="exact"/>
        <w:rPr>
          <w:rFonts w:ascii="Arial" w:cs="Arial" w:eastAsia="Arial" w:hAnsi="Arial"/>
          <w:sz w:val="17"/>
          <w:szCs w:val="17"/>
          <w:color w:val="auto"/>
        </w:rPr>
      </w:pPr>
    </w:p>
    <w:p>
      <w:pPr>
        <w:ind w:left="1620" w:hanging="315"/>
        <w:spacing w:after="0" w:line="287" w:lineRule="auto"/>
        <w:tabs>
          <w:tab w:leader="none" w:pos="1584" w:val="left"/>
        </w:tabs>
        <w:numPr>
          <w:ilvl w:val="0"/>
          <w:numId w:val="159"/>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Claim Undeliverable Distributions</w:t>
      </w:r>
      <w:r>
        <w:rPr>
          <w:rFonts w:ascii="Arial" w:cs="Arial" w:eastAsia="Arial" w:hAnsi="Arial"/>
          <w:sz w:val="16"/>
          <w:szCs w:val="16"/>
          <w:color w:val="auto"/>
        </w:rPr>
        <w:t>: Any Holder of an Allowed Claim or an Allowed Equity Interest (or any successor or</w:t>
      </w:r>
      <w:r>
        <w:rPr>
          <w:rFonts w:ascii="Arial" w:cs="Arial" w:eastAsia="Arial" w:hAnsi="Arial"/>
          <w:sz w:val="16"/>
          <w:szCs w:val="16"/>
          <w:i w:val="1"/>
          <w:iCs w:val="1"/>
          <w:color w:val="auto"/>
        </w:rPr>
        <w:t xml:space="preserve"> </w:t>
      </w:r>
      <w:r>
        <w:rPr>
          <w:rFonts w:ascii="Arial" w:cs="Arial" w:eastAsia="Arial" w:hAnsi="Arial"/>
          <w:sz w:val="16"/>
          <w:szCs w:val="16"/>
          <w:color w:val="auto"/>
        </w:rPr>
        <w:t>assignee or other Person or Entity claiming by, through, or on behalf of, such Holder) that does not assert a right pursuant to the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the Plan. Nothing contained in the Plan will require the Debtors, the Reorganized Debtors, or any Distribution Agent to attempt to locate any Holder of an Allowed Claim or an Allowed Equity Interest.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0" w:name="page191"/>
    <w:bookmarkEnd w:id="190"/>
    <w:p>
      <w:pPr>
        <w:ind w:left="1620" w:right="80" w:hanging="315"/>
        <w:spacing w:after="0" w:line="288" w:lineRule="auto"/>
        <w:tabs>
          <w:tab w:leader="none" w:pos="1584" w:val="left"/>
        </w:tabs>
        <w:numPr>
          <w:ilvl w:val="1"/>
          <w:numId w:val="160"/>
        </w:numPr>
        <w:rPr>
          <w:rFonts w:ascii="Arial" w:cs="Arial" w:eastAsia="Arial" w:hAnsi="Arial"/>
          <w:sz w:val="16"/>
          <w:szCs w:val="16"/>
          <w:color w:val="auto"/>
        </w:rPr>
      </w:pPr>
      <w:r>
        <w:rPr>
          <w:rFonts w:ascii="Arial" w:cs="Arial" w:eastAsia="Arial" w:hAnsi="Arial"/>
          <w:sz w:val="16"/>
          <w:szCs w:val="16"/>
          <w:i w:val="1"/>
          <w:iCs w:val="1"/>
          <w:u w:val="single" w:color="auto"/>
          <w:color w:val="auto"/>
        </w:rPr>
        <w:t>Failure to Present Checks</w:t>
      </w:r>
      <w:r>
        <w:rPr>
          <w:rFonts w:ascii="Arial" w:cs="Arial" w:eastAsia="Arial" w:hAnsi="Arial"/>
          <w:sz w:val="16"/>
          <w:szCs w:val="16"/>
          <w:color w:val="auto"/>
        </w:rPr>
        <w:t>: Checks issued by the Distribution Agent on account of Allowed Claims or Allowed Equity Interests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the Plan.</w:t>
      </w:r>
    </w:p>
    <w:p>
      <w:pPr>
        <w:spacing w:after="0" w:line="165" w:lineRule="exact"/>
        <w:rPr>
          <w:rFonts w:ascii="Arial" w:cs="Arial" w:eastAsia="Arial" w:hAnsi="Arial"/>
          <w:sz w:val="16"/>
          <w:szCs w:val="16"/>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Tax Requirements</w:t>
      </w:r>
    </w:p>
    <w:p>
      <w:pPr>
        <w:spacing w:after="0" w:line="229"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In connection with the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the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Article VII.E of the Plan will be treated as if distributed to the Holder of the Allowed Claim.</w:t>
      </w:r>
    </w:p>
    <w:p>
      <w:pPr>
        <w:spacing w:after="0" w:line="178"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Means of Cash Payment</w:t>
      </w:r>
    </w:p>
    <w:p>
      <w:pPr>
        <w:spacing w:after="0" w:line="229"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Payments of Cash made pursuant to the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the Plan to the DIP Agent on account of the DIP Facility Claims shall be made by wire transfer.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1" w:name="page192"/>
    <w:bookmarkEnd w:id="191"/>
    <w:p>
      <w:pPr>
        <w:ind w:left="1300" w:hanging="644"/>
        <w:spacing w:after="0"/>
        <w:tabs>
          <w:tab w:leader="none" w:pos="1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Timing and Calculation of Amounts to Be Distributed</w:t>
      </w:r>
    </w:p>
    <w:p>
      <w:pPr>
        <w:spacing w:after="0" w:line="229" w:lineRule="exact"/>
        <w:rPr>
          <w:sz w:val="20"/>
          <w:szCs w:val="20"/>
          <w:color w:val="auto"/>
        </w:rPr>
      </w:pPr>
    </w:p>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the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the Plan.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5"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Setoffs</w:t>
      </w:r>
    </w:p>
    <w:p>
      <w:pPr>
        <w:spacing w:after="0" w:line="229" w:lineRule="exact"/>
        <w:rPr>
          <w:sz w:val="20"/>
          <w:szCs w:val="20"/>
          <w:color w:val="auto"/>
        </w:rPr>
      </w:pPr>
    </w:p>
    <w:p>
      <w:pPr>
        <w:ind w:firstLine="652"/>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the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2" w:name="page193"/>
    <w:bookmarkEnd w:id="192"/>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RESOLVING CONTINGENT, UNLIQUIDATED AND DISPUTED CLAIMS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Resolution of Disputed Claims and Equity Interests</w:t>
      </w:r>
    </w:p>
    <w:p>
      <w:pPr>
        <w:spacing w:after="0" w:line="229" w:lineRule="exact"/>
        <w:rPr>
          <w:sz w:val="20"/>
          <w:szCs w:val="20"/>
          <w:color w:val="auto"/>
        </w:rPr>
      </w:pPr>
    </w:p>
    <w:p>
      <w:pPr>
        <w:ind w:left="1940" w:hanging="635"/>
        <w:spacing w:after="0"/>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40" w:firstLine="652"/>
        <w:spacing w:after="0" w:line="276" w:lineRule="auto"/>
        <w:rPr>
          <w:sz w:val="20"/>
          <w:szCs w:val="20"/>
          <w:color w:val="auto"/>
        </w:rPr>
      </w:pPr>
      <w:r>
        <w:rPr>
          <w:rFonts w:ascii="Arial" w:cs="Arial" w:eastAsia="Arial" w:hAnsi="Arial"/>
          <w:sz w:val="17"/>
          <w:szCs w:val="17"/>
          <w:color w:val="auto"/>
        </w:rPr>
        <w:t>After the Effective Date, and except as otherwise provided in the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1960" w:hanging="655"/>
        <w:spacing w:after="0"/>
        <w:tabs>
          <w:tab w:leader="none" w:pos="19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52"/>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the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960" w:hanging="655"/>
        <w:spacing w:after="0"/>
        <w:tabs>
          <w:tab w:leader="none" w:pos="19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20" w:firstLine="652"/>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3" w:name="page194"/>
    <w:bookmarkEnd w:id="193"/>
    <w:p>
      <w:pPr>
        <w:ind w:left="1960" w:hanging="655"/>
        <w:spacing w:after="0"/>
        <w:tabs>
          <w:tab w:leader="none" w:pos="19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Except as otherwise provided in the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Debtors and the Reorganized Debtors, as applicable, reserve the right to object to any Claim or Equity Interest that is entitled, or deemed to be entitled, to a distribution under the Plan or is rendered Unimpaired under the Plan. Instead, the Debtors intend to make distributions, as required by the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Debtors may, with the consent of the Required Consenting Noteholders, compromise, settle, withdraw or resolve by any other method approved by the Bankruptcy Court any objections to Claims or Equity Interests.</w:t>
      </w:r>
    </w:p>
    <w:p>
      <w:pPr>
        <w:spacing w:after="0" w:line="165"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No Distributions Pending Allowance</w:t>
      </w:r>
    </w:p>
    <w:p>
      <w:pPr>
        <w:spacing w:after="0" w:line="229" w:lineRule="exact"/>
        <w:rPr>
          <w:sz w:val="20"/>
          <w:szCs w:val="20"/>
          <w:color w:val="auto"/>
        </w:rPr>
      </w:pPr>
    </w:p>
    <w:p>
      <w:pPr>
        <w:ind w:firstLine="652"/>
        <w:spacing w:after="0" w:line="276" w:lineRule="auto"/>
        <w:rPr>
          <w:sz w:val="20"/>
          <w:szCs w:val="20"/>
          <w:color w:val="auto"/>
        </w:rPr>
      </w:pPr>
      <w:r>
        <w:rPr>
          <w:rFonts w:ascii="Arial" w:cs="Arial" w:eastAsia="Arial" w:hAnsi="Arial"/>
          <w:sz w:val="17"/>
          <w:szCs w:val="17"/>
          <w:color w:val="auto"/>
        </w:rPr>
        <w:t xml:space="preserve">Notwithstanding any other provision of the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the Plan to Holders of Allowed Prepetition Notes Claims will be made in full on the Initial Distribution Date, regardless of whether such Holders hold any Disputed Claims.</w:t>
      </w:r>
    </w:p>
    <w:p>
      <w:pPr>
        <w:spacing w:after="0" w:line="169" w:lineRule="exact"/>
        <w:rPr>
          <w:sz w:val="20"/>
          <w:szCs w:val="20"/>
          <w:color w:val="auto"/>
        </w:rPr>
      </w:pPr>
    </w:p>
    <w:p>
      <w:pPr>
        <w:ind w:left="1300" w:right="180" w:hanging="644"/>
        <w:spacing w:after="0" w:line="282" w:lineRule="auto"/>
        <w:tabs>
          <w:tab w:leader="none" w:pos="1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on Account of Disputed Claims and Disputed Equity Interests Once They Are Allowed and Additional Distributions on Account of Previously Allowed Claims and Allowed Equity Interests</w:t>
      </w:r>
    </w:p>
    <w:p>
      <w:pPr>
        <w:spacing w:after="0" w:line="166" w:lineRule="exact"/>
        <w:rPr>
          <w:sz w:val="20"/>
          <w:szCs w:val="20"/>
          <w:color w:val="auto"/>
        </w:rPr>
      </w:pPr>
    </w:p>
    <w:p>
      <w:pPr>
        <w:ind w:right="200" w:firstLine="652"/>
        <w:spacing w:after="0" w:line="279" w:lineRule="auto"/>
        <w:rPr>
          <w:sz w:val="20"/>
          <w:szCs w:val="20"/>
          <w:color w:val="auto"/>
        </w:rPr>
      </w:pPr>
      <w:r>
        <w:rPr>
          <w:rFonts w:ascii="Arial" w:cs="Arial" w:eastAsia="Arial" w:hAnsi="Arial"/>
          <w:sz w:val="17"/>
          <w:szCs w:val="17"/>
          <w:color w:val="auto"/>
        </w:rPr>
        <w:t>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94" w:name="page195"/>
    <w:bookmarkEnd w:id="194"/>
    <w:p>
      <w:pPr>
        <w:ind w:right="100"/>
        <w:spacing w:after="0" w:line="273" w:lineRule="auto"/>
        <w:rPr>
          <w:sz w:val="20"/>
          <w:szCs w:val="20"/>
          <w:color w:val="auto"/>
        </w:rPr>
      </w:pPr>
      <w:r>
        <w:rPr>
          <w:rFonts w:ascii="Arial" w:cs="Arial" w:eastAsia="Arial" w:hAnsi="Arial"/>
          <w:sz w:val="17"/>
          <w:szCs w:val="17"/>
          <w:color w:val="auto"/>
        </w:rPr>
        <w:t xml:space="preserve">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the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of the Plan, any dividends or other distributions arising from property distributed to holders of Allowed Claims and Allowed Equity Interests in a Class and paid to such Holders under the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4" w:lineRule="exact"/>
        <w:rPr>
          <w:sz w:val="20"/>
          <w:szCs w:val="20"/>
          <w:color w:val="auto"/>
        </w:rPr>
      </w:pPr>
    </w:p>
    <w:p>
      <w:pPr>
        <w:ind w:left="1300" w:hanging="644"/>
        <w:spacing w:after="0"/>
        <w:tabs>
          <w:tab w:leader="none" w:pos="13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Reserve for Disputed Claims and Disputed Equity Interests</w:t>
      </w:r>
    </w:p>
    <w:p>
      <w:pPr>
        <w:spacing w:after="0" w:line="229" w:lineRule="exact"/>
        <w:rPr>
          <w:sz w:val="20"/>
          <w:szCs w:val="20"/>
          <w:color w:val="auto"/>
        </w:rPr>
      </w:pPr>
    </w:p>
    <w:p>
      <w:pPr>
        <w:ind w:firstLine="652"/>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the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 AND CONSUMMATION OF THE PLAN</w:t>
      </w:r>
    </w:p>
    <w:p>
      <w:pPr>
        <w:spacing w:after="0" w:line="225"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Confirmation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Confirmation of the Plan.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5" w:name="page196"/>
    <w:bookmarkEnd w:id="195"/>
    <w:p>
      <w:pPr>
        <w:ind w:left="1960" w:hanging="655"/>
        <w:spacing w:after="0" w:line="257" w:lineRule="auto"/>
        <w:tabs>
          <w:tab w:leader="none" w:pos="195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88" w:lineRule="exact"/>
        <w:rPr>
          <w:rFonts w:ascii="Arial" w:cs="Arial" w:eastAsia="Arial" w:hAnsi="Arial"/>
          <w:sz w:val="18"/>
          <w:szCs w:val="18"/>
          <w:color w:val="auto"/>
        </w:rPr>
      </w:pPr>
    </w:p>
    <w:p>
      <w:pPr>
        <w:ind w:left="1960" w:right="120" w:hanging="655"/>
        <w:spacing w:after="0" w:line="297" w:lineRule="auto"/>
        <w:tabs>
          <w:tab w:leader="none" w:pos="1967"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of the Plan, the following are conditions precedent to Consummation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940" w:hanging="635"/>
        <w:spacing w:after="0"/>
        <w:tabs>
          <w:tab w:leader="none" w:pos="19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Confirmation Order has become a Final Order and such order has not been amended, modified, vacated, stayed, or reversed;</w:t>
      </w:r>
    </w:p>
    <w:p>
      <w:pPr>
        <w:spacing w:after="0" w:line="248" w:lineRule="exact"/>
        <w:rPr>
          <w:rFonts w:ascii="Arial" w:cs="Arial" w:eastAsia="Arial" w:hAnsi="Arial"/>
          <w:sz w:val="16"/>
          <w:szCs w:val="16"/>
          <w:color w:val="auto"/>
        </w:rPr>
      </w:pPr>
    </w:p>
    <w:p>
      <w:pPr>
        <w:ind w:left="1960" w:right="100" w:hanging="655"/>
        <w:spacing w:after="0" w:line="312" w:lineRule="auto"/>
        <w:tabs>
          <w:tab w:leader="none" w:pos="196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the Plan and the Plan Supplement;</w:t>
      </w:r>
    </w:p>
    <w:p>
      <w:pPr>
        <w:spacing w:after="0" w:line="146" w:lineRule="exact"/>
        <w:rPr>
          <w:rFonts w:ascii="Arial" w:cs="Arial" w:eastAsia="Arial" w:hAnsi="Arial"/>
          <w:sz w:val="16"/>
          <w:szCs w:val="16"/>
          <w:color w:val="auto"/>
        </w:rPr>
      </w:pPr>
    </w:p>
    <w:p>
      <w:pPr>
        <w:ind w:left="1960" w:right="40" w:hanging="655"/>
        <w:spacing w:after="0" w:line="257" w:lineRule="auto"/>
        <w:tabs>
          <w:tab w:leader="none" w:pos="197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6" w:name="page197"/>
    <w:bookmarkEnd w:id="196"/>
    <w:p>
      <w:pPr>
        <w:ind w:left="760" w:right="100" w:hanging="655"/>
        <w:spacing w:after="0" w:line="255" w:lineRule="auto"/>
        <w:tabs>
          <w:tab w:leader="none" w:pos="76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the Plan;</w:t>
      </w:r>
    </w:p>
    <w:p>
      <w:pPr>
        <w:spacing w:after="0" w:line="193" w:lineRule="exact"/>
        <w:rPr>
          <w:rFonts w:ascii="Arial" w:cs="Arial" w:eastAsia="Arial" w:hAnsi="Arial"/>
          <w:sz w:val="18"/>
          <w:szCs w:val="18"/>
          <w:color w:val="auto"/>
        </w:rPr>
      </w:pPr>
    </w:p>
    <w:p>
      <w:pPr>
        <w:ind w:left="760" w:right="200" w:hanging="655"/>
        <w:spacing w:after="0" w:line="302" w:lineRule="auto"/>
        <w:tabs>
          <w:tab w:leader="none" w:pos="77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the Plan and all conditions precedent to issuance of the New Tranche A Senior Unsecured Notes have been satisfied or waived;</w:t>
      </w:r>
    </w:p>
    <w:p>
      <w:pPr>
        <w:spacing w:after="0" w:line="154" w:lineRule="exact"/>
        <w:rPr>
          <w:rFonts w:ascii="Arial" w:cs="Arial" w:eastAsia="Arial" w:hAnsi="Arial"/>
          <w:sz w:val="16"/>
          <w:szCs w:val="16"/>
          <w:color w:val="auto"/>
        </w:rPr>
      </w:pPr>
    </w:p>
    <w:p>
      <w:pPr>
        <w:ind w:left="760" w:right="40" w:hanging="655"/>
        <w:spacing w:after="0" w:line="312" w:lineRule="auto"/>
        <w:tabs>
          <w:tab w:leader="none" w:pos="7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documents governing the New Tranche B Senior Unsecured Notes, which shall be in form and substance acceptable to the Debtors and the Required Consenting Noteholders, have become effective or will become effective concurrently with effectiveness of the Plan and all conditions precedent to issuance of the New Tranche B Senior Unsecured Notes have been satisfied or waived;</w:t>
      </w:r>
    </w:p>
    <w:p>
      <w:pPr>
        <w:spacing w:after="0" w:line="146" w:lineRule="exact"/>
        <w:rPr>
          <w:rFonts w:ascii="Arial" w:cs="Arial" w:eastAsia="Arial" w:hAnsi="Arial"/>
          <w:sz w:val="16"/>
          <w:szCs w:val="16"/>
          <w:color w:val="auto"/>
        </w:rPr>
      </w:pPr>
    </w:p>
    <w:p>
      <w:pPr>
        <w:ind w:left="760" w:right="80" w:hanging="655"/>
        <w:spacing w:after="0" w:line="277" w:lineRule="auto"/>
        <w:tabs>
          <w:tab w:leader="none" w:pos="7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the Plan, in accordance with the terms of the DIP Credit Agreement;</w:t>
      </w:r>
    </w:p>
    <w:p>
      <w:pPr>
        <w:spacing w:after="0" w:line="170" w:lineRule="exact"/>
        <w:rPr>
          <w:rFonts w:ascii="Arial" w:cs="Arial" w:eastAsia="Arial" w:hAnsi="Arial"/>
          <w:sz w:val="18"/>
          <w:szCs w:val="18"/>
          <w:color w:val="auto"/>
        </w:rPr>
      </w:pPr>
    </w:p>
    <w:p>
      <w:pPr>
        <w:ind w:left="760" w:hanging="655"/>
        <w:spacing w:after="0" w:line="342" w:lineRule="auto"/>
        <w:tabs>
          <w:tab w:leader="none" w:pos="76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23" w:lineRule="exact"/>
        <w:rPr>
          <w:rFonts w:ascii="Arial" w:cs="Arial" w:eastAsia="Arial" w:hAnsi="Arial"/>
          <w:sz w:val="16"/>
          <w:szCs w:val="16"/>
          <w:color w:val="auto"/>
        </w:rPr>
      </w:pPr>
    </w:p>
    <w:p>
      <w:pPr>
        <w:ind w:left="760" w:hanging="655"/>
        <w:spacing w:after="0" w:line="264" w:lineRule="auto"/>
        <w:tabs>
          <w:tab w:leader="none" w:pos="7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Amended/New Corporate Governance Documents, which shall be in form and substance acceptable to the Required Consenting Noteholders in their sole discretion, have become effective or will become effective concurrently with the effectiveness of the Plan;</w:t>
      </w:r>
    </w:p>
    <w:p>
      <w:pPr>
        <w:spacing w:after="0" w:line="181" w:lineRule="exact"/>
        <w:rPr>
          <w:rFonts w:ascii="Arial" w:cs="Arial" w:eastAsia="Arial" w:hAnsi="Arial"/>
          <w:sz w:val="18"/>
          <w:szCs w:val="18"/>
          <w:color w:val="auto"/>
        </w:rPr>
      </w:pPr>
    </w:p>
    <w:p>
      <w:pPr>
        <w:ind w:left="760" w:right="240" w:hanging="655"/>
        <w:spacing w:after="0" w:line="259" w:lineRule="auto"/>
        <w:tabs>
          <w:tab w:leader="none" w:pos="7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97" w:name="page198"/>
    <w:bookmarkEnd w:id="197"/>
    <w:p>
      <w:pPr>
        <w:ind w:left="1960" w:hanging="655"/>
        <w:spacing w:after="0" w:line="257" w:lineRule="auto"/>
        <w:tabs>
          <w:tab w:leader="none" w:pos="19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the Plan.</w:t>
      </w:r>
    </w:p>
    <w:p>
      <w:pPr>
        <w:spacing w:after="0" w:line="188" w:lineRule="exact"/>
        <w:rPr>
          <w:rFonts w:ascii="Arial" w:cs="Arial" w:eastAsia="Arial" w:hAnsi="Arial"/>
          <w:sz w:val="18"/>
          <w:szCs w:val="18"/>
          <w:color w:val="auto"/>
        </w:rPr>
      </w:pPr>
    </w:p>
    <w:p>
      <w:pPr>
        <w:ind w:left="1960" w:right="120" w:hanging="655"/>
        <w:spacing w:after="0" w:line="259" w:lineRule="auto"/>
        <w:tabs>
          <w:tab w:leader="none" w:pos="198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consents, actions, documents, certificates and agreements necessary to implement the Plan and the transactions contemplated by the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86" w:lineRule="exact"/>
        <w:rPr>
          <w:rFonts w:ascii="Arial" w:cs="Arial" w:eastAsia="Arial" w:hAnsi="Arial"/>
          <w:sz w:val="18"/>
          <w:szCs w:val="18"/>
          <w:color w:val="auto"/>
        </w:rPr>
      </w:pPr>
    </w:p>
    <w:p>
      <w:pPr>
        <w:ind w:left="1960" w:right="140" w:hanging="655"/>
        <w:spacing w:after="0" w:line="259" w:lineRule="auto"/>
        <w:tabs>
          <w:tab w:leader="none" w:pos="196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the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left="1960" w:right="380" w:hanging="655"/>
        <w:spacing w:after="0" w:line="277" w:lineRule="auto"/>
        <w:tabs>
          <w:tab w:leader="none" w:pos="19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Restructuring Support Agreement is in full force and effect and has not been terminated in accordance with its terms;</w:t>
      </w:r>
    </w:p>
    <w:p>
      <w:pPr>
        <w:spacing w:after="0" w:line="236" w:lineRule="exact"/>
        <w:rPr>
          <w:rFonts w:ascii="Arial" w:cs="Arial" w:eastAsia="Arial" w:hAnsi="Arial"/>
          <w:sz w:val="17"/>
          <w:szCs w:val="17"/>
          <w:color w:val="auto"/>
        </w:rPr>
      </w:pPr>
    </w:p>
    <w:p>
      <w:pPr>
        <w:ind w:left="1960" w:hanging="655"/>
        <w:spacing w:after="0" w:line="277" w:lineRule="auto"/>
        <w:tabs>
          <w:tab w:leader="none" w:pos="196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Professional Fee Claim Reserve has been funded in full in Cash by the Debtors in accordance with the terms and conditions of the Plan;</w:t>
      </w:r>
    </w:p>
    <w:p>
      <w:pPr>
        <w:spacing w:after="0" w:line="170" w:lineRule="exact"/>
        <w:rPr>
          <w:rFonts w:ascii="Arial" w:cs="Arial" w:eastAsia="Arial" w:hAnsi="Arial"/>
          <w:sz w:val="18"/>
          <w:szCs w:val="18"/>
          <w:color w:val="auto"/>
        </w:rPr>
      </w:pPr>
    </w:p>
    <w:p>
      <w:pPr>
        <w:ind w:left="1960" w:right="200" w:hanging="655"/>
        <w:spacing w:after="0" w:line="277" w:lineRule="auto"/>
        <w:tabs>
          <w:tab w:leader="none" w:pos="197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7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Conditions</w:t>
      </w:r>
    </w:p>
    <w:p>
      <w:pPr>
        <w:spacing w:after="0" w:line="229" w:lineRule="exact"/>
        <w:rPr>
          <w:sz w:val="20"/>
          <w:szCs w:val="20"/>
          <w:color w:val="auto"/>
        </w:rPr>
      </w:pPr>
    </w:p>
    <w:p>
      <w:pPr>
        <w:ind w:right="260" w:firstLine="652"/>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the Plan set forth in </w:t>
      </w:r>
      <w:r>
        <w:rPr>
          <w:rFonts w:ascii="Arial" w:cs="Arial" w:eastAsia="Arial" w:hAnsi="Arial"/>
          <w:sz w:val="18"/>
          <w:szCs w:val="18"/>
          <w:u w:val="single" w:color="auto"/>
          <w:color w:val="auto"/>
        </w:rPr>
        <w:t>Article IX of the Plan</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8" w:name="page199"/>
    <w:bookmarkEnd w:id="198"/>
    <w:p>
      <w:pPr>
        <w:ind w:right="20"/>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 B.15, B.19 and B.9 of the Plan, the Required Consenting Noteholders in their sole discretion, without notice, leave or order of the Bankruptcy Court or any formal action other than proceeding to confirm or consummate the Plan. The failure of the Debtors or Reorganized Debtors to exercise any of the foregoing rights will not be deemed a waiver of any other rights, and each right will be deemed an ongoing right that may be asserted at any time.</w:t>
      </w:r>
    </w:p>
    <w:p>
      <w:pPr>
        <w:spacing w:after="0" w:line="167" w:lineRule="exact"/>
        <w:rPr>
          <w:sz w:val="20"/>
          <w:szCs w:val="20"/>
          <w:color w:val="auto"/>
        </w:rPr>
      </w:pPr>
    </w:p>
    <w:p>
      <w:pPr>
        <w:ind w:left="1300" w:hanging="644"/>
        <w:spacing w:after="0"/>
        <w:tabs>
          <w:tab w:leader="none" w:pos="13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Non-Occurrence of Conditions to Confirmation or Consummation</w:t>
      </w:r>
    </w:p>
    <w:p>
      <w:pPr>
        <w:spacing w:after="0" w:line="229" w:lineRule="exact"/>
        <w:rPr>
          <w:sz w:val="20"/>
          <w:szCs w:val="20"/>
          <w:color w:val="auto"/>
        </w:rPr>
      </w:pPr>
    </w:p>
    <w:p>
      <w:pPr>
        <w:ind w:right="80" w:firstLine="652"/>
        <w:spacing w:after="0" w:line="257" w:lineRule="auto"/>
        <w:rPr>
          <w:sz w:val="20"/>
          <w:szCs w:val="20"/>
          <w:color w:val="auto"/>
        </w:rPr>
      </w:pPr>
      <w:r>
        <w:rPr>
          <w:rFonts w:ascii="Arial" w:cs="Arial" w:eastAsia="Arial" w:hAnsi="Arial"/>
          <w:sz w:val="18"/>
          <w:szCs w:val="18"/>
          <w:color w:val="auto"/>
        </w:rPr>
        <w:t>If the Confirmation or the Consummation of the Plan does not occur with respect to one or more of the Debtors, then the Plan will, with respect to such applicable Debtor or Debtors, be null and void in all respects and nothing contained in the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RELEASE, DISCHARGE, INJUNCTION AND RELATED PROVISIONS</w:t>
      </w:r>
    </w:p>
    <w:p>
      <w:pPr>
        <w:spacing w:after="0" w:line="225"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52"/>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the Plan, upon the Effective Date, the provisions of the Plan shall constitute a good faith compromise and settlement of all Claims and Equity Interests and controversies resolved pursuant to the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20" w:firstLine="652"/>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the Plan and the contracts, instruments, releases, indentures, and other agreements or documents delivered under or in connection with the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9" w:name="page200"/>
    <w:bookmarkEnd w:id="199"/>
    <w:p>
      <w:pPr>
        <w:ind w:left="644" w:hanging="644"/>
        <w:spacing w:after="0"/>
        <w:tabs>
          <w:tab w:leader="none" w:pos="644"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 and Causes of Action</w:t>
      </w:r>
    </w:p>
    <w:p>
      <w:pPr>
        <w:spacing w:after="0" w:line="225" w:lineRule="exact"/>
        <w:rPr>
          <w:rFonts w:ascii="Arial" w:cs="Arial" w:eastAsia="Arial" w:hAnsi="Arial"/>
          <w:sz w:val="18"/>
          <w:szCs w:val="18"/>
          <w:b w:val="1"/>
          <w:bCs w:val="1"/>
          <w:color w:val="auto"/>
        </w:rPr>
      </w:pPr>
    </w:p>
    <w:p>
      <w:pPr>
        <w:ind w:left="1304" w:hanging="655"/>
        <w:spacing w:after="0" w:line="302" w:lineRule="auto"/>
        <w:tabs>
          <w:tab w:leader="none" w:pos="1328" w:val="left"/>
        </w:tabs>
        <w:numPr>
          <w:ilvl w:val="1"/>
          <w:numId w:val="183"/>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Release by the Debtors and their Estates</w:t>
      </w:r>
      <w:r>
        <w:rPr>
          <w:rFonts w:ascii="Arial" w:cs="Arial" w:eastAsia="Arial" w:hAnsi="Arial"/>
          <w:sz w:val="15"/>
          <w:szCs w:val="15"/>
          <w:b w:val="1"/>
          <w:bCs w:val="1"/>
          <w:u w:val="single" w:color="auto"/>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Pursuant to section 1123(b) and any other applicable provisions of the Bankruptcy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Code, and except as otherwise expressly provided in the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5"/>
          <w:szCs w:val="15"/>
          <w:b w:val="1"/>
          <w:bCs w:val="1"/>
          <w:u w:val="single" w:color="auto"/>
          <w:color w:val="auto"/>
        </w:rPr>
        <w:t>Debtor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Releasing Parties</w:t>
      </w:r>
      <w:r>
        <w:rPr>
          <w:rFonts w:ascii="Arial" w:cs="Arial" w:eastAsia="Arial" w:hAnsi="Arial"/>
          <w:sz w:val="15"/>
          <w:szCs w:val="15"/>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5"/>
          <w:szCs w:val="15"/>
          <w:b w:val="1"/>
          <w:bCs w:val="1"/>
          <w:u w:val="single" w:color="auto"/>
          <w:color w:val="auto"/>
        </w:rPr>
        <w:t>Debtor Release</w:t>
      </w:r>
      <w:r>
        <w:rPr>
          <w:rFonts w:ascii="Arial" w:cs="Arial" w:eastAsia="Arial" w:hAnsi="Arial"/>
          <w:sz w:val="15"/>
          <w:szCs w:val="15"/>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3" w:lineRule="exact"/>
        <w:rPr>
          <w:rFonts w:ascii="Arial" w:cs="Arial" w:eastAsia="Arial" w:hAnsi="Arial"/>
          <w:sz w:val="15"/>
          <w:szCs w:val="15"/>
          <w:color w:val="auto"/>
        </w:rPr>
      </w:pPr>
    </w:p>
    <w:p>
      <w:pPr>
        <w:ind w:left="1304" w:right="80"/>
        <w:spacing w:after="0" w:line="285" w:lineRule="auto"/>
        <w:rPr>
          <w:rFonts w:ascii="Arial" w:cs="Arial" w:eastAsia="Arial" w:hAnsi="Arial"/>
          <w:sz w:val="15"/>
          <w:szCs w:val="15"/>
          <w:color w:val="auto"/>
        </w:rPr>
      </w:pPr>
      <w:r>
        <w:rPr>
          <w:rFonts w:ascii="Arial" w:cs="Arial" w:eastAsia="Arial" w:hAnsi="Arial"/>
          <w:sz w:val="16"/>
          <w:szCs w:val="16"/>
          <w:b w:val="1"/>
          <w:bCs w:val="1"/>
          <w:color w:val="auto"/>
        </w:rPr>
        <w:t>(i) 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200" w:name="page201"/>
    <w:bookmarkEnd w:id="200"/>
    <w:p>
      <w:pPr>
        <w:ind w:left="760" w:right="20"/>
        <w:spacing w:after="0" w:line="285" w:lineRule="auto"/>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the Plan and the contracts, instruments, releases, indentures, and other agreements or documents delivered under or in connection with the Plan or assumed pursuant to the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of the Plan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the Plan.</w:t>
      </w:r>
    </w:p>
    <w:p>
      <w:pPr>
        <w:spacing w:after="0" w:line="175" w:lineRule="exact"/>
        <w:rPr>
          <w:sz w:val="20"/>
          <w:szCs w:val="20"/>
          <w:color w:val="auto"/>
        </w:rPr>
      </w:pPr>
    </w:p>
    <w:p>
      <w:pPr>
        <w:ind w:left="76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74" w:lineRule="exact"/>
        <w:rPr>
          <w:sz w:val="20"/>
          <w:szCs w:val="20"/>
          <w:color w:val="auto"/>
        </w:rPr>
      </w:pPr>
    </w:p>
    <w:p>
      <w:pPr>
        <w:ind w:left="760" w:right="220" w:hanging="655"/>
        <w:spacing w:after="0" w:line="261" w:lineRule="auto"/>
        <w:tabs>
          <w:tab w:leader="none" w:pos="794"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Release By Third Parties</w:t>
      </w:r>
      <w:r>
        <w:rPr>
          <w:rFonts w:ascii="Arial" w:cs="Arial" w:eastAsia="Arial" w:hAnsi="Arial"/>
          <w:sz w:val="18"/>
          <w:szCs w:val="18"/>
          <w:b w:val="1"/>
          <w:bCs w:val="1"/>
          <w:color w:val="auto"/>
        </w:rPr>
        <w:t>. Except as otherwise expressly provided in the Plan, effective as of the Effective Date,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fullest extent permitted by applicable law, for good and valuable consideration provided by each of the Released Parties, the adequacy and sufficiency of which is hereby confirmed, and without limiting or otherwise modifying the scope of the Debtor Release provided by the Debtor Releasing Parties</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7" w:right="279" w:bottom="1440" w:gutter="0" w:footer="0" w:header="0"/>
        </w:sectPr>
      </w:pPr>
    </w:p>
    <w:bookmarkStart w:id="201" w:name="page202"/>
    <w:bookmarkEnd w:id="201"/>
    <w:p>
      <w:pPr>
        <w:ind w:left="760"/>
        <w:spacing w:after="0" w:line="284" w:lineRule="auto"/>
        <w:rPr>
          <w:sz w:val="20"/>
          <w:szCs w:val="20"/>
          <w:color w:val="auto"/>
        </w:rPr>
      </w:pPr>
      <w:r>
        <w:rPr>
          <w:rFonts w:ascii="Arial" w:cs="Arial" w:eastAsia="Arial" w:hAnsi="Arial"/>
          <w:sz w:val="16"/>
          <w:szCs w:val="16"/>
          <w:b w:val="1"/>
          <w:bCs w:val="1"/>
          <w:color w:val="auto"/>
        </w:rPr>
        <w:t>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w:t>
      </w:r>
    </w:p>
    <w:p>
      <w:pPr>
        <w:spacing w:after="0" w:line="2" w:lineRule="exact"/>
        <w:rPr>
          <w:sz w:val="20"/>
          <w:szCs w:val="20"/>
          <w:color w:val="auto"/>
        </w:rPr>
      </w:pPr>
    </w:p>
    <w:p>
      <w:pPr>
        <w:ind w:left="760" w:right="60" w:hanging="7"/>
        <w:spacing w:after="0" w:line="284" w:lineRule="auto"/>
        <w:tabs>
          <w:tab w:leader="none" w:pos="975"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Chapter 11 Cases, the Disclosure Statement, the Plan, the Restructuring Support Agreement, the Restructuring Documents, and the DIP Financing Documents, (ii) the subject matter of, or the transactions or events giving rise to, any Claim or Equity Interest that is treated in the Plan, (iii) the business or contractual arrangements between any Debtor and any Released Parties, (iv) the negotiation, formulation or preparation of the Restructuring Support Agreement, the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the Plan or the solicitation of votes on the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the Plan and the contracts, instruments, releases, indentures, and other agreements and documents delivered under or in connection with the Plan or assumed pursuant to the Plan or Final Order of the Bankruptcy Court; and/or (iii) any obligations of any Entity arising after the Effective Date under the Exit Facility Loan Documents or any document, instrument or agreement set forth in the Plan Supplement. The foregoing release</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202" w:name="page203"/>
    <w:bookmarkEnd w:id="202"/>
    <w:p>
      <w:pPr>
        <w:ind w:left="1960"/>
        <w:spacing w:after="0" w:line="277" w:lineRule="auto"/>
        <w:rPr>
          <w:sz w:val="20"/>
          <w:szCs w:val="20"/>
          <w:color w:val="auto"/>
        </w:rPr>
      </w:pPr>
      <w:r>
        <w:rPr>
          <w:rFonts w:ascii="Arial" w:cs="Arial" w:eastAsia="Arial" w:hAnsi="Arial"/>
          <w:sz w:val="17"/>
          <w:szCs w:val="17"/>
          <w:b w:val="1"/>
          <w:bCs w:val="1"/>
          <w:color w:val="auto"/>
        </w:rPr>
        <w:t>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8" w:lineRule="exact"/>
        <w:rPr>
          <w:sz w:val="20"/>
          <w:szCs w:val="20"/>
          <w:color w:val="auto"/>
        </w:rPr>
      </w:pPr>
    </w:p>
    <w:p>
      <w:pPr>
        <w:ind w:left="1960" w:right="40" w:firstLine="648"/>
        <w:spacing w:after="0" w:line="274"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4"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Statutory Limitations on Releases</w:t>
      </w:r>
    </w:p>
    <w:p>
      <w:pPr>
        <w:spacing w:after="0" w:line="229" w:lineRule="exact"/>
        <w:rPr>
          <w:sz w:val="20"/>
          <w:szCs w:val="20"/>
          <w:color w:val="auto"/>
        </w:rPr>
      </w:pPr>
    </w:p>
    <w:p>
      <w:pPr>
        <w:ind w:right="20" w:firstLine="652"/>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the Plan are effective regardless of whether those released matters are presently known, unknown, suspected or unsuspected, foreseen or unforeseen.</w:t>
      </w:r>
    </w:p>
    <w:p>
      <w:pPr>
        <w:spacing w:after="0" w:line="167"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Discharge of Claims and Equity Interests</w:t>
      </w:r>
    </w:p>
    <w:p>
      <w:pPr>
        <w:spacing w:after="0" w:line="225" w:lineRule="exact"/>
        <w:rPr>
          <w:sz w:val="20"/>
          <w:szCs w:val="20"/>
          <w:color w:val="auto"/>
        </w:rPr>
      </w:pPr>
    </w:p>
    <w:p>
      <w:pPr>
        <w:ind w:firstLine="652"/>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the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the Plan) or the Confirmation Order, effective as of the Effective Date, all consideration distributed under the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the Plan on account of such Claims, Equity Interests or Causes of 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03" w:name="page204"/>
    <w:bookmarkEnd w:id="203"/>
    <w:p>
      <w:pPr>
        <w:ind w:right="80" w:firstLine="652"/>
        <w:spacing w:after="0" w:line="255" w:lineRule="auto"/>
        <w:rPr>
          <w:sz w:val="20"/>
          <w:szCs w:val="20"/>
          <w:color w:val="auto"/>
        </w:rPr>
      </w:pPr>
      <w:r>
        <w:rPr>
          <w:rFonts w:ascii="Arial" w:cs="Arial" w:eastAsia="Arial" w:hAnsi="Arial"/>
          <w:sz w:val="18"/>
          <w:szCs w:val="18"/>
          <w:color w:val="auto"/>
        </w:rPr>
        <w:t xml:space="preserve">Except as otherwise expressly provided by the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the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60" w:firstLine="652"/>
        <w:spacing w:after="0" w:line="271" w:lineRule="auto"/>
        <w:rPr>
          <w:sz w:val="20"/>
          <w:szCs w:val="20"/>
          <w:color w:val="auto"/>
        </w:rPr>
      </w:pPr>
      <w:r>
        <w:rPr>
          <w:rFonts w:ascii="Arial" w:cs="Arial" w:eastAsia="Arial" w:hAnsi="Arial"/>
          <w:sz w:val="17"/>
          <w:szCs w:val="17"/>
          <w:color w:val="auto"/>
        </w:rPr>
        <w:t xml:space="preserve">Except as otherwise expressly provided by the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the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Exculpation</w:t>
      </w:r>
    </w:p>
    <w:p>
      <w:pPr>
        <w:spacing w:after="0" w:line="225" w:lineRule="exact"/>
        <w:rPr>
          <w:sz w:val="20"/>
          <w:szCs w:val="20"/>
          <w:color w:val="auto"/>
        </w:rPr>
      </w:pPr>
    </w:p>
    <w:p>
      <w:pPr>
        <w:ind w:firstLine="652"/>
        <w:spacing w:after="0" w:line="268" w:lineRule="auto"/>
        <w:rPr>
          <w:sz w:val="20"/>
          <w:szCs w:val="20"/>
          <w:color w:val="auto"/>
        </w:rPr>
      </w:pPr>
      <w:r>
        <w:rPr>
          <w:rFonts w:ascii="Arial" w:cs="Arial" w:eastAsia="Arial" w:hAnsi="Arial"/>
          <w:sz w:val="17"/>
          <w:szCs w:val="17"/>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the Plan, the Disclosure Statement, the Restructuring Documents, the DIP Financing Documents, or any contract, instrument, release or other agreement or document created or entered into in connection with the Plan, including the Restructuring Support Agreement, or any other prepetition or postpetition act taken or omitted to be taken in connection with or in contemplation of the restructuring of the Debtors, the approval of the Disclosure Statement or Confirmation or Consummation of the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the Plan and the contracts, instruments, releases, indentures, and other agreements and documents delivered under or in connection with the Plan or assumed pursuant to the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w:t>
      </w:r>
      <w:r>
        <w:rPr>
          <w:rFonts w:ascii="Arial" w:cs="Arial" w:eastAsia="Arial" w:hAnsi="Arial"/>
          <w:sz w:val="17"/>
          <w:szCs w:val="17"/>
          <w:u w:val="single" w:color="auto"/>
          <w:color w:val="auto"/>
        </w:rPr>
        <w:t>Article X.E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4" w:name="page205"/>
    <w:bookmarkEnd w:id="204"/>
    <w:p>
      <w:pPr>
        <w:ind w:right="140" w:firstLine="45"/>
        <w:spacing w:after="0" w:line="312" w:lineRule="auto"/>
        <w:rPr>
          <w:sz w:val="20"/>
          <w:szCs w:val="20"/>
          <w:color w:val="auto"/>
        </w:rPr>
      </w:pPr>
      <w:r>
        <w:rPr>
          <w:rFonts w:ascii="Arial" w:cs="Arial" w:eastAsia="Arial" w:hAnsi="Arial"/>
          <w:sz w:val="16"/>
          <w:szCs w:val="16"/>
          <w:color w:val="auto"/>
        </w:rPr>
        <w:t>of the Plan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the Plan.</w:t>
      </w:r>
    </w:p>
    <w:p>
      <w:pPr>
        <w:spacing w:after="0" w:line="143"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Preservation of Causes of Action</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20" w:firstLine="652"/>
        <w:spacing w:after="0" w:line="255" w:lineRule="auto"/>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(including, without limitation, and for the avoidance of doubt, the Releases 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of the Plan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of the Plan) or elsewhere in the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89" w:lineRule="exact"/>
        <w:rPr>
          <w:sz w:val="20"/>
          <w:szCs w:val="20"/>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firstLine="652"/>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the Plan based on the Disclosure Statement, the Plan or the Confirmation Order, except in each case where such Causes of Action or Litigation Claims have been expressly waived, relinquished, released, compromised or settled in the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of the Plan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of the Plan)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79"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Injunction</w:t>
      </w:r>
    </w:p>
    <w:p>
      <w:pPr>
        <w:spacing w:after="0" w:line="225" w:lineRule="exact"/>
        <w:rPr>
          <w:sz w:val="20"/>
          <w:szCs w:val="20"/>
          <w:color w:val="auto"/>
        </w:rPr>
      </w:pPr>
    </w:p>
    <w:p>
      <w:pPr>
        <w:ind w:right="160" w:firstLine="652"/>
        <w:spacing w:after="0" w:line="261" w:lineRule="auto"/>
        <w:rPr>
          <w:sz w:val="20"/>
          <w:szCs w:val="20"/>
          <w:color w:val="auto"/>
        </w:rPr>
      </w:pPr>
      <w:r>
        <w:rPr>
          <w:rFonts w:ascii="Arial" w:cs="Arial" w:eastAsia="Arial" w:hAnsi="Arial"/>
          <w:sz w:val="18"/>
          <w:szCs w:val="18"/>
          <w:b w:val="1"/>
          <w:bCs w:val="1"/>
          <w:color w:val="auto"/>
        </w:rPr>
        <w:t>EXCEPT AS OTHERWISE EXPRESSLY PROVIDED IN THE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5" w:name="page206"/>
    <w:bookmarkEnd w:id="205"/>
    <w:p>
      <w:pPr>
        <w:ind w:left="320" w:hanging="312"/>
        <w:spacing w:after="0"/>
        <w:tabs>
          <w:tab w:leader="none" w:pos="32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ATTACHING, COLLECTING, OR RECOVERING IN ANY MANNER ANY JUDGMENT, AWARD, DECREE, OR ORDER;</w:t>
      </w:r>
    </w:p>
    <w:p>
      <w:pPr>
        <w:spacing w:after="0" w:line="27" w:lineRule="exact"/>
        <w:rPr>
          <w:rFonts w:ascii="Arial" w:cs="Arial" w:eastAsia="Arial" w:hAnsi="Arial"/>
          <w:sz w:val="18"/>
          <w:szCs w:val="18"/>
          <w:b w:val="1"/>
          <w:bCs w:val="1"/>
          <w:color w:val="auto"/>
        </w:rPr>
      </w:pPr>
    </w:p>
    <w:p>
      <w:pPr>
        <w:ind w:right="80" w:firstLine="8"/>
        <w:spacing w:after="0" w:line="251" w:lineRule="auto"/>
        <w:tabs>
          <w:tab w:leader="none" w:pos="37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THE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4"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Binding Nature Of Plan</w:t>
      </w:r>
    </w:p>
    <w:p>
      <w:pPr>
        <w:spacing w:after="0" w:line="225" w:lineRule="exact"/>
        <w:rPr>
          <w:sz w:val="20"/>
          <w:szCs w:val="20"/>
          <w:color w:val="auto"/>
        </w:rPr>
      </w:pPr>
    </w:p>
    <w:p>
      <w:pPr>
        <w:ind w:firstLine="652"/>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THE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THE PLAN, EACH PERSON AND ENTITY ACQUIRING PROPERTY UNDER THE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THE PLAN, (II) HAS FILED A PROOF OF CLAIM OR INTEREST IN THE CHAPTER 11 CASES OR (III) FAILED TO VOTE TO ACCEPT OR REJECT THE PLAN, AFFIRMATIVELY VOTED TO REJECT THE PLAN OR IS CONCLUSIVELY PRESUMED TO REJECT THE PLAN.</w:t>
      </w:r>
    </w:p>
    <w:p>
      <w:pPr>
        <w:spacing w:after="0" w:line="186"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Against Discriminatory Treatment</w:t>
      </w:r>
    </w:p>
    <w:p>
      <w:pPr>
        <w:spacing w:after="0" w:line="229" w:lineRule="exact"/>
        <w:rPr>
          <w:sz w:val="20"/>
          <w:szCs w:val="20"/>
          <w:color w:val="auto"/>
        </w:rPr>
      </w:pPr>
    </w:p>
    <w:p>
      <w:pPr>
        <w:jc w:val="both"/>
        <w:ind w:right="80" w:firstLine="652"/>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6" w:name="page207"/>
    <w:bookmarkEnd w:id="206"/>
    <w:p>
      <w:pPr>
        <w:ind w:left="1300" w:hanging="644"/>
        <w:spacing w:after="0"/>
        <w:tabs>
          <w:tab w:leader="none" w:pos="13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Integral Part of Plan</w:t>
      </w:r>
    </w:p>
    <w:p>
      <w:pPr>
        <w:spacing w:after="0" w:line="229" w:lineRule="exact"/>
        <w:rPr>
          <w:sz w:val="20"/>
          <w:szCs w:val="20"/>
          <w:color w:val="auto"/>
        </w:rPr>
      </w:pPr>
    </w:p>
    <w:p>
      <w:pPr>
        <w:ind w:firstLine="652"/>
        <w:spacing w:after="0" w:line="259" w:lineRule="auto"/>
        <w:rPr>
          <w:sz w:val="20"/>
          <w:szCs w:val="20"/>
          <w:color w:val="auto"/>
        </w:rPr>
      </w:pPr>
      <w:r>
        <w:rPr>
          <w:rFonts w:ascii="Arial" w:cs="Arial" w:eastAsia="Arial" w:hAnsi="Arial"/>
          <w:sz w:val="18"/>
          <w:szCs w:val="18"/>
          <w:color w:val="auto"/>
        </w:rPr>
        <w:t>Each of the provisions set forth in the Plan with respect to the settlement, release, discharge, exculpation, injunction, indemnification and insurance of, for or with respect to Claims and/or Causes of Action are an integral part of the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right="20" w:firstLine="652"/>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the Plan as legally permissible, including, without limitation, jurisdiction to:</w:t>
      </w:r>
    </w:p>
    <w:p>
      <w:pPr>
        <w:spacing w:after="0" w:line="166" w:lineRule="exact"/>
        <w:rPr>
          <w:sz w:val="20"/>
          <w:szCs w:val="20"/>
          <w:color w:val="auto"/>
        </w:rPr>
      </w:pPr>
    </w:p>
    <w:p>
      <w:pPr>
        <w:ind w:left="1960" w:right="420" w:hanging="655"/>
        <w:spacing w:after="0" w:line="286" w:lineRule="auto"/>
        <w:tabs>
          <w:tab w:leader="none" w:pos="195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65" w:lineRule="exact"/>
        <w:rPr>
          <w:rFonts w:ascii="Arial" w:cs="Arial" w:eastAsia="Arial" w:hAnsi="Arial"/>
          <w:sz w:val="17"/>
          <w:szCs w:val="17"/>
          <w:color w:val="auto"/>
        </w:rPr>
      </w:pPr>
    </w:p>
    <w:p>
      <w:pPr>
        <w:ind w:left="1960" w:right="20" w:hanging="655"/>
        <w:spacing w:after="0" w:line="259" w:lineRule="auto"/>
        <w:tabs>
          <w:tab w:leader="none" w:pos="196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the Plan, for periods ending on or before the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left="1960" w:right="100" w:hanging="655"/>
        <w:spacing w:after="0" w:line="259" w:lineRule="auto"/>
        <w:tabs>
          <w:tab w:leader="none" w:pos="197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the Plan after the Effective Date to add Executory Contracts or Unexpired Leases to the list of Executory Contracts and Unexpired Leases to be assumed or rejected (as applicable);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1960" w:right="40" w:hanging="655"/>
        <w:spacing w:after="0" w:line="277" w:lineRule="auto"/>
        <w:tabs>
          <w:tab w:leader="none" w:pos="197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ensure that distributions to Holders of Allowed Claims or Allowed Equity Interests are accomplished pursuant to the provisions of the Plan;</w:t>
      </w:r>
    </w:p>
    <w:p>
      <w:pPr>
        <w:spacing w:after="0" w:line="170" w:lineRule="exact"/>
        <w:rPr>
          <w:rFonts w:ascii="Arial" w:cs="Arial" w:eastAsia="Arial" w:hAnsi="Arial"/>
          <w:sz w:val="18"/>
          <w:szCs w:val="18"/>
          <w:color w:val="auto"/>
        </w:rPr>
      </w:pPr>
    </w:p>
    <w:p>
      <w:pPr>
        <w:ind w:left="1960" w:right="20" w:hanging="655"/>
        <w:spacing w:after="0" w:line="264" w:lineRule="auto"/>
        <w:tabs>
          <w:tab w:leader="none" w:pos="19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7" w:name="page208"/>
    <w:bookmarkEnd w:id="207"/>
    <w:p>
      <w:pPr>
        <w:ind w:left="1960" w:right="520"/>
        <w:spacing w:after="0" w:line="277" w:lineRule="auto"/>
        <w:rPr>
          <w:sz w:val="20"/>
          <w:szCs w:val="20"/>
          <w:color w:val="auto"/>
        </w:rPr>
      </w:pPr>
      <w:r>
        <w:rPr>
          <w:rFonts w:ascii="Arial" w:cs="Arial" w:eastAsia="Arial" w:hAnsi="Arial"/>
          <w:sz w:val="18"/>
          <w:szCs w:val="18"/>
          <w:color w:val="auto"/>
        </w:rPr>
        <w:t xml:space="preserve">Date or instituted by the Reorganized Debtors after the Effective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70" w:lineRule="exact"/>
        <w:rPr>
          <w:sz w:val="20"/>
          <w:szCs w:val="20"/>
          <w:color w:val="auto"/>
        </w:rPr>
      </w:pPr>
    </w:p>
    <w:p>
      <w:pPr>
        <w:ind w:left="1960" w:right="460" w:hanging="655"/>
        <w:spacing w:after="0" w:line="264" w:lineRule="auto"/>
        <w:tabs>
          <w:tab w:leader="none" w:pos="198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enter such orders as may be necessary or appropriate to implement or consummate the provisions of the Plan and all other contracts, instruments, releases, indentures and other agreements or documents adopted in connection with the Plan, the Plan Supplement or the Disclosure Statement;</w:t>
      </w:r>
    </w:p>
    <w:p>
      <w:pPr>
        <w:spacing w:after="0" w:line="181" w:lineRule="exact"/>
        <w:rPr>
          <w:rFonts w:ascii="Arial" w:cs="Arial" w:eastAsia="Arial" w:hAnsi="Arial"/>
          <w:sz w:val="18"/>
          <w:szCs w:val="18"/>
          <w:color w:val="auto"/>
        </w:rPr>
      </w:pPr>
    </w:p>
    <w:p>
      <w:pPr>
        <w:ind w:left="1960" w:right="780" w:hanging="655"/>
        <w:spacing w:after="0" w:line="308" w:lineRule="auto"/>
        <w:tabs>
          <w:tab w:leader="none" w:pos="19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resolve any cases, controversies, suits or disputes that may arise in connection with the Consummation, interpretation or enforcement of the Plan or any Person or Entity’s obligations incurred in connection with the Plan;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hear and determine all Causes of Action that are pending as of the Effective Date or that may be commenced in the future;</w:t>
      </w:r>
    </w:p>
    <w:p>
      <w:pPr>
        <w:spacing w:after="0" w:line="236" w:lineRule="exact"/>
        <w:rPr>
          <w:rFonts w:ascii="Arial" w:cs="Arial" w:eastAsia="Arial" w:hAnsi="Arial"/>
          <w:sz w:val="17"/>
          <w:szCs w:val="17"/>
          <w:color w:val="auto"/>
        </w:rPr>
      </w:pPr>
    </w:p>
    <w:p>
      <w:pPr>
        <w:ind w:left="1960" w:hanging="655"/>
        <w:spacing w:after="0" w:line="277" w:lineRule="auto"/>
        <w:tabs>
          <w:tab w:leader="none" w:pos="19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enforce the terms and conditions of the Plan, the Confirmation Order, and the Restructuring Documents;</w:t>
      </w:r>
    </w:p>
    <w:p>
      <w:pPr>
        <w:spacing w:after="0" w:line="225" w:lineRule="exact"/>
        <w:rPr>
          <w:rFonts w:ascii="Arial" w:cs="Arial" w:eastAsia="Arial" w:hAnsi="Arial"/>
          <w:sz w:val="18"/>
          <w:szCs w:val="18"/>
          <w:color w:val="auto"/>
        </w:rPr>
      </w:pPr>
    </w:p>
    <w:p>
      <w:pPr>
        <w:ind w:left="1960" w:right="120" w:hanging="655"/>
        <w:spacing w:after="0" w:line="264" w:lineRule="auto"/>
        <w:tabs>
          <w:tab w:leader="none" w:pos="198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with respect to the Release, the Exculpation, the indemnification and other provisions contained in Article X of the Plan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left="1960" w:right="580" w:hanging="655"/>
        <w:spacing w:after="0" w:line="277" w:lineRule="auto"/>
        <w:tabs>
          <w:tab w:leader="none" w:pos="196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the Plan, the Disclosure Statement, the Confirmation Order or any release or exculpation adopted in connection with the Plan;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ind w:right="280" w:firstLine="652"/>
        <w:spacing w:after="0" w:line="279" w:lineRule="auto"/>
        <w:rPr>
          <w:sz w:val="20"/>
          <w:szCs w:val="20"/>
          <w:color w:val="auto"/>
        </w:rPr>
      </w:pPr>
      <w:r>
        <w:rPr>
          <w:rFonts w:ascii="Arial" w:cs="Arial" w:eastAsia="Arial" w:hAnsi="Arial"/>
          <w:sz w:val="17"/>
          <w:szCs w:val="17"/>
          <w:color w:val="auto"/>
        </w:rPr>
        <w:t>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08" w:name="page209"/>
    <w:bookmarkEnd w:id="208"/>
    <w:p>
      <w:pPr>
        <w:ind w:right="240"/>
        <w:spacing w:after="0" w:line="277" w:lineRule="auto"/>
        <w:rPr>
          <w:sz w:val="20"/>
          <w:szCs w:val="20"/>
          <w:color w:val="auto"/>
        </w:rPr>
      </w:pPr>
      <w:r>
        <w:rPr>
          <w:rFonts w:ascii="Arial" w:cs="Arial" w:eastAsia="Arial" w:hAnsi="Arial"/>
          <w:sz w:val="18"/>
          <w:szCs w:val="18"/>
          <w:color w:val="auto"/>
        </w:rPr>
        <w:t xml:space="preserve">to the Chapter 11 Cases, including the matters set forth in this Article of the Plan,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Plan will have no effect upon and will not control, prohibit, or limit the exercise of jurisdiction by any other court having jurisdiction with respect to such matter.</w:t>
      </w:r>
    </w:p>
    <w:p>
      <w:pPr>
        <w:spacing w:after="0" w:line="166"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Substantial Consummation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Consummation” of the Plan, as defined in 11 U.S.C. § 1101(2), will be deemed to occur on the Effective Date.</w:t>
      </w:r>
    </w:p>
    <w:p>
      <w:pPr>
        <w:spacing w:after="0" w:line="221"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Statutory Fees; Post-Effective Date Fees and Expenses</w:t>
      </w:r>
    </w:p>
    <w:p>
      <w:pPr>
        <w:spacing w:after="0" w:line="229" w:lineRule="exact"/>
        <w:rPr>
          <w:sz w:val="20"/>
          <w:szCs w:val="20"/>
          <w:color w:val="auto"/>
        </w:rPr>
      </w:pPr>
    </w:p>
    <w:p>
      <w:pPr>
        <w:ind w:firstLine="652"/>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52"/>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the Plan and the Restructuring Documents.</w:t>
      </w:r>
    </w:p>
    <w:p>
      <w:pPr>
        <w:spacing w:after="0" w:line="154" w:lineRule="exact"/>
        <w:rPr>
          <w:sz w:val="20"/>
          <w:szCs w:val="20"/>
          <w:color w:val="auto"/>
        </w:rPr>
      </w:pPr>
    </w:p>
    <w:p>
      <w:pPr>
        <w:ind w:left="1300" w:hanging="644"/>
        <w:spacing w:after="0"/>
        <w:tabs>
          <w:tab w:leader="none" w:pos="1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Committee</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61"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Conflicts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the Plan or the Confirmation Order, the provision of the Plan and the Confirmation Order (as applicable) will govern and control to the extent of such conflict. In the event that a provision of the Plan conflicts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with a provision of the Confirmation Order, the provision of the Confirmation Order will govern and control to the extent of such conflict.</w:t>
      </w:r>
    </w:p>
    <w:p>
      <w:pPr>
        <w:spacing w:after="0" w:line="221"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Plan</w:t>
      </w:r>
    </w:p>
    <w:p>
      <w:pPr>
        <w:spacing w:after="0" w:line="229" w:lineRule="exact"/>
        <w:rPr>
          <w:sz w:val="20"/>
          <w:szCs w:val="20"/>
          <w:color w:val="auto"/>
        </w:rPr>
      </w:pPr>
    </w:p>
    <w:p>
      <w:pPr>
        <w:ind w:right="60" w:firstLine="652"/>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the Plan: (a) the Debtors reserve the right, in accordance with the Bankruptcy Code and the Bankruptcy Rules, to amend or modify the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the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the Plan in such manner as may be necessary to carry out the purpose and intent of the Plan. A Holder of a Claim or Equity Interest that has accepted the Plan will be deemed to have accepted the Plan, as altered, amended or modified, if the proposed alteration, amendment or modification does not materially and adversely change the treatment of the Claim or Equity Interest of such Holder.</w:t>
      </w:r>
    </w:p>
    <w:p>
      <w:pPr>
        <w:spacing w:after="0" w:line="181" w:lineRule="exact"/>
        <w:rPr>
          <w:sz w:val="20"/>
          <w:szCs w:val="20"/>
          <w:color w:val="auto"/>
        </w:rPr>
      </w:pPr>
    </w:p>
    <w:p>
      <w:pPr>
        <w:ind w:left="1300" w:hanging="644"/>
        <w:spacing w:after="0"/>
        <w:tabs>
          <w:tab w:leader="none" w:pos="13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 or Withdrawal of Plan</w:t>
      </w:r>
    </w:p>
    <w:p>
      <w:pPr>
        <w:spacing w:after="0" w:line="229" w:lineRule="exact"/>
        <w:rPr>
          <w:sz w:val="20"/>
          <w:szCs w:val="20"/>
          <w:color w:val="auto"/>
        </w:rPr>
      </w:pPr>
    </w:p>
    <w:p>
      <w:pPr>
        <w:ind w:firstLine="652"/>
        <w:spacing w:after="0" w:line="253" w:lineRule="auto"/>
        <w:rPr>
          <w:sz w:val="20"/>
          <w:szCs w:val="20"/>
          <w:color w:val="auto"/>
        </w:rPr>
      </w:pPr>
      <w:r>
        <w:rPr>
          <w:rFonts w:ascii="Arial" w:cs="Arial" w:eastAsia="Arial" w:hAnsi="Arial"/>
          <w:sz w:val="18"/>
          <w:szCs w:val="18"/>
          <w:color w:val="auto"/>
        </w:rPr>
        <w:t>The Debtors reserve the right to revoke or withdraw the Plan prior to the Effective Date and/or to File subsequent chapter 11 plans, with respect to one or more of the Debtors. If the Debtors revoke or withdraw the Plan, or if Confirmation or Consummation of the Plan does not occur with respect to one or more of the Debtors, then with respect to the applicable Debtor or Debtors for which the Plan was revoked or withdrawn or for which Confirmation or Consummation of the Plan did not occur: (1) the Plan will be null and void in all respects; (2) any settlement or compromise embodied in the Plan, assumption or rejection of Executory Contracts or Unexpired Leases effected by the Plan and any document or agreement executed pursuant hereto will be deemed null and void except as may be set forth in a separate order entered by the Bankruptcy Court; and (3) nothing contained in the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93"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right="40" w:firstLine="652"/>
        <w:spacing w:after="0" w:line="277" w:lineRule="auto"/>
        <w:rPr>
          <w:sz w:val="20"/>
          <w:szCs w:val="20"/>
          <w:color w:val="auto"/>
        </w:rPr>
      </w:pPr>
      <w:r>
        <w:rPr>
          <w:rFonts w:ascii="Arial" w:cs="Arial" w:eastAsia="Arial" w:hAnsi="Arial"/>
          <w:sz w:val="18"/>
          <w:szCs w:val="18"/>
          <w:color w:val="auto"/>
        </w:rPr>
        <w:t>The Plan will be binding upon and inure to the benefit of the Debtors, the Reorganized Debtors, all present and former Holders of Claims and Equity Interests, other parties-in-interest,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10" w:name="page211"/>
    <w:bookmarkEnd w:id="210"/>
    <w:p>
      <w:pPr>
        <w:ind w:right="120"/>
        <w:spacing w:after="0" w:line="342" w:lineRule="auto"/>
        <w:rPr>
          <w:sz w:val="20"/>
          <w:szCs w:val="20"/>
          <w:color w:val="auto"/>
        </w:rPr>
      </w:pPr>
      <w:r>
        <w:rPr>
          <w:rFonts w:ascii="Arial" w:cs="Arial" w:eastAsia="Arial" w:hAnsi="Arial"/>
          <w:sz w:val="16"/>
          <w:szCs w:val="16"/>
          <w:color w:val="auto"/>
        </w:rPr>
        <w:t>and their respective heirs, executors, administrators, successors, and assigns. The rights, benefits, and obligations of any Person or Entity named or referred to in the Plan will be binding on, and will inure to the benefit of, any heir, executor, administrator, successor, or assign of such Person or Entity.</w:t>
      </w:r>
    </w:p>
    <w:p>
      <w:pPr>
        <w:spacing w:after="0" w:line="120" w:lineRule="exact"/>
        <w:rPr>
          <w:sz w:val="20"/>
          <w:szCs w:val="20"/>
          <w:color w:val="auto"/>
        </w:rPr>
      </w:pPr>
    </w:p>
    <w:p>
      <w:pPr>
        <w:ind w:left="1300" w:hanging="644"/>
        <w:spacing w:after="0"/>
        <w:tabs>
          <w:tab w:leader="none" w:pos="13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Reservation of Rights</w:t>
      </w:r>
    </w:p>
    <w:p>
      <w:pPr>
        <w:spacing w:after="0" w:line="229" w:lineRule="exact"/>
        <w:rPr>
          <w:sz w:val="20"/>
          <w:szCs w:val="20"/>
          <w:color w:val="auto"/>
        </w:rPr>
      </w:pPr>
    </w:p>
    <w:p>
      <w:pPr>
        <w:ind w:firstLine="652"/>
        <w:spacing w:after="0" w:line="279" w:lineRule="auto"/>
        <w:rPr>
          <w:sz w:val="20"/>
          <w:szCs w:val="20"/>
          <w:color w:val="auto"/>
        </w:rPr>
      </w:pPr>
      <w:r>
        <w:rPr>
          <w:rFonts w:ascii="Arial" w:cs="Arial" w:eastAsia="Arial" w:hAnsi="Arial"/>
          <w:sz w:val="17"/>
          <w:szCs w:val="17"/>
          <w:color w:val="auto"/>
        </w:rPr>
        <w:t>Except as expressly set forth herein, the Plan will have no force or effect unless and until the Bankruptcy Court enters the Confirmation Order and the Plan is Consummated. Neither the filing of the Plan, any statement or provision contained herein, nor the taking of any action by the Debtors or any other Entity with respect to the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67"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229" w:lineRule="exact"/>
        <w:rPr>
          <w:sz w:val="20"/>
          <w:szCs w:val="20"/>
          <w:color w:val="auto"/>
        </w:rPr>
      </w:pPr>
    </w:p>
    <w:p>
      <w:pPr>
        <w:ind w:right="40" w:firstLine="652"/>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the Plan or the Confirmation Order.</w:t>
      </w:r>
    </w:p>
    <w:p>
      <w:pPr>
        <w:spacing w:after="0" w:line="177"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firstLine="652"/>
        <w:spacing w:after="0" w:line="272" w:lineRule="auto"/>
        <w:rPr>
          <w:sz w:val="20"/>
          <w:szCs w:val="20"/>
          <w:color w:val="auto"/>
        </w:rPr>
      </w:pPr>
      <w:r>
        <w:rPr>
          <w:rFonts w:ascii="Arial" w:cs="Arial" w:eastAsia="Arial" w:hAnsi="Arial"/>
          <w:sz w:val="17"/>
          <w:szCs w:val="17"/>
          <w:color w:val="auto"/>
        </w:rPr>
        <w:t>If, prior to the Confirmation Date, any term or provision of the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the Plan will remain in full force and effect and will in no way be affected, impaired, or invalidated by such holding, alteration, or interpretation. The Confirmation Order will constitute a judicial determination and will provide that each term and provision of the Plan, as it may have been altered or interpreted in accordance with the foregoing, is valid and enforceable pursuant to its terms.</w:t>
      </w:r>
    </w:p>
    <w:p>
      <w:pPr>
        <w:spacing w:after="0" w:line="174"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Documents</w:t>
      </w:r>
    </w:p>
    <w:p>
      <w:pPr>
        <w:spacing w:after="0" w:line="225" w:lineRule="exact"/>
        <w:rPr>
          <w:sz w:val="20"/>
          <w:szCs w:val="20"/>
          <w:color w:val="auto"/>
        </w:rPr>
      </w:pPr>
    </w:p>
    <w:p>
      <w:pPr>
        <w:ind w:right="200" w:firstLine="652"/>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the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Debtors: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If to the Ad Hoc Noteholder Committee:</w:t>
      </w:r>
    </w:p>
    <w:p>
      <w:pPr>
        <w:spacing w:after="0" w:line="22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2" w:name="page213"/>
    <w:bookmarkEnd w:id="212"/>
    <w:p>
      <w:pPr>
        <w:ind w:left="1300" w:hanging="644"/>
        <w:spacing w:after="0"/>
        <w:tabs>
          <w:tab w:leader="none" w:pos="1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Exemption from Transfer Taxes Pursuant to Section 1146(a) of the Bankruptcy Code</w:t>
      </w:r>
    </w:p>
    <w:p>
      <w:pPr>
        <w:spacing w:after="0" w:line="229" w:lineRule="exact"/>
        <w:rPr>
          <w:sz w:val="20"/>
          <w:szCs w:val="20"/>
          <w:color w:val="auto"/>
        </w:rPr>
      </w:pPr>
    </w:p>
    <w:p>
      <w:pPr>
        <w:ind w:firstLine="652"/>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the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the Plan or the Restructuring Documents, (ii) the issuance and distribution of the New Common Stock or Plan Securities and Documents, and (iii) the maintenance or creation of security interests or any Lien as contemplated by the Plan or the Restructuring Documents.</w:t>
      </w:r>
    </w:p>
    <w:p>
      <w:pPr>
        <w:spacing w:after="0" w:line="178"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180" w:firstLine="652"/>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the Plan provides otherwise, the rights and obligations arising under the Plan will be governed by, and construed and enforced in accordance with, the laws of New York, without giving effect to the principles of conflicts of law of such jurisdiction.</w:t>
      </w:r>
    </w:p>
    <w:p>
      <w:pPr>
        <w:spacing w:after="0" w:line="162"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Tax Reporting and Compliance</w:t>
      </w:r>
    </w:p>
    <w:p>
      <w:pPr>
        <w:spacing w:after="0" w:line="229" w:lineRule="exact"/>
        <w:rPr>
          <w:sz w:val="20"/>
          <w:szCs w:val="20"/>
          <w:color w:val="auto"/>
        </w:rPr>
      </w:pPr>
    </w:p>
    <w:p>
      <w:pPr>
        <w:ind w:right="640" w:firstLine="652"/>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0"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229" w:lineRule="exact"/>
        <w:rPr>
          <w:sz w:val="20"/>
          <w:szCs w:val="20"/>
          <w:color w:val="auto"/>
        </w:rPr>
      </w:pPr>
    </w:p>
    <w:p>
      <w:pPr>
        <w:ind w:right="100" w:firstLine="652"/>
        <w:spacing w:after="0" w:line="277" w:lineRule="auto"/>
        <w:rPr>
          <w:sz w:val="20"/>
          <w:szCs w:val="20"/>
          <w:color w:val="auto"/>
        </w:rPr>
      </w:pPr>
      <w:r>
        <w:rPr>
          <w:rFonts w:ascii="Arial" w:cs="Arial" w:eastAsia="Arial" w:hAnsi="Arial"/>
          <w:sz w:val="18"/>
          <w:szCs w:val="18"/>
          <w:color w:val="auto"/>
        </w:rPr>
        <w:t>All exhibits and schedules to the Plan, including the Exhibits and Plan Schedules, are incorporated herein and are a part of the Plan as if set forth in full herein.</w:t>
      </w:r>
    </w:p>
    <w:p>
      <w:pPr>
        <w:spacing w:after="0" w:line="166" w:lineRule="exact"/>
        <w:rPr>
          <w:sz w:val="20"/>
          <w:szCs w:val="20"/>
          <w:color w:val="auto"/>
        </w:rPr>
      </w:pPr>
    </w:p>
    <w:p>
      <w:pPr>
        <w:ind w:left="1300" w:hanging="644"/>
        <w:spacing w:after="0"/>
        <w:tabs>
          <w:tab w:leader="none" w:pos="13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No Strict Construction</w:t>
      </w:r>
    </w:p>
    <w:p>
      <w:pPr>
        <w:spacing w:after="0" w:line="229" w:lineRule="exact"/>
        <w:rPr>
          <w:sz w:val="20"/>
          <w:szCs w:val="20"/>
          <w:color w:val="auto"/>
        </w:rPr>
      </w:pPr>
    </w:p>
    <w:p>
      <w:pPr>
        <w:ind w:right="40" w:firstLine="652"/>
        <w:spacing w:after="0" w:line="273" w:lineRule="auto"/>
        <w:rPr>
          <w:sz w:val="20"/>
          <w:szCs w:val="20"/>
          <w:color w:val="auto"/>
        </w:rPr>
      </w:pPr>
      <w:r>
        <w:rPr>
          <w:rFonts w:ascii="Arial" w:cs="Arial" w:eastAsia="Arial" w:hAnsi="Arial"/>
          <w:sz w:val="17"/>
          <w:szCs w:val="17"/>
          <w:color w:val="auto"/>
        </w:rPr>
        <w:t xml:space="preserve">The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the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the Plan, the Disclosure Statement, the Exhibits or the Plan Schedules, or the documents ancillary and related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213" w:name="page214"/>
    <w:bookmarkEnd w:id="213"/>
    <w:p>
      <w:pPr>
        <w:ind w:left="1300" w:hanging="644"/>
        <w:spacing w:after="0"/>
        <w:tabs>
          <w:tab w:leader="none" w:pos="1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jc w:val="both"/>
        <w:ind w:right="20" w:firstLine="652"/>
        <w:spacing w:after="0" w:line="264" w:lineRule="auto"/>
        <w:rPr>
          <w:sz w:val="20"/>
          <w:szCs w:val="20"/>
          <w:color w:val="auto"/>
        </w:rPr>
      </w:pPr>
      <w:r>
        <w:rPr>
          <w:rFonts w:ascii="Arial" w:cs="Arial" w:eastAsia="Arial" w:hAnsi="Arial"/>
          <w:sz w:val="18"/>
          <w:szCs w:val="18"/>
          <w:color w:val="auto"/>
        </w:rPr>
        <w:t>Except as otherwise provided herein or therein, the Plan and the Restructuring Documents supersede all previous and contemporaneous negotiations, promises, covenants, agreements, understandings, and representations on such subjects, all of which have become merged and integrated into the Plan and the Restructuring Documents.</w:t>
      </w:r>
    </w:p>
    <w:p>
      <w:pPr>
        <w:spacing w:after="0" w:line="177"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Closing of Chapter 11 Cases</w:t>
      </w:r>
    </w:p>
    <w:p>
      <w:pPr>
        <w:spacing w:after="0" w:line="229" w:lineRule="exact"/>
        <w:rPr>
          <w:sz w:val="20"/>
          <w:szCs w:val="20"/>
          <w:color w:val="auto"/>
        </w:rPr>
      </w:pPr>
    </w:p>
    <w:p>
      <w:pPr>
        <w:ind w:firstLine="652"/>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66" w:lineRule="exact"/>
        <w:rPr>
          <w:sz w:val="20"/>
          <w:szCs w:val="20"/>
          <w:color w:val="auto"/>
        </w:rPr>
      </w:pPr>
    </w:p>
    <w:p>
      <w:pPr>
        <w:ind w:left="1300" w:hanging="644"/>
        <w:spacing w:after="0"/>
        <w:tabs>
          <w:tab w:leader="none" w:pos="13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2002 Notice Parties</w:t>
      </w:r>
    </w:p>
    <w:p>
      <w:pPr>
        <w:spacing w:after="0" w:line="229" w:lineRule="exact"/>
        <w:rPr>
          <w:sz w:val="20"/>
          <w:szCs w:val="20"/>
          <w:color w:val="auto"/>
        </w:rPr>
      </w:pPr>
    </w:p>
    <w:p>
      <w:pPr>
        <w:ind w:right="380" w:firstLine="652"/>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PLAN-RELATED RISK FACTORS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PRIOR TO VOTING TO ACCEPT OR REJECT THE PLAN, ALL HOLDERS OF CLAIMS OR EQUITY INTERESTS THAT ARE IMPAIRED SHOULD READ AND CONSIDER CAREFULLY THE FACTORS SET FORTH HEREIN, AS WELL AS ALL OTHER INFORMATION SET FORTH OR OTHERWISE REFERENCED IN THIS DISCLOSURE STATEMENT. ALTHOUGH THESE RISK FACTORS ARE MANY, THESE FACTORS 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REGARDED AS CONSTITUTING THE ONLY RISKS PRESENT IN CONNECTION WITH THE DEBTORS’ BUSINESSES, THE PLAN OR THE IMPLEMENTATION OF THE PLAN.</w:t>
      </w:r>
    </w:p>
    <w:p>
      <w:pPr>
        <w:spacing w:after="0" w:line="184"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CERTAIN BANKRUPTCY LAW CONSIDERATIONS</w:t>
      </w:r>
    </w:p>
    <w:p>
      <w:pPr>
        <w:spacing w:after="0" w:line="225"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the Debtors believe that the Chapter 11 Cases will be of short duration and will not be materially disruptive to their businesses, the Debtors cannot be certain that this will be the case. Although the Plan is designed to minimize the length of the Chapter 11 Cases, it is impossible to predict with certainty the amount of time that one or more of the Debtors may spend in bankruptcy or to assure parties in interest that the Plan will be confirmed. Even if confirmed on a timely basis, the Chapter 11 Cases could have an adverse effect on the Debtors’ businesses. Among other things, it is possible that bankruptcy proceedings could adversely affect the Debtors’ relationships with their key customers and employees. The cases will also involve additional expense and may divert some of the attention of the Debtors’ management away from business operations.</w:t>
      </w:r>
    </w:p>
    <w:p>
      <w:pPr>
        <w:spacing w:after="0" w:line="174" w:lineRule="exact"/>
        <w:rPr>
          <w:sz w:val="20"/>
          <w:szCs w:val="20"/>
          <w:color w:val="auto"/>
        </w:rPr>
      </w:pPr>
    </w:p>
    <w:p>
      <w:pPr>
        <w:ind w:left="1300" w:hanging="644"/>
        <w:spacing w:after="0"/>
        <w:tabs>
          <w:tab w:leader="none" w:pos="13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Debtors’ Classification of Claims and Equity Interests.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Section 1122 of the Bankruptcy Code provides that a plan may place a claim or an equity interest in a particular class only if such claim or equity interest is substantially similar to the other claims or equity interests in such class. The Debtors believe that the classification of Claims and Equity Interests under the Plan complies with the requirements set forth in the Bankruptcy Code because the Debtors created Classes of Claims and Equity Interests, each encompassing Claims or Equity Interests, as applicable, that are substantially similar to the other Claims and Equity Interests in each such Class. Nevertheless, there can be no assurance that the Bankruptcy Court will reach the same conclusion.</w:t>
      </w:r>
    </w:p>
    <w:p>
      <w:pPr>
        <w:spacing w:after="0" w:line="169"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Fail to Satisfy the Vote Requirement.</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If votes are received in number and amount sufficient to enable the Bankruptcy Court to confirm the Plan, the Debtors intend to seek, as promptly as practicable thereafter, confirmation of the Plan. In the event that sufficient votes are not received, the Debtors may seek to accomplish an alternative chapter 11 plan of reorganization. There can be no assurance that the terms of any such alternative chapter 11 plan would be similar or as favorable to the Holders of Allowed Claims as those proposed in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5" w:name="page216"/>
    <w:bookmarkEnd w:id="215"/>
    <w:p>
      <w:pPr>
        <w:ind w:left="1300" w:hanging="644"/>
        <w:spacing w:after="0"/>
        <w:tabs>
          <w:tab w:leader="none" w:pos="13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Secure Confirmation of the Plan.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the event that any impaired class of claims or equity interests does not accept or is deemed not to accept a plan of reorganization, a bankruptcy court may nevertheless confirm such plan at the proponent’s request if at least one impaired class has voted to accept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Should any Class vote to reject the Plan, then these requirements must be satisfied with respect to </w:t>
      </w:r>
      <w:r>
        <w:rPr>
          <w:rFonts w:ascii="Arial" w:cs="Arial" w:eastAsia="Arial" w:hAnsi="Arial"/>
          <w:sz w:val="17"/>
          <w:szCs w:val="17"/>
          <w:i w:val="1"/>
          <w:iCs w:val="1"/>
          <w:color w:val="auto"/>
        </w:rPr>
        <w:t>such</w:t>
      </w:r>
      <w:r>
        <w:rPr>
          <w:rFonts w:ascii="Arial" w:cs="Arial" w:eastAsia="Arial" w:hAnsi="Arial"/>
          <w:sz w:val="17"/>
          <w:szCs w:val="17"/>
          <w:color w:val="auto"/>
        </w:rPr>
        <w:t xml:space="preserve"> rejecting Classes.</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Even if the requisite acceptances are received, there can be no assurance that the Bankruptcy Court will confirm the Plan. A non-accepting Holder of an Allowed Claim or Equity Interest might challenge either the adequacy of this Disclosure Statement or whether the balloting procedures and voting results satisfy the requirements of the Bankruptcy Code or Bankruptcy Rules. Even if the Bankruptcy Court determined that the Disclosure Statement, the balloting procedures and voting results were appropriate, the Bankruptcy Court could still decline to confirm the Plan if it found that any of the statutory requirements for confirmation were not met, including the requirement that the terms of the Plan do not “unfairly discriminate” and are “fair and equitable” to non-accepting Classes. If the Plan is not confirmed, it is unclear what distributions holders of Claims or Equity Interests ultimately would receive with respect to their Claims or Equity Interests in a subsequent plan of reorganization.</w:t>
      </w:r>
    </w:p>
    <w:p>
      <w:pPr>
        <w:spacing w:after="0" w:line="174"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Non-Consensual Confirmation of the Plan May Be Necessary.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event that any impaired class of claims or equity interests does not accept a chapter 11 plan, a bankruptcy court may nevertheless confirm such a plan at the proponents’ request if at least one impaired class has accepted the plan (with such acceptance being determined without including the vote of any “insider” in such class), and, as to each impaired class that has not accepted the plan, the bankruptcy court determines that the plan “does not discriminate unfairly” and is “fair and equitable” with respect to the dissenting impaired classes. The Debtors believe that the Plan satisfies these requirements and the Debtors may request such non-consensual confirmation in accordance with subsection 1129(b) of the Bankruptcy Code. Nevertheless, in the event that the Voting Classes do not accept the Plan, there can be no assurance that the Bankruptcy Court will reach this conclusion.</w:t>
      </w:r>
    </w:p>
    <w:p>
      <w:pPr>
        <w:spacing w:after="0" w:line="161"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Risk of Termination of the Restructuring Support Agreement.</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more fully set forth in sections 9-11 of the Restructuring Support Agreement, the Restructuring Support Agreement contains certain provisions that give the Required Consenting Noteholders (as defined in the Restructuring Support Agreement) the ability to terminate the Restructuring Support Agreement upon the occurrence of certain events or conditions. In the event the Restructuring Support Agreement is terminated, the Debtors may be forced to file an alternative plan that lacks the same broad noteholder support. The termination of the Restructuring Support Agreement could result in protracted Chapter 11 Cases, which could significantly and detrimentally impact the Debtors’ relationships with vendors, suppliers, and major customers.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6" w:name="page217"/>
    <w:bookmarkEnd w:id="216"/>
    <w:p>
      <w:pPr>
        <w:ind w:left="1300" w:hanging="644"/>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The Effective Date May Not Occur.</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 xml:space="preserve">As more fully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Plan, the Effective Date is subject to a number of conditions precedent. If such conditions precedent are not met or waived, the Effective Date will not take place. There can be no assurance as to such timing or as to whether the Effective Date will, in fact, occur.</w:t>
      </w:r>
    </w:p>
    <w:p>
      <w:pPr>
        <w:spacing w:after="0" w:line="120"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The Exit Facility Credit Agreement and the Transactions Contemplated Thereby, May Not Become Effective.</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Although the Debtors believe that the Exit Facility Credit Agreement will become effective shortly after the Confirmation Date, there can be no assurance as to such timing or as to whether the Exit Facility Credit Agreement and the transactions contemplated thereunder, will become effective.</w:t>
      </w:r>
    </w:p>
    <w:p>
      <w:pPr>
        <w:spacing w:after="0" w:line="120"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Will Not Affect Votes of the Voting Classes to Accept or Reject the Plan.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distributions available to Holders of Allowed Claims and Equity Interests under the Plan can be affected by a variety of contingencies. The occurrence of any and all such contingencies, which could affect distributions available to Holders of Allowed Claims and Equity Interests under the Plan, will not affect the validity of the vote taken by the Voting Classes to accept or reject the Plan or require any sort of revote by the Impaired Classes.</w:t>
      </w:r>
    </w:p>
    <w:p>
      <w:pPr>
        <w:spacing w:after="0" w:line="143"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Cannot State with Certainty What Recovery Will be Available to Holders of Allowed Prepetition Notes Claims.</w:t>
      </w:r>
    </w:p>
    <w:p>
      <w:pPr>
        <w:spacing w:after="0" w:line="24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estimated Claims and recoveries set forth in this Disclosure Statement are based on various assumptions, and the actual Allowed amounts of Claims may significantly differ from the estimates. Should one or more of the underlying assumptions ultimately prove to be incorrect, the actual Allowed amounts of Claims may vary from the estimated amounts contained in this Disclosure Statement. Moreover, the Debtors cannot determine with any certainty at this time the number or amount of Claims that will ultimately be Allowed. Accordingly, because certain Claims under the Plan will be paid on a Pro Rata basis, the Debtors cannot state with certainty what recoveries will be available to Holders of Allowed Prepetition Notes Claims.</w:t>
      </w:r>
    </w:p>
    <w:p>
      <w:pPr>
        <w:spacing w:after="0" w:line="154" w:lineRule="exact"/>
        <w:rPr>
          <w:sz w:val="20"/>
          <w:szCs w:val="20"/>
          <w:color w:val="auto"/>
        </w:rPr>
      </w:pPr>
    </w:p>
    <w:p>
      <w:pPr>
        <w:ind w:left="1300" w:hanging="644"/>
        <w:spacing w:after="0"/>
        <w:tabs>
          <w:tab w:leader="none" w:pos="1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into Chapter 7 Cases.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the Debtors’ assets for distribution in accordance with the priorities established by the Bankruptcy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Section XI.A hereof, as well as the Liquidation Analysis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for a discussion of the effects that a chapter 7 liquidation would have on the recoveries of holders of Claims and Equity Interests.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7" w:name="page218"/>
    <w:bookmarkEnd w:id="217"/>
    <w:p>
      <w:pPr>
        <w:ind w:left="1300" w:hanging="644"/>
        <w:spacing w:after="0"/>
        <w:tabs>
          <w:tab w:leader="none" w:pos="13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Releases, Injunctions, and Exculpation Provisions May Not Be Approved.</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Plan provides for certain releases, injunctions, and exculpations. However, such releases, injunctions, and exculpations are subject to objection by parties in interest and may not be approved. If the releases are not approved, certain Released Parties may not support the Plan.</w:t>
      </w:r>
    </w:p>
    <w:p>
      <w:pPr>
        <w:spacing w:after="0" w:line="143"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FACTORS AFFECTING THE VALUE OF THE REORGANIZED DEBTORS</w:t>
      </w:r>
    </w:p>
    <w:p>
      <w:pPr>
        <w:spacing w:after="0" w:line="225"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Claims Could be More than Projected.</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There can be no assurance that the estimated Allowed amount of Claims in certain Classes will not be significantly more than projected, which in turn, could cause the value of distributions to be reduced substantially. Inevitably, some assumptions will not materialize, and unanticipated events and circumstances may affect the ultimate results. Therefore, the actual amount of Allowed Claims may vary materially from the Debtors’ projections and feasibility analysis.</w:t>
      </w:r>
    </w:p>
    <w:p>
      <w:pPr>
        <w:spacing w:after="0" w:line="183"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Projections and other Forward-Looking Statements Are Not Assured and Actual Results May Vary.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Certain of the information contained in the Disclosure Statement, including the Financial Projections in </w:t>
      </w:r>
      <w:r>
        <w:rPr>
          <w:rFonts w:ascii="Arial" w:cs="Arial" w:eastAsia="Arial" w:hAnsi="Arial"/>
          <w:sz w:val="18"/>
          <w:szCs w:val="18"/>
          <w:u w:val="single" w:color="auto"/>
          <w:color w:val="auto"/>
        </w:rPr>
        <w:t>Exhibit D</w:t>
      </w:r>
      <w:r>
        <w:rPr>
          <w:rFonts w:ascii="Arial" w:cs="Arial" w:eastAsia="Arial" w:hAnsi="Arial"/>
          <w:sz w:val="18"/>
          <w:szCs w:val="18"/>
          <w:color w:val="auto"/>
        </w:rPr>
        <w:t>, is, by nature, forward-looking, and contains estimates and assumptions, which might ultimately prove to be incorrect, and projections, which may be materially different from actual future experiences. There are uncertainties associated with any projections and estimates, and they should not be considered assurances or guarantees of the amount of funds or the amount of Claims in the various Classes that might be allowed.</w:t>
      </w:r>
    </w:p>
    <w:p>
      <w:pPr>
        <w:spacing w:after="0" w:line="183"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Post-Effective Date Indebtedness.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Following the Effective Date, the Reorganized Debtors will have approximately $1 billion of secured funded indebtedness and a $500 million letter of credit from the Exit Facility, and up to $2.500 billion of unsecured funded indebtedness composed of up to $1.250 billion principal amount of New Tranche A Senior Unsecured Notes and up to $1.250 billion principal amount of New Tranche B Senior Unsecured Notes. The Reorganized Debtors’ ability to service their debt obligations will depend, among other things, on their future operating performance, which depends partly on economic, financial, competitive, and other factors beyond the Reorganized Debtors’ control. The Reorganized Debtors may not be able to generate sufficient cash from operations to meet their debt service obligations as well as fund necessary capital expenditures and investments in sales and marketing. In addition, if the Reorganized Debtors need to refinance their debt, obtain additional financing, or sell assets or equity, they may not be able to do so on commercially reasonable terms, if at all.</w:t>
      </w:r>
    </w:p>
    <w:p>
      <w:pPr>
        <w:spacing w:after="0" w:line="188"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 of Indebtedness.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financing agreements governing the Reorganized Debtors’ indebtedness will contain various covenants that may limit the discretion of the Reorganized Debtors’ management by restricting the Reorganized Debtors’ ability to, among other things, incur additional indebtedness, incur liens, pay dividends or make certain restricted payments, consummate certain asset sales, enter into certain transactions with affiliates, merge, consolidate and/or sell or dispose of all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18" w:name="page219"/>
    <w:bookmarkEnd w:id="218"/>
    <w:p>
      <w:pPr>
        <w:ind w:right="360"/>
        <w:spacing w:after="0" w:line="264" w:lineRule="auto"/>
        <w:rPr>
          <w:sz w:val="20"/>
          <w:szCs w:val="20"/>
          <w:color w:val="auto"/>
        </w:rPr>
      </w:pPr>
      <w:r>
        <w:rPr>
          <w:rFonts w:ascii="Arial" w:cs="Arial" w:eastAsia="Arial" w:hAnsi="Arial"/>
          <w:sz w:val="18"/>
          <w:szCs w:val="18"/>
          <w:color w:val="auto"/>
        </w:rPr>
        <w:t>substantially all of their assets. In addition, it is expected that certain of the agreements will require the Reorganized Debtors to meet certain financial covenants. As a result of these covenants, the Reorganized Debtors will be limited in the manner in which they conduct their businesses and they may be unable to engage in favorable business activities or finance future operations or capital needs.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failure to comply with the restrictions of the financing agreements may result in an event of default. An event of default may allow the creditors to accelerate the related debt as well as any other debt to which a cross-acceleration or cross-default provision applies. If the Reorganized Debtors are unable to repay amounts outstanding under their financing agreements when due, the lenders thereunder could, subject to the terms of the financing agreements, seek to foreclose on the collateral that is pledged to secure the indebtedness outstanding under such facility.</w:t>
      </w:r>
    </w:p>
    <w:p>
      <w:pPr>
        <w:spacing w:after="0" w:line="167" w:lineRule="exact"/>
        <w:rPr>
          <w:sz w:val="20"/>
          <w:szCs w:val="20"/>
          <w:color w:val="auto"/>
        </w:rPr>
      </w:pPr>
    </w:p>
    <w:p>
      <w:pPr>
        <w:ind w:left="1300" w:right="200" w:hanging="644"/>
        <w:spacing w:after="0" w:line="266" w:lineRule="auto"/>
        <w:tabs>
          <w:tab w:leader="none" w:pos="130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or Issuances Of Existing Common Stock or New Common Stock, Before or in Connection with the Debtors’ Chapter 11 Cases, May Impair The Debtors’ Ability To Utilize Their U.S. Federal Income Tax Net Operating Loss Carryforwards In Future Years.</w:t>
      </w:r>
    </w:p>
    <w:p>
      <w:pPr>
        <w:spacing w:after="0" w:line="1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Under U.S. federal income tax law, a corporation is generally permitted to deduct from taxable income net operating losses carried forward from prior years. The Debtors’ U.S. consolidated group, of which Weatherford Delaware will become the parent prior to the Effective Date, had consolidated net operating losses and net operating loss carryforwards of approximately $2 billion as of December 31, 2017, of which approximately 85% will be allocable to Weatherford Delaware. The Debtors believe that their U.S. consolidated group generated additional net operating losses for the 2018 taxable year. The U.S. group’s ability to utilize its net operating loss carryforwards to offset future taxable income and to reduce its U.S. federal income tax liability is subject to certain requirements and restrictions. Since the Weatherford Parent (and indirectly the U.S. group) will experience an “ownership change,” as defined in Section 382 of the U.S. Internal Revenue Code of 1986, as amended (the “</w:t>
      </w:r>
      <w:r>
        <w:rPr>
          <w:rFonts w:ascii="Arial" w:cs="Arial" w:eastAsia="Arial" w:hAnsi="Arial"/>
          <w:sz w:val="16"/>
          <w:szCs w:val="16"/>
          <w:b w:val="1"/>
          <w:bCs w:val="1"/>
          <w:u w:val="single" w:color="auto"/>
          <w:color w:val="auto"/>
        </w:rPr>
        <w:t>IRC</w:t>
      </w:r>
      <w:r>
        <w:rPr>
          <w:rFonts w:ascii="Arial" w:cs="Arial" w:eastAsia="Arial" w:hAnsi="Arial"/>
          <w:sz w:val="16"/>
          <w:szCs w:val="16"/>
          <w:color w:val="auto"/>
        </w:rPr>
        <w:t>”), the U.S. group’s ability to use its net operating loss carryforwards may be substantially limited, which could have a negative impact on its financial position and results of operations. Generally, there is an “ownership change” if one or more stockholders owning 5% or more of a corporation’s common stock have aggregate increases in their ownership of such stock of more than 50 percentage points over the prior three-year period. Under IRC Section 382, absent an applicable exception, if a corporation undergoes an “ownership change,” the amount of its net operating losses that may be utilized to offset future table income generally is subject to an annual limitation. Even if the net operating loss carryforwards are subject to limitation under IRC Section 382, the net operating losses can be further reduced by the amount of discharge of indebtedness arising in a Chapter 11 Case under IRC Section 108. The Debtors intend to request that the Bankruptcy Court approve restrictions on certain transfers of Existing Common Stock to limit the risk of an “ownership change” occurring prior to the issuance of New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9" w:name="page220"/>
    <w:bookmarkEnd w:id="219"/>
    <w:p>
      <w:pPr>
        <w:ind w:left="1300" w:hanging="644"/>
        <w:spacing w:after="0" w:line="313" w:lineRule="auto"/>
        <w:tabs>
          <w:tab w:leader="none" w:pos="130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Transfers of Prepetition Note Claims During the Debtors’ Chapter 11 Cases, May Impair The Debtors’ Ability To Utilize Their U.S. Federal Income Tax Net Operating Loss Carryforwards In Future Years, and May be Subject to a Sell Down Order.</w:t>
      </w:r>
    </w:p>
    <w:p>
      <w:pPr>
        <w:spacing w:after="0" w:line="14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Under the Plan, each Holder of an Allowed Prepetition Notes Claim will receive its Pro Rata share of (i) 99% of the New Common Stock, subject to dilution on account of equity issued pursuant to the New Management Incentive Plan, the New Tranche B Equity Conversion, and the New Common Stock issuable pursuant to the New Warrants, (ii) the New Tranche B Senior Unsecured Notes and (iii) Subscription Rights to purchase its Pro Rata share of New Tranche A Senior Unsecured Notes pursuant to the Rights Offering. As a result, the consummation of the Plan is expected to result in an “ownership change” of Weatherford Delaware and all other members of the U.S. Group. The Debtors believe that the application of IRC Section 382(l)(5) could result in significant future savings and are seeking to protect the continued existence of the their significant tax attributes (including net operating losses ranging between $1.5 billion to $2 billion that are expected to remain after taking into account the impact of the Restructuring Transactions) without annual limitations on the use of its net operating losses and net unrealized built-in loss pursuant to IRC Section 382(l)(5). Refer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for a discussion on IRC Section 382 and the exception under IRC Section 382(l)(5).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Accordingly, the Debtors will file a First Day Motion to seek an order establishing a record date and sell-down procedures for trading claims.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First Day Motion:</w:t>
      </w:r>
    </w:p>
    <w:p>
      <w:pPr>
        <w:spacing w:after="0" w:line="211" w:lineRule="exact"/>
        <w:rPr>
          <w:sz w:val="20"/>
          <w:szCs w:val="20"/>
          <w:color w:val="auto"/>
        </w:rPr>
      </w:pPr>
    </w:p>
    <w:p>
      <w:pPr>
        <w:ind w:left="1260" w:hanging="280"/>
        <w:spacing w:after="0"/>
        <w:tabs>
          <w:tab w:leader="none" w:pos="1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Record Date will be set as of the date the First Day Motion is filed.</w:t>
      </w:r>
    </w:p>
    <w:p>
      <w:pPr>
        <w:spacing w:after="0" w:line="221" w:lineRule="exact"/>
        <w:rPr>
          <w:rFonts w:ascii="Arial" w:cs="Arial" w:eastAsia="Arial" w:hAnsi="Arial"/>
          <w:sz w:val="18"/>
          <w:szCs w:val="18"/>
          <w:color w:val="auto"/>
        </w:rPr>
      </w:pPr>
    </w:p>
    <w:p>
      <w:pPr>
        <w:ind w:left="1240" w:right="120" w:hanging="260"/>
        <w:spacing w:after="0" w:line="273" w:lineRule="auto"/>
        <w:tabs>
          <w:tab w:leader="none" w:pos="126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 date will be set in August 2019 (the “</w:t>
      </w:r>
      <w:r>
        <w:rPr>
          <w:rFonts w:ascii="Arial" w:cs="Arial" w:eastAsia="Arial" w:hAnsi="Arial"/>
          <w:sz w:val="17"/>
          <w:szCs w:val="17"/>
          <w:b w:val="1"/>
          <w:bCs w:val="1"/>
          <w:u w:val="single" w:color="auto"/>
          <w:color w:val="auto"/>
        </w:rPr>
        <w:t>Reporting Deadline</w:t>
      </w:r>
      <w:r>
        <w:rPr>
          <w:rFonts w:ascii="Arial" w:cs="Arial" w:eastAsia="Arial" w:hAnsi="Arial"/>
          <w:sz w:val="17"/>
          <w:szCs w:val="17"/>
          <w:color w:val="auto"/>
        </w:rPr>
        <w:t xml:space="preserve">”), at which time the Holder of any Prepetition Notes Claim who would own more than 4.75% of the New Common Stock on emergence shall be required to provide notice of its Prepetition Note Claims, including the amount of such Claims and date of acquisition. For this purpose, the person or Entity required to file such notice is the beneficial owner determined under the rules set forth in IRC Section 382 and the regulations thereunder, described below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under the caption “Certain U.S. Federal Income Tax Consequences of the Plan—Consequences to the Debtors—Section 382 Limitation on Net Operating Losses and Built-In Losses.” If, after the Reporting Deadline, the Holder acquires or disposes of Prepetition Notes Claims, it is required to report such changes in ownership within the time period specified in the motion.</w:t>
      </w:r>
    </w:p>
    <w:p>
      <w:pPr>
        <w:spacing w:after="0" w:line="176" w:lineRule="exact"/>
        <w:rPr>
          <w:rFonts w:ascii="Arial" w:cs="Arial" w:eastAsia="Arial" w:hAnsi="Arial"/>
          <w:sz w:val="17"/>
          <w:szCs w:val="17"/>
          <w:color w:val="auto"/>
        </w:rPr>
      </w:pPr>
    </w:p>
    <w:p>
      <w:pPr>
        <w:ind w:left="1280" w:hanging="300"/>
        <w:spacing w:after="0"/>
        <w:tabs>
          <w:tab w:leader="none" w:pos="12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connection with confirmation of the Plan, the Debtors will seek an additional motion requiring a Holder who would own more than</w:t>
      </w:r>
    </w:p>
    <w:p>
      <w:pPr>
        <w:spacing w:after="0" w:line="35" w:lineRule="exact"/>
        <w:rPr>
          <w:sz w:val="20"/>
          <w:szCs w:val="20"/>
          <w:color w:val="auto"/>
        </w:rPr>
      </w:pPr>
    </w:p>
    <w:p>
      <w:pPr>
        <w:ind w:left="1240" w:right="20"/>
        <w:spacing w:after="0" w:line="253" w:lineRule="auto"/>
        <w:rPr>
          <w:sz w:val="20"/>
          <w:szCs w:val="20"/>
          <w:color w:val="auto"/>
        </w:rPr>
      </w:pPr>
      <w:r>
        <w:rPr>
          <w:rFonts w:ascii="Arial" w:cs="Arial" w:eastAsia="Arial" w:hAnsi="Arial"/>
          <w:sz w:val="18"/>
          <w:szCs w:val="18"/>
          <w:color w:val="auto"/>
        </w:rPr>
        <w:t>4.75% of the New Common Stock at emergence (A) to not make any purchases of Prepetition Notes Claims without providing notice before such acquisition and obtaining advance approval of the Debtors, (B) to notify the Debtors of any sale of Prepetition Note Claims within a specified time period of such sale, and (C) giving Debtors the authority (but not requiring Debtors) to require such Holders to sell down their holdings of Prepetition Note Claims to an amount determined by the Debtors that will permit the Debtors to qualify for the benefits of IRC section 382(l)(5).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0" w:name="page221"/>
    <w:bookmarkEnd w:id="220"/>
    <w:p>
      <w:pPr>
        <w:ind w:right="180" w:firstLine="648"/>
        <w:spacing w:after="0" w:line="277" w:lineRule="auto"/>
        <w:rPr>
          <w:sz w:val="20"/>
          <w:szCs w:val="20"/>
          <w:color w:val="auto"/>
        </w:rPr>
      </w:pPr>
      <w:r>
        <w:rPr>
          <w:rFonts w:ascii="Arial" w:cs="Arial" w:eastAsia="Arial" w:hAnsi="Arial"/>
          <w:sz w:val="18"/>
          <w:szCs w:val="18"/>
          <w:color w:val="auto"/>
        </w:rPr>
        <w:t>For purposes of this section, the amounts of Prepetition Notes Claims required to be sold in a sell down procedure may depend, in part, on whether such Claims were acquired more than eighteen months before the Petition Date.</w:t>
      </w:r>
    </w:p>
    <w:p>
      <w:pPr>
        <w:spacing w:after="0" w:line="166"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The New Common Stock Will be Subject to Trading Restrictions in Order to Protect the Reorganized Debtors’ Tax Attributes.</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order to preserve the Debtors’ tax attributes post-emergence, the Debtors intend to impose trading restrictions on the New Common Stock in a form similar to those used by U.S. debtor corporations emerging from bankruptcy.</w:t>
      </w:r>
    </w:p>
    <w:p>
      <w:pPr>
        <w:spacing w:after="0" w:line="166" w:lineRule="exact"/>
        <w:rPr>
          <w:sz w:val="20"/>
          <w:szCs w:val="20"/>
          <w:color w:val="auto"/>
        </w:rPr>
      </w:pPr>
    </w:p>
    <w:p>
      <w:pPr>
        <w:ind w:left="660" w:right="240" w:hanging="652"/>
        <w:spacing w:after="0" w:line="282" w:lineRule="auto"/>
        <w:tabs>
          <w:tab w:leader="none" w:pos="673"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MAY AFFECT THE VALUE OF SECURITIES TO BE ISSUED UNDER THE PLAN AND/OR RECOVERIES UNDER THE PLAN</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The Valuation of the Reorganized Debtors May Not Be Adopted by the Bankruptcy Court.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Parties in interest in these Chapter 11 Cases may oppose confirmation of the Plan by alleging that the value of the Reorganized Debtors is higher than estimated by the Debtors and that the Plan thereby improperly limits or extinguishes their rights to recoveries under the Plan. At the Confirmation Hearing, the Bankruptcy Court will hear evidence regarding the views of the Debtors and opposing parties, if any, with respect to the valuation of the Reorganized Debtors. Based on that evidence, the Bankruptcy Court will determine the appropriate valuation for the Reorganized Debtors for purposes of the Plan.</w:t>
      </w:r>
    </w:p>
    <w:p>
      <w:pPr>
        <w:spacing w:after="0" w:line="184" w:lineRule="exact"/>
        <w:rPr>
          <w:sz w:val="20"/>
          <w:szCs w:val="20"/>
          <w:color w:val="auto"/>
        </w:rPr>
      </w:pPr>
    </w:p>
    <w:p>
      <w:pPr>
        <w:jc w:val="both"/>
        <w:ind w:left="1300" w:right="160" w:hanging="644"/>
        <w:spacing w:after="0" w:line="266" w:lineRule="auto"/>
        <w:tabs>
          <w:tab w:leader="none" w:pos="130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The Estimated Valuation of the Reorganized Debtors, the New Common Stock, the New Warrants, and the New Senior Unsecured Notes and the Estimated Recoveries to Holders of Allowed Claims and Equity Interests Are Not Intended to Represent the Private or Public Sale Values.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Debtors’ estimated recoveries to Holders of Allowed Claims and Allowed Equity Interests are not intended to represent the private or public sale values of the Reorganized Debtors’ securities. The estimated recoveries are based on numerous assumptions (the realization of many of which is beyond the control of Reorganized Debtors), including, without limitation: (a) the successful reorganization of the Debtors; (b) an assumed date for the occurrence of the Effective Date; (c) the Debtors’ ability to achieve the operating and financial results included in the Financial Projections; and (d) the Debtors’ ability to maintain adequate liquidity to fund operations.</w:t>
      </w:r>
    </w:p>
    <w:p>
      <w:pPr>
        <w:spacing w:after="0" w:line="184"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There May Be a Lack of a Trading Market For the New Common Stock.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Although Weatherford Parent will use commercially reasonable efforts to list the New Common Stock on a national securities exchange, there can be no assurance that there will be an active trading market for the New Common Stock or the other Plan Securities. In addition, there may be trading restrictions on shares of New Common Stock (or any interest therein) following the Effective Time. Accordingly, there can be no assurance that any market will develop or as to the liquidity of any market that may develop for any such securities.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1" w:name="page222"/>
    <w:bookmarkEnd w:id="221"/>
    <w:p>
      <w:pPr>
        <w:ind w:left="1300" w:hanging="644"/>
        <w:spacing w:after="0"/>
        <w:tabs>
          <w:tab w:leader="none" w:pos="1300"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The New Common Stock Will be Subordinated to the New Senior Unsecured Notes and Other Indebtedness of Reorganized Parent.</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any subsequent liquidation, dissolution, or winding up of Reorganized Parent, the New Common Stock would rank below all debt claims against Reorganized Parent. As a result, holders of the New Common Stock would not be entitled to receive any payment or other distribution of assets upon the liquidation, dissolution, or winding up of Reorganized Parent until after all applicable holders of debt have been paid in full.</w:t>
      </w:r>
    </w:p>
    <w:p>
      <w:pPr>
        <w:spacing w:after="0" w:line="162"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The New Warrants May Not Become Exercisable Prior to Expiration.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can be no assurance that the total enterprise value of the Reorganized Debtors will ever reach the thresholds at which the New Warrants become exercisable prior to the expiration of the New Warrants.</w:t>
      </w:r>
    </w:p>
    <w:p>
      <w:pPr>
        <w:spacing w:after="0" w:line="166"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The Reorganized Debtors May Not Be Able to Achieve Projected Financial Results or Service Their Debt.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the Financial Projections represent management’s view based on current known facts and assumptions about the future operations of the Reorganized Debtors there is no guarantee that the Financial Projections will be realized. The Reorganized Debtors may not be able to meet their projected financial results or achieve projected revenues and Cash flows assumed in projecting future business prospects. To the extent the Reorganized Debtors do not meet their projected financial results or achieve projected revenues and Cash flows, the Reorganized Debtors may lack sufficient liquidity to continue operating as planned after the Effective Date, may be unable to service their debt obligations as they come due or may not be able to meet their operational needs. Any one of these failures may preclude the Reorganized Debtors from, among other things: (a) taking advantage of future opportunities; (b) growing their businesses; or (c) responding to future changes in the oil and gas industry. Further, a failure of the Reorganized Debtors to meet their projected financial results or achieve projected revenues and cash flows could lead to cash flow and working capital constraints, which constraints may require the Reorganized Debtors to seek additional working capital. The Reorganized Debtors may not be able to obtain such working capital when it is required.</w:t>
      </w:r>
    </w:p>
    <w:p>
      <w:pPr>
        <w:spacing w:after="0" w:line="163" w:lineRule="exact"/>
        <w:rPr>
          <w:sz w:val="20"/>
          <w:szCs w:val="20"/>
          <w:color w:val="auto"/>
        </w:rPr>
      </w:pPr>
    </w:p>
    <w:p>
      <w:pPr>
        <w:ind w:left="1300" w:hanging="644"/>
        <w:spacing w:after="0"/>
        <w:tabs>
          <w:tab w:leader="none" w:pos="13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A Small Number of Holders Will Own a Significant Percentage of the New Common Stock.</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Consummation of the Plan will result in a small number of holders owning a significant percentage of the outstanding New Common Stock. Accordingly, these holders may, among other things, have significant influence over the business and affairs of the Reorganized Debtors and have the power to elect directors or managers and approve or disapprove of proposed mergers and other material corporate transactions.</w:t>
      </w:r>
    </w:p>
    <w:p>
      <w:pPr>
        <w:spacing w:after="0" w:line="162" w:lineRule="exact"/>
        <w:rPr>
          <w:sz w:val="20"/>
          <w:szCs w:val="20"/>
          <w:color w:val="auto"/>
        </w:rPr>
      </w:pPr>
    </w:p>
    <w:p>
      <w:pPr>
        <w:ind w:left="1300" w:right="140" w:hanging="644"/>
        <w:spacing w:after="0" w:line="282" w:lineRule="auto"/>
        <w:tabs>
          <w:tab w:leader="none" w:pos="130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If a United States Person is Treated as Owning At Least 10% of the New Common Stock, Such Holder May be Subject to Adverse U.S. Federal Income Tax Consequences.</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Many of Weatherford Parent’s non-U.S. subsidiaries are classified as “controlled foreign corporations” for U.S. federal income tax purposes due to the application of certain ownership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2" w:name="page223"/>
    <w:bookmarkEnd w:id="222"/>
    <w:p>
      <w:pPr>
        <w:ind w:right="20"/>
        <w:spacing w:after="0" w:line="286" w:lineRule="auto"/>
        <w:rPr>
          <w:sz w:val="20"/>
          <w:szCs w:val="20"/>
          <w:color w:val="auto"/>
        </w:rPr>
      </w:pPr>
      <w:r>
        <w:rPr>
          <w:rFonts w:ascii="Arial" w:cs="Arial" w:eastAsia="Arial" w:hAnsi="Arial"/>
          <w:sz w:val="16"/>
          <w:szCs w:val="16"/>
          <w:color w:val="auto"/>
        </w:rPr>
        <w:t>attribution rules within a multinational corporate group (although there is a legislative proposal to significantly limit the application of these rules). If a United States person is treated as owning (directly, indirectly or constructively) at least 10% of the value or voting power of Weatherford Parent’s shares, such person may be treated as a “United States shareholder” with respect to one or more of Weatherford Parent’s controlled foreign corporation subsidiaries. In addition, if Weatherford Parent’s shares are treated as owned more than 50% (by voting power or value) by United States shareholders, Weatherford Parent itself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Weatherford Parent makes any distributions to such United States shareholder. An individual United States shareholder generally would not be allowed certain tax deductions or foreign tax credits that would be allowed to a corporate United States shareholder.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Weatherford Parent cannot provide any assurances that it will assist investors in determining whether it or any of its non-U.S. subsidiaries are controlled foreign corporations. Weatherford Parent also cannot guarantee that it will furnish to United States shareholders information that may be necessary for them to comply with the aforementioned obligations. The risk of being subject to increased reporting and compliance obligations and taxation could impact the demand for, and value of, New Common Stock.</w:t>
      </w:r>
    </w:p>
    <w:p>
      <w:pPr>
        <w:spacing w:after="0" w:line="168" w:lineRule="exact"/>
        <w:rPr>
          <w:sz w:val="20"/>
          <w:szCs w:val="20"/>
          <w:color w:val="auto"/>
        </w:rPr>
      </w:pPr>
    </w:p>
    <w:p>
      <w:pPr>
        <w:ind w:left="660" w:right="440" w:hanging="652"/>
        <w:spacing w:after="0" w:line="295" w:lineRule="auto"/>
        <w:tabs>
          <w:tab w:leader="none" w:pos="673"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 THAT COULD NEGATIVELY IMPACT THE DEBTORS’ AND REORGANIZED DEBTORS’ BUSINESSES AND FINANCIAL CONDITION</w:t>
      </w:r>
      <w:r>
        <w:rPr>
          <w:rFonts w:ascii="Arial" w:cs="Arial" w:eastAsia="Arial" w:hAnsi="Arial"/>
          <w:sz w:val="23"/>
          <w:szCs w:val="23"/>
          <w:color w:val="auto"/>
          <w:vertAlign w:val="superscript"/>
        </w:rPr>
        <w:t>(7)</w:t>
      </w:r>
    </w:p>
    <w:p>
      <w:pPr>
        <w:spacing w:after="0" w:line="6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7"/>
          <w:szCs w:val="17"/>
          <w:b w:val="1"/>
          <w:bCs w:val="1"/>
          <w:color w:val="auto"/>
        </w:rPr>
        <w:t>DIP Facility.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DIP Facility is intended to provide liquidity to the Debtors during the pendency of the Chapter 11 Cases. If the Chapter 11 Cases take longer than expected to conclude, or in the event of a breach of a milestone or another event of default under the DIP Facility, which could occur if the Plan is not confirmed on the proposed timeline, the Debtors may exhaust or lose access to their financing. There is no assurance that they will be able to obtain additional financing from their existing lenders or otherwise. In either such case, the liquidity necessary for the orderly functioning of the Debtors’ businesses may be materially impaired.</w:t>
      </w:r>
    </w:p>
    <w:p>
      <w:pPr>
        <w:spacing w:after="0" w:line="184" w:lineRule="exact"/>
        <w:rPr>
          <w:sz w:val="20"/>
          <w:szCs w:val="20"/>
          <w:color w:val="auto"/>
        </w:rPr>
      </w:pPr>
    </w:p>
    <w:p>
      <w:pPr>
        <w:ind w:left="1300" w:right="700" w:hanging="644"/>
        <w:spacing w:after="0" w:line="282" w:lineRule="auto"/>
        <w:tabs>
          <w:tab w:leader="none" w:pos="130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Fluctuations in Oil and Gas Prices May Continue to Adversely Affect the Debtors’ and the Reorganized Debtors’ Financial Condition, Financial Results, Cash Flows, Access to Capital and Ability to Grow.</w:t>
      </w:r>
    </w:p>
    <w:p>
      <w:pPr>
        <w:spacing w:after="0" w:line="16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Demand for the Debtors’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left="180" w:hanging="172"/>
        <w:spacing w:after="0"/>
        <w:tabs>
          <w:tab w:leader="none" w:pos="180" w:val="left"/>
        </w:tabs>
        <w:numPr>
          <w:ilvl w:val="0"/>
          <w:numId w:val="251"/>
        </w:numPr>
        <w:rPr>
          <w:rFonts w:ascii="Arial" w:cs="Arial" w:eastAsia="Arial" w:hAnsi="Arial"/>
          <w:sz w:val="18"/>
          <w:szCs w:val="18"/>
          <w:color w:val="auto"/>
          <w:vertAlign w:val="superscript"/>
        </w:rPr>
      </w:pPr>
      <w:r>
        <w:rPr>
          <w:rFonts w:ascii="Arial" w:cs="Arial" w:eastAsia="Arial" w:hAnsi="Arial"/>
          <w:sz w:val="14"/>
          <w:szCs w:val="14"/>
          <w:color w:val="auto"/>
        </w:rPr>
        <w:t>Additional factors are provided in the Company’s 10-K and 10-Q, filed with the Securities and Exchange Commission on February 15, 2019 and May 10,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3" w:name="page224"/>
    <w:bookmarkEnd w:id="223"/>
    <w:p>
      <w:pPr>
        <w:jc w:val="both"/>
        <w:ind w:right="80"/>
        <w:spacing w:after="0" w:line="264" w:lineRule="auto"/>
        <w:rPr>
          <w:sz w:val="20"/>
          <w:szCs w:val="20"/>
          <w:color w:val="auto"/>
        </w:rPr>
      </w:pPr>
      <w:r>
        <w:rPr>
          <w:rFonts w:ascii="Arial" w:cs="Arial" w:eastAsia="Arial" w:hAnsi="Arial"/>
          <w:sz w:val="18"/>
          <w:szCs w:val="18"/>
          <w:color w:val="auto"/>
        </w:rPr>
        <w:t>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the Debtors’ equipment and will likely continue at lower rates for the Debtors’ services.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the Organization of the Petroleum Exporting Countries (“</w:t>
      </w:r>
      <w:r>
        <w:rPr>
          <w:rFonts w:ascii="Arial" w:cs="Arial" w:eastAsia="Arial" w:hAnsi="Arial"/>
          <w:sz w:val="17"/>
          <w:szCs w:val="17"/>
          <w:b w:val="1"/>
          <w:bCs w:val="1"/>
          <w:u w:val="single" w:color="auto"/>
          <w:color w:val="auto"/>
        </w:rPr>
        <w:t>OPEC</w:t>
      </w:r>
      <w:r>
        <w:rPr>
          <w:rFonts w:ascii="Arial" w:cs="Arial" w:eastAsia="Arial" w:hAnsi="Arial"/>
          <w:sz w:val="17"/>
          <w:szCs w:val="17"/>
          <w:color w:val="auto"/>
        </w:rPr>
        <w:t>”)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the Debtors’ control. Any perceived or actual further reduction in oil and natural gas prices will depress the immediate levels of exploration, development and production activity and decrease spending by the Debtors’ customers, which could have a material adverse effect on the Debtors’ businesses, financial conditions and results of operations.</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Sustained lower oil and natural gas prices have led to a significant decrease in spending by the Debtors’ customers over the past several years, and thus significant decreases in the Debtors’ revenues. Further decreases in oil and natural gas prices could lead to further cuts in spending and lower revenues. The Debtors’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the Debtors’ businesses, financial conditions, results of operations and cash flow.</w:t>
      </w:r>
    </w:p>
    <w:p>
      <w:pPr>
        <w:spacing w:after="0" w:line="169" w:lineRule="exact"/>
        <w:rPr>
          <w:sz w:val="20"/>
          <w:szCs w:val="20"/>
          <w:color w:val="auto"/>
        </w:rPr>
      </w:pPr>
    </w:p>
    <w:p>
      <w:pPr>
        <w:ind w:left="1300" w:right="520" w:hanging="644"/>
        <w:spacing w:after="0" w:line="282" w:lineRule="auto"/>
        <w:tabs>
          <w:tab w:leader="none" w:pos="13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The Credit Risks of the Debtors’ Concentrated Customer Base in the Energy Industry Could Result in Operating Losses and Negatively Impact Liquidity.</w:t>
      </w:r>
    </w:p>
    <w:p>
      <w:pPr>
        <w:spacing w:after="0" w:line="16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concentration of the Debtors’ customer base in the energy industry may impact the Debtors overall exposure to credit risk as customers may be similarly affected by prolonged changes in economic and industry conditions. Some of the Debtors’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the Debtors’ ability to collect from customers in these countries, particularly national oil companies. Laws in some jurisdictions in which the Debtors operate could make collection difficult or time consuming. The Debtors perform on-going credit evaluations of customers and do not generally require collateral in support of trade receivables. While the Debtors maintain reserves for potential credit losses, the Debtors cannot assure such reserves will be sufficient to meet write-offs of uncollectible receivables or that losses from such receivables will be consistent with the Debtors’ expectations. Additionally, in the event of a bankruptcy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24" w:name="page225"/>
    <w:bookmarkEnd w:id="224"/>
    <w:p>
      <w:pPr>
        <w:ind w:right="280"/>
        <w:spacing w:after="0" w:line="277" w:lineRule="auto"/>
        <w:rPr>
          <w:sz w:val="20"/>
          <w:szCs w:val="20"/>
          <w:color w:val="auto"/>
        </w:rPr>
      </w:pPr>
      <w:r>
        <w:rPr>
          <w:rFonts w:ascii="Arial" w:cs="Arial" w:eastAsia="Arial" w:hAnsi="Arial"/>
          <w:sz w:val="18"/>
          <w:szCs w:val="18"/>
          <w:color w:val="auto"/>
        </w:rPr>
        <w:t>any of the Debtors’ customers, the Debtors may be treated as an unsecured creditor and may collect substantially less, or none, of the amounts owed to the Debtors by such customer.</w:t>
      </w:r>
    </w:p>
    <w:p>
      <w:pPr>
        <w:spacing w:after="0" w:line="166" w:lineRule="exact"/>
        <w:rPr>
          <w:sz w:val="20"/>
          <w:szCs w:val="20"/>
          <w:color w:val="auto"/>
        </w:rPr>
      </w:pPr>
    </w:p>
    <w:p>
      <w:pPr>
        <w:ind w:left="1300" w:right="480" w:hanging="644"/>
        <w:spacing w:after="0" w:line="282" w:lineRule="auto"/>
        <w:tabs>
          <w:tab w:leader="none" w:pos="130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Capital Spending by Customers May Continue to Have an Adverse Effect on the Debtors’ and the Reorganized Debtors’ Business, Financial Condition and Financial Results.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Sustained low oil and natural gas prices have led to lower capital expenditures by the Debtors’ customers. Most of the Debtors’ contracts can be cancelled by a customer at any time. Low commodity prices, the short-term tenor of most of the Debtors’ contracts and the extreme financial stress experienced by customers (some of whom may have to seek bankruptcy protection) have combined to generate demands by many of the Debtors’ customers for reductions in the prices of the Debtors’ products and services. Further reductions in capital spending or requests for further cost reductions by the Debtors’ customers could directly impact the Debtors’ business by reducing demand for services and products and have a material adverse effect on the Debtors’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the Debtors’ services, the rates the Debtors can charge and the utilization of their assets. Moreover, reduced discovery rates of new oil and natural gas reserves or a decrease in the development rate of reserves in the Debtors’ market areas, whether due to increased governmental regulation, limitations on exploration and drilling activity or other factors, could also have a material adverse impact on the Debtors’ businesses, even in a stronger oil and natural gas price environment. With respect to national oil company customers, the Debtors are also subject to risk of policy, regime, currency and budgetary changes all of which may affect their capital expenditures.</w:t>
      </w:r>
    </w:p>
    <w:p>
      <w:pPr>
        <w:spacing w:after="0" w:line="181" w:lineRule="exact"/>
        <w:rPr>
          <w:sz w:val="20"/>
          <w:szCs w:val="20"/>
          <w:color w:val="auto"/>
        </w:rPr>
      </w:pPr>
    </w:p>
    <w:p>
      <w:pPr>
        <w:ind w:left="1300" w:right="460" w:hanging="644"/>
        <w:spacing w:after="0" w:line="282" w:lineRule="auto"/>
        <w:tabs>
          <w:tab w:leader="none" w:pos="13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Severe or Unseasonable Weather Could Adversely Affect Demand for the Debtors’ or the Reorganized Debtors’ Products and Services.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operations, or the Debtors’ customers’ operations, cause supply disruptions or loss of productivity or result in a loss of revenue or damage to equipment and facilities, which may or may not be insured. Any of these outcomes could have a material adverse effect on the Debtors’ business, financial condition and results of operations.</w:t>
      </w:r>
    </w:p>
    <w:p>
      <w:pPr>
        <w:spacing w:after="0" w:line="184" w:lineRule="exact"/>
        <w:rPr>
          <w:sz w:val="20"/>
          <w:szCs w:val="20"/>
          <w:color w:val="auto"/>
        </w:rPr>
      </w:pPr>
    </w:p>
    <w:p>
      <w:pPr>
        <w:ind w:left="1300" w:right="120" w:hanging="644"/>
        <w:spacing w:after="0" w:line="282" w:lineRule="auto"/>
        <w:tabs>
          <w:tab w:leader="none" w:pos="13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 in the Oilfield Services Industry Is Intense and Many of the Debtors’ Competitors Have Greater Financial and Other Resources Than The Debtors Do.</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Debtors’ businesses are highly competitive, particularly with respect to the marketing of products and services to customers as well as securing equipment and trained personnel. Currently the oilfield service industry has excess capacity relative to customer demand, and,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5" w:name="page226"/>
    <w:bookmarkEnd w:id="225"/>
    <w:p>
      <w:pPr>
        <w:ind w:right="20"/>
        <w:spacing w:after="0" w:line="271" w:lineRule="auto"/>
        <w:rPr>
          <w:sz w:val="20"/>
          <w:szCs w:val="20"/>
          <w:color w:val="auto"/>
        </w:rPr>
      </w:pPr>
      <w:r>
        <w:rPr>
          <w:rFonts w:ascii="Arial" w:cs="Arial" w:eastAsia="Arial" w:hAnsi="Arial"/>
          <w:sz w:val="17"/>
          <w:szCs w:val="17"/>
          <w:color w:val="auto"/>
        </w:rPr>
        <w:t>most cases, multiple sources of comparable oilfield services are available from a number of different competitors. This competitive environment could impact the Debtors’ ability to maintain market share, defend, maintain or increase pricing for products and services and negotiate acceptable contract terms with customers and suppliers. In order to remain competitive, the Debtors must continue to add value for customers by providing, relative to their peers, new technologies, reliable products and services and competent personnel. The anticipated timing and cost of the development of competitive technology and new product introductions can impact the Debtors’ financial results, particularly if one of the Debtors’ competitors were to develop competing technology that accelerates the obsolescence of any of the Debtors’ products or services. Additionally, the Debtors may be disadvantaged competitively and financially by a significant movement of exploration and production operations to areas of the world in which they are not currently active, particularly if one or more of the Debtors’ competitors is already operating in that area of the world.</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Mergers, combinations and consolidations in the Debtors’ industry could result in existing competitors increasing their market share and may result in stronger competitors, which in turn, could have a material adverse effect on the Debtors’ business, financial condition and results of operations. The Debtors may not be able to compete successfully in an increasingly consolidated industry and cannot predict with certainty how industry consolidation will affect other competitors or the Debtors.</w:t>
      </w:r>
    </w:p>
    <w:p>
      <w:pPr>
        <w:spacing w:after="0" w:line="183" w:lineRule="exact"/>
        <w:rPr>
          <w:sz w:val="20"/>
          <w:szCs w:val="20"/>
          <w:color w:val="auto"/>
        </w:rPr>
      </w:pPr>
    </w:p>
    <w:p>
      <w:pPr>
        <w:ind w:left="1300" w:right="980" w:hanging="644"/>
        <w:spacing w:after="0" w:line="282" w:lineRule="auto"/>
        <w:tabs>
          <w:tab w:leader="none" w:pos="13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Claims Resulting From Catastrophic Incidents Could Have a Material Adverse Effect on the Debtors’ and the Reorganized Debtors’ Business, Financial Condition and Financial Results.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Drilling for and producing hydrocarbons, and the associated products and services that the Debtors provide, include inherent dangers that may lead to property damage, personal injury, death or the discharge of hazardous materials into the environment. Many of these events are outside the Debtors’ control. Typically, the Debtors provide products and services at a well site where personnel and equipment are located together with personnel and equipment of the Debtors’ customer and third parties, such as other service providers. At many sites, the Debtors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products and services are deployed on more challenging prospects both onshore and offshore, where the occurrence of the types of events mentioned above can have an even more catastrophic impact on people, equipment and the environment. Such events may expose the Debtors to significant potential losses.</w:t>
      </w:r>
    </w:p>
    <w:p>
      <w:pPr>
        <w:spacing w:after="0" w:line="163" w:lineRule="exact"/>
        <w:rPr>
          <w:sz w:val="20"/>
          <w:szCs w:val="20"/>
          <w:color w:val="auto"/>
        </w:rPr>
      </w:pPr>
    </w:p>
    <w:p>
      <w:pPr>
        <w:ind w:left="1300" w:hanging="644"/>
        <w:spacing w:after="0" w:line="282" w:lineRule="auto"/>
        <w:tabs>
          <w:tab w:leader="none" w:pos="13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is customary in the Debtors’ industry, the Debtors’ contracts typically require that customers and other third parties indemnify the Debtors for claims arising from the injury or death of their employees (and those of their other contractors), the loss or damage of their equipment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6" w:name="page227"/>
    <w:bookmarkEnd w:id="226"/>
    <w:p>
      <w:pPr>
        <w:ind w:right="40"/>
        <w:spacing w:after="0" w:line="302" w:lineRule="auto"/>
        <w:rPr>
          <w:sz w:val="20"/>
          <w:szCs w:val="20"/>
          <w:color w:val="auto"/>
        </w:rPr>
      </w:pPr>
      <w:r>
        <w:rPr>
          <w:rFonts w:ascii="Arial" w:cs="Arial" w:eastAsia="Arial" w:hAnsi="Arial"/>
          <w:sz w:val="16"/>
          <w:szCs w:val="16"/>
          <w:color w:val="auto"/>
        </w:rPr>
        <w:t>(and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the Debtors typically indemnify their customers and certain other third parties for claims arising from the injury or death of the Debtors’ employees, the loss or damage of the Debtors’ equipment (other than equipment lost in the hole) or pollution originating from the Debtors’ equipment.</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Debtors’ indemnification arrangements may not protect the Debtors in every case. For example, from time to time the Debtors may enter into contracts with less favorable indemnities or perform work without a contract that provides protection. The Debtors’ indemnity arrangements may also be held to be overly broad in some courts and/or contrary to public policy in some jurisdictions, and to that extent may be unenforceable. Additionally, some jurisdictions which permit indemnification nonetheless limit its scope by statute. The Debtors may be subject to claims brought by third parties or government agencies with respect to which they are not indemnified. Furthermore, the parties from which indemnity is sought may not be solvent, may become bankrupt, may lack resources or insurance to honor their indemnities or may not otherwise be able to satisfy their indemnity obligations to the Debtors. The lack of enforceable indemnification could expose the Debtors to significant potential losses.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 the Debtors’ assets are generally are not insured against loss from political violence such as war, terrorism or civil commotion. If assets are damaged or destroyed as a result of an uninsured cause, the Debtors could recognize a loss of those assets.</w:t>
      </w:r>
    </w:p>
    <w:p>
      <w:pPr>
        <w:spacing w:after="0" w:line="166" w:lineRule="exact"/>
        <w:rPr>
          <w:sz w:val="20"/>
          <w:szCs w:val="20"/>
          <w:color w:val="auto"/>
        </w:rPr>
      </w:pPr>
    </w:p>
    <w:p>
      <w:pPr>
        <w:ind w:left="1300" w:right="140" w:hanging="644"/>
        <w:spacing w:after="0" w:line="282" w:lineRule="auto"/>
        <w:tabs>
          <w:tab w:leader="none" w:pos="13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Businesses May Be Exposed To Uninsured Claims And, As A Result, Litigation Might Result In Significant Potential Losses. The Cost Of The Debtors’ Insured Risk Management Program May Increase.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ordinary course of business, the Debtors become the subject of various claims and litigation. The Debtors maintain liability insurance, which includes insurance against damage to people, property and the environment, up to maximum limits of $435 million, subject to self-insured retentions and deductibles.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These insurance policies are subject to exclusions, limitations and other conditions and may not apply in all cases, for example where willful wrongdoing on the Debtors part is alleged. It is possible an unexpected judgment could be rendered against the Debtors in cases in which the Debtors could be uninsured and beyond the amounts the Debtors currently have reserved or anticipate incurring, and in some cases those potential losses could be material.</w:t>
      </w:r>
    </w:p>
    <w:p>
      <w:pPr>
        <w:spacing w:after="0" w:line="14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Debtors’ insurance may not be sufficient to cover any particular loss or insurance may not cover all losses. For example, although the Debtors maintain product liability insurance, this type of insurance is limited in coverage and it is possible an adverse claim could arise in excess of that coverage. Additionally, insurance rates have in the past been subject to wide fluctuation and may be unavailable on terms that the Debtors or the Debtors’ customers believe are economically acceptable. Reductions in coverage, changes in the insurance markets and accidents affecting the Debtors’ industry may result in further cost increases and higher deductibles and retentions in future years and may also result in reduced activity levels in certain markets. Any of these events would have an adverse impact on the Debtors’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7" w:name="page228"/>
    <w:bookmarkEnd w:id="227"/>
    <w:p>
      <w:pPr>
        <w:ind w:left="1300" w:right="80" w:hanging="644"/>
        <w:spacing w:after="0" w:line="313" w:lineRule="auto"/>
        <w:tabs>
          <w:tab w:leader="none" w:pos="1295"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The Debtors’ Operations Are Subject To Numerous Laws And Regulations, Including Environmental Laws And Regulations, That May Expose The Debtors To Significant Liabilities And Could Reduce Business Opportunities And Revenues.</w:t>
      </w:r>
    </w:p>
    <w:p>
      <w:pPr>
        <w:spacing w:after="0" w:line="14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Debtors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the Debtors’ current businesses, products or services, or a business or property that one of the Debtors’ predecessors owned or used, and such claims could involve material expenditures. Generally, environmental laws have in recent years become more stringent and have sought to impose greater liability on a larger number of potentially responsible parties. The scope of regulation of the Debtors’ industry and the Debtors’ products and services may increase further, including possible increases in liabilities or funding requirements imposed by governmental agencies. The Debtors also cannot ensure that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the Debtors’ business where they are imposed.</w:t>
      </w:r>
    </w:p>
    <w:p>
      <w:pPr>
        <w:spacing w:after="0" w:line="16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members of the U.S. Congress, the U.S. Environmental Protection Agency and various agencies of several states within the U.S. frequently review, consider and propose more stringent regulation of hydraulic fracturing, a service the Debtors previously provided (and may, in the future, resume providing) to clients.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the costs of providing services or could materially reduce potential business opportunities and revenues if the Debtors’ customers decrease their levels of activity in response to such regulation or if the Debtors are not able to pass along any cost increases to customers. The Debtors are unable to predict whether changes in laws or regulations or any other governmental proposals or responses will ultimately occur, and accordingly, are unable to assess the potential financial or operational impact they may have on the Debtors’ businesses.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8" w:name="page229"/>
    <w:bookmarkEnd w:id="228"/>
    <w:p>
      <w:pPr>
        <w:ind w:left="1300" w:right="260" w:hanging="644"/>
        <w:spacing w:after="0" w:line="282" w:lineRule="auto"/>
        <w:tabs>
          <w:tab w:leader="none" w:pos="1285"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A Significant Portion of the Debtors’ Revenue is Derived From the Debtors’ Non-United States Operations, Which Exposes the Debtors to Risks Inherent in Doing Business in the Over 80 Countries in Which They Operate.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Debtors’ non-United States operations accounted for approximately $4.1 billion of their consolidated revenue in both 2018 and 2017 and $4.2 billion in 2016. Operations in countries other than the United States are subject to various risks, including:</w:t>
      </w:r>
    </w:p>
    <w:p>
      <w:pPr>
        <w:spacing w:after="0" w:line="170" w:lineRule="exact"/>
        <w:rPr>
          <w:sz w:val="20"/>
          <w:szCs w:val="20"/>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exposure to expropriation of the Debtors’ assets or other governmental 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or similar legislation;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21" w:lineRule="exact"/>
        <w:rPr>
          <w:sz w:val="20"/>
          <w:szCs w:val="20"/>
          <w:color w:val="auto"/>
        </w:rPr>
      </w:pPr>
    </w:p>
    <w:p>
      <w:pPr>
        <w:ind w:left="1300" w:right="360" w:hanging="644"/>
        <w:spacing w:after="0" w:line="282" w:lineRule="auto"/>
        <w:tabs>
          <w:tab w:leader="none" w:pos="1295"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May Not Be Able To Complete Their Strategic Divestitures And May Not Achieve The Intended Benefits Of Any Acquisition, Divestiture Or Joint Venture.</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Debtors may pursue strategic divestitures, acquisitions, investments and joint ventures “transactions”. Such divestitures can be complex in nature and may be affected by unanticipated developments, such as the recent significant and sustained decrease in the price of crude oil, delays in obtaining regulatory, governmental, customer or other third party approvals and challenges in establishing processes and infrastructure for both the underlying business and for potential investors or buyers of the business, which may result in such divestiture being delayed, or in limited circumstances not being completed at all, any of which could have a negative impact on the Debtors’ ability to repay indebtedness or their liquidity and otherwise expose the Debtors to increased competitive pressures and additional risks.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earnings for a number of reasons, and pose many other risks that could adversely affect the Debtors’ operations or financial results, including: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229" w:name="page230"/>
    <w:bookmarkEnd w:id="229"/>
    <w:p>
      <w:pPr>
        <w:ind w:left="980" w:right="480" w:hanging="324"/>
        <w:spacing w:after="0" w:line="302" w:lineRule="auto"/>
        <w:tabs>
          <w:tab w:leader="none" w:pos="9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these transactions have and do require significant investment of time and resources, may disrupt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the Debtors’ financial results, including cash flow, repayment of indebtedness or compliance with debt covenants;</w:t>
      </w:r>
    </w:p>
    <w:p>
      <w:pPr>
        <w:spacing w:after="0" w:line="154" w:lineRule="exact"/>
        <w:rPr>
          <w:rFonts w:ascii="Arial" w:cs="Arial" w:eastAsia="Arial" w:hAnsi="Arial"/>
          <w:sz w:val="16"/>
          <w:szCs w:val="16"/>
          <w:color w:val="auto"/>
        </w:rPr>
      </w:pPr>
    </w:p>
    <w:p>
      <w:pPr>
        <w:ind w:left="980" w:right="480" w:hanging="324"/>
        <w:spacing w:after="0" w:line="277" w:lineRule="auto"/>
        <w:tabs>
          <w:tab w:leader="none" w:pos="9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operating income or operating margins, and the Debtors may be unable to recover their investments;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Debtors may not be able to effectively influence the operations of joint ventures, or may be exposed to certain liabilities if the Debtors’ joint venture partners do not fulfill their obligations; and</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Debtors may not be able to fully realize the intended or expected benefits of consummating such transactions, including receiving the expected cash proceeds.</w:t>
      </w:r>
    </w:p>
    <w:p>
      <w:pPr>
        <w:spacing w:after="0" w:line="166" w:lineRule="exact"/>
        <w:rPr>
          <w:sz w:val="20"/>
          <w:szCs w:val="20"/>
          <w:color w:val="auto"/>
        </w:rPr>
      </w:pPr>
    </w:p>
    <w:p>
      <w:pPr>
        <w:ind w:left="1300" w:right="640" w:hanging="644"/>
        <w:spacing w:after="0" w:line="282" w:lineRule="auto"/>
        <w:tabs>
          <w:tab w:leader="none" w:pos="1295"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The Ability to Retain or Attract Employees, Including Executive Officers and Other Key Personnel, Could Have a Material Adverse Effect on the Debtors’ Businesses.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Debtors’ businesses are dependent on their ability to attract, develop, and retain qualified employees and workers. The Debtors’ ability to meet employment and staffing needs is subject to external and internal factors such as the current and future prices of oil and natural gas, the demand for workers by companies in the Debtors’ industry, the Debtors’ reputation within the labor market (particularly in a highly competitive industry), and the Debtors’ workers’ perception of opportunities with the Debtors as compared to the Debtors’ peers (including as to financial performance and incentives related thereto). If the Debtors are unable to attract and retain adequate numbers and an appropriate mix of qualified workers, the quality of products and services provided to customers may decrease and financial performance may be adversely affected. Further, the Debtors depend on the contributions of key personnel for future success. Departures of key employees can cause disruptions to, and uncertainty in, the Debtors’ businesses and operations. Future departures of key employees, including changes in senior management, could disrupt the Debtors’ businesses and have a materially adverse effect on the Debtors’ financial condition and results of operations.</w:t>
      </w:r>
    </w:p>
    <w:p>
      <w:pPr>
        <w:spacing w:after="0" w:line="178" w:lineRule="exact"/>
        <w:rPr>
          <w:sz w:val="20"/>
          <w:szCs w:val="20"/>
          <w:color w:val="auto"/>
        </w:rPr>
      </w:pPr>
    </w:p>
    <w:p>
      <w:pPr>
        <w:ind w:left="1300" w:hanging="644"/>
        <w:spacing w:after="0" w:line="282" w:lineRule="auto"/>
        <w:tabs>
          <w:tab w:leader="none" w:pos="129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If Another Party Claims That the Debtors Have Infringed its Intellectual Property Rights, the Debtors May be Subject to Litigation or May Need to Take Remedial Steps to Eliminate or Mitigate Liability.</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third party may claim that the Debtors sell equipment or perform services that infringes upon the third party’s patent rights or unlawfully uses the third party’s trade secrets. Addressing such claims of patent infringement or trade secret misappropriation could result in significant legal and other costs and may adversely impact the Debtors’ businesses. To resolve such claims, the Debtors may be required to enter into license agreements that require them to make royalty payments to continue selling equipment or providing of services. Alternatively, the development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0" w:name="page231"/>
    <w:bookmarkEnd w:id="230"/>
    <w:p>
      <w:pPr>
        <w:spacing w:after="0" w:line="264" w:lineRule="auto"/>
        <w:rPr>
          <w:sz w:val="20"/>
          <w:szCs w:val="20"/>
          <w:color w:val="auto"/>
        </w:rPr>
      </w:pPr>
      <w:r>
        <w:rPr>
          <w:rFonts w:ascii="Arial" w:cs="Arial" w:eastAsia="Arial" w:hAnsi="Arial"/>
          <w:sz w:val="18"/>
          <w:szCs w:val="18"/>
          <w:color w:val="auto"/>
        </w:rPr>
        <w:t>of non-infringing technologies could be costly. If an allegation of patent infringement or trade secret misappropriation cannot be resolved through a license agreement, the Debtors might not be able to continue selling particular equipment or providing particular services, which could adversely affect their financial conditions, results of operations, and cash flow.</w:t>
      </w:r>
    </w:p>
    <w:p>
      <w:pPr>
        <w:spacing w:after="0" w:line="177" w:lineRule="exact"/>
        <w:rPr>
          <w:sz w:val="20"/>
          <w:szCs w:val="20"/>
          <w:color w:val="auto"/>
        </w:rPr>
      </w:pPr>
    </w:p>
    <w:p>
      <w:pPr>
        <w:ind w:left="1300" w:right="880" w:hanging="644"/>
        <w:spacing w:after="0" w:line="282" w:lineRule="auto"/>
        <w:tabs>
          <w:tab w:leader="none" w:pos="1295"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The Debtors and Holders of Allowed Claims and Allowed Equity Interests May Suffer Adverse U.S. Federal Income Tax Consequences as a Result of the Implementation of the Plan</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Following the Effective Date, the Reorganized Debtors intend to continue to operate under Weatherford Parent, which is expected to be an Irish tax resident following the Irish Migration (as defined below). The United States Internal Revenue Service (the “</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may, however, assert that Weatherford Parent should be treated as a U.S. corporation for U.S. federal income tax purposes pursuant to IRC Section 7874. For U.S. federal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application of IRC Section 7874 to Weatherford Parent is unclear and subject to factual uncertainty and may result in significant adverse tax consequences. For additional information regarding the application of IRC Section 7874, see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below.</w:t>
      </w:r>
    </w:p>
    <w:p>
      <w:pPr>
        <w:spacing w:after="0" w:line="166" w:lineRule="exact"/>
        <w:rPr>
          <w:sz w:val="20"/>
          <w:szCs w:val="20"/>
          <w:color w:val="auto"/>
        </w:rPr>
      </w:pPr>
    </w:p>
    <w:p>
      <w:pPr>
        <w:ind w:left="1300" w:right="140" w:hanging="644"/>
        <w:spacing w:after="0" w:line="282" w:lineRule="auto"/>
        <w:tabs>
          <w:tab w:leader="none" w:pos="129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Of The Debtors’ Shareholders Are Governed By Irish Law; Irish Law Differs From The Laws In Effect In The United States And May Afford Less Protection To Holders Of The Debtors’ Securities.</w:t>
      </w:r>
    </w:p>
    <w:p>
      <w:pPr>
        <w:spacing w:after="0" w:line="16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an Irish company, Weatherford Parent is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alone, as a separate legal entity, and not to individual shareholders (save in the case of insolvency, where the directors will primarily owe their duties to a company’s creditors). Shareholders of Irish companies generally do not have a personal right of action against directors or officers of the company and may exercise such rights of action on behalf of the company only in limited circumstances. Accordingly, holders of the Debtors’ securities may have more difficulty protecting their interests than would holders of securities of a corporation incorporated in a jurisdiction of the United States. Additionally, while Weatherford Parent is an Irish company, Weatherford Parent currently holds shareholders meetings in Switzerland, and in the future may hold shareholders meetings in Ireland which may make attendance in person more difficult for some investors.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1" w:name="page232"/>
    <w:bookmarkEnd w:id="231"/>
    <w:p>
      <w:pPr>
        <w:ind w:left="1300" w:right="340" w:hanging="644"/>
        <w:spacing w:after="0" w:line="266" w:lineRule="auto"/>
        <w:tabs>
          <w:tab w:leader="none" w:pos="129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Is Incorporated In Ireland and a Significant Portion of the Debtors’ Assets are Located Outside the United States. As a Result, it Might Not Be Possible For Shareholders to Enforce Civil Liability Provisions of the Federal or State Securities Laws of the United States.</w:t>
      </w:r>
    </w:p>
    <w:p>
      <w:pPr>
        <w:spacing w:after="0" w:line="18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Weatherford Parent is organized under the laws of Ireland, and a significant portion of the Debtors’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the Debtors in Ireland. In addition, there is some doubt as to whether the courts of Ireland and other countries would recognize or enforce judgments of U.S. courts obtained against the Debtors or the Debtors’ directors or officers based on the civil liabilities provisions of the federal or state securities laws of the United States or would hear actions against the Debtors or those persons based on those laws. The laws of Ireland do, however, as a general rule, provide that if an order of recognition by the Irish Court is granted, the judgments of the courts of the United States have the same validity in Ireland as if rendered by Irish Courts. Certain important requirements must be satisfied before the Irish Courts will recognize the U.S. judgment. These include the following: the judgment must be a money judgment for a liquidated sum,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76" w:lineRule="exact"/>
        <w:rPr>
          <w:sz w:val="20"/>
          <w:szCs w:val="20"/>
          <w:color w:val="auto"/>
        </w:rPr>
      </w:pPr>
    </w:p>
    <w:p>
      <w:pPr>
        <w:ind w:left="1300" w:right="80" w:hanging="644"/>
        <w:spacing w:after="0" w:line="282" w:lineRule="auto"/>
        <w:tabs>
          <w:tab w:leader="none" w:pos="129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Weatherford Parent Will Require “Profits Available for Distribution” to Pay Dividends and Generally to Make Share Repurchases and Redemptions.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Irish law, dividends may only be paid, and share repurchases and redemptions may generally only be made, by Weatherford Parent from its “profits available for distribution”. Immediately following the Effective Date, Weatherford Parent may not have any profits available for distribution. In such circumstances, no dividends, other distributions, share repurchases or redemptions will be permitted under Irish law until such time as Weatherford Parent has generated sufficient profits available for distribution from its business activities or, to the extent possible, reorganized its capital structure to create such profits.</w:t>
      </w:r>
    </w:p>
    <w:p>
      <w:pPr>
        <w:spacing w:after="0" w:line="184"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IRISH EXAMINERSHIP PROCEEDING</w:t>
      </w:r>
    </w:p>
    <w:p>
      <w:pPr>
        <w:spacing w:after="0" w:line="225"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Irish proceeding, the examinership in relation to Weatherford Parent, will be of shorter duration than the Chapter 11 Cases and will run concurrently with the Chapter 11 Cases. It will entail the same risks with regard to the Debtors’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2" w:name="page233"/>
    <w:bookmarkEnd w:id="232"/>
    <w:p>
      <w:pPr>
        <w:ind w:left="1300" w:hanging="644"/>
        <w:spacing w:after="0"/>
        <w:tabs>
          <w:tab w:leader="none" w:pos="130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Appointment of an Examiner to the Weatherford Parent.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509 of the Companies Act 2014 (Ireland) provides that the High Court of Ireland may appoint an examiner to an Irish registered company if it is insolvent, has not been put into liquidation, no receiver has been appointed for three consecutive days prior to the presentation of the petition and that there is a reasonable prospect of the survival of both the company and its undertaking. In the case of the latter proof, Weatherford Parent, as the ultimate parent company of the Weatherford group, will be required to satisfy the High Court of Ireland that it has an undertaking in its own right and that there is a reasonable prospect of survival of its undertaking as a going concern. Weatherford Parent believes that it will be possible to satisfy each of these proofs but there can be no assurance that the High Court of Ireland will reach the same conclusion.</w:t>
      </w:r>
    </w:p>
    <w:p>
      <w:pPr>
        <w:spacing w:after="0" w:line="174" w:lineRule="exact"/>
        <w:rPr>
          <w:sz w:val="20"/>
          <w:szCs w:val="20"/>
          <w:color w:val="auto"/>
        </w:rPr>
      </w:pPr>
    </w:p>
    <w:p>
      <w:pPr>
        <w:ind w:left="1300" w:right="200" w:hanging="644"/>
        <w:spacing w:after="0" w:line="282" w:lineRule="auto"/>
        <w:tabs>
          <w:tab w:leader="none" w:pos="130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Put the Proposals Before the Members and Creditors of Weatherford Parent and Seek their Approval by the High Court of Ireland.</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examiner, when appointed, will be an independent officer of the High Court of Ireland and will be free to adopt or decline to adopt the terms of the proposals for a scheme of arrangement accompanying the petition to have an examiner appointed to Weatherford Parent. Weatherford Parent believes that the examiner will adopt and put the proposals before meetings of Weatherford Parent’s shareholders and creditors and subsequently seek their approval by the High Court of Ireland, because the proposals will, insofar as Weatherford Parent is concerned, mirror the Plan and the Plan represents the best solution achievable for the Debtors, their creditors and shareholders. There can be no assurance however that the examiner will reach the same conclusion.</w:t>
      </w:r>
    </w:p>
    <w:p>
      <w:pPr>
        <w:spacing w:after="0" w:line="154" w:lineRule="exact"/>
        <w:rPr>
          <w:sz w:val="20"/>
          <w:szCs w:val="20"/>
          <w:color w:val="auto"/>
        </w:rPr>
      </w:pPr>
    </w:p>
    <w:p>
      <w:pPr>
        <w:ind w:left="1300" w:hanging="644"/>
        <w:spacing w:after="0"/>
        <w:tabs>
          <w:tab w:leader="none" w:pos="130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Fail to Satisfy the Vote Requirement.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541 of the Companies Act 2014 (Ireland) provides that at least one class of creditors whose claims would be impaired by the scheme of arrangement must have voted in favor of the scheme of arrangement. A class is deemed to vote in favor if a majority in number and value of claims of those present and voting at the class meeting convened by the examiner votes in favor. In the event that the only class which will be impaired, the Prepetition Notes Claims creditors (entitled to claim pursuant to guarantees provided by Weatherford Parent), do not vote in favor of the scheme of arrangement it cannot be approved by the High Court of Ireland and will therefore not become effective. In such circumstances, such alternative structure as is approved by the Required Consenting Noteholders may be put in place.</w:t>
      </w:r>
    </w:p>
    <w:p>
      <w:pPr>
        <w:spacing w:after="0" w:line="189" w:lineRule="exact"/>
        <w:rPr>
          <w:sz w:val="20"/>
          <w:szCs w:val="20"/>
          <w:color w:val="auto"/>
        </w:rPr>
      </w:pPr>
    </w:p>
    <w:p>
      <w:pPr>
        <w:ind w:left="1300" w:hanging="644"/>
        <w:spacing w:after="0"/>
        <w:tabs>
          <w:tab w:leader="none" w:pos="130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Parties in Interest May Object to the Examiner’s Classification of Claims.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examiner will be required, pursuant to section 539 of the Companies Act 2014 (Ireland), to place creditors in classes of creditors and provide equal treatment for each claim within a particular class unless the holder of a particular claim agrees to less favorable treatment. It is likely that in considering any objection to the basis upon which classes have been formulated the High Court of Ireland would take the view that each class must be confined to those parties whose rights are not so dissimilar as to make it impossible for them to consult together with a 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color w:val="auto"/>
        </w:rPr>
        <w:t>to their common interest. There can be no assurance that the High Court of Ireland will decide that the examiner’s formulation of classes was correct.</w:t>
      </w:r>
    </w:p>
    <w:p>
      <w:pPr>
        <w:spacing w:after="0" w:line="233" w:lineRule="exact"/>
        <w:rPr>
          <w:sz w:val="20"/>
          <w:szCs w:val="20"/>
          <w:color w:val="auto"/>
        </w:rPr>
      </w:pPr>
    </w:p>
    <w:p>
      <w:pPr>
        <w:ind w:left="1300" w:hanging="644"/>
        <w:spacing w:after="0"/>
        <w:tabs>
          <w:tab w:leader="none" w:pos="13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The Examiner May Not Be Able to Secure Confirmation of the Proposals for a Scheme of Arrangement.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541 of the Companies Act 2014 (Ireland) provides that the High Court of Ireland is precluded from confirming proposals for a scheme of arrangement unless it is satisfied that the proposals are fair and equitable in relation to any class of members or creditors that has not accepted the proposals and whose interests or claims would be impaired by implementation of the proposals and not unfairly prejudicial to the interests of any interested party. Whether proposals are fair and equitable or not unfairly prejudicial to any party will usually be assessed by reference to how such party would be treated in a liquidation, pursuant to Part 11 of the Companies Act 2014 (Ireland), of Weatherford Parent. A shareholder or creditor should not be unfairly prejudiced and a class of shareholders or creditors should not be considered to have been treated unfairly or inequitably if that party’s treatment approximates to, or is better than, the manner in which such party would be treated in a liquidation of Weatherford Parent. Any creditor or shareholder whose interests would be impaired by the proposals if implemented and who did not vote in favor of the proposals may object to the proposals in the High Court of Ireland at the hearing convened to confirm the proposals. Weatherford Parent believes that the terms of the Plan insofar as they relate to Weatherford Parent would not, if mirrored in a scheme of arrangement pursuant to Part 10 of the Companies Act 2014 (Ireland), be unfair or inequitable to any class of shareholders or creditors of Weatherford Parent and would not be unfairly prejudicial to the interests of any interested party. There is no assurance however that the High Court of Ireland will reach the same conclusion.</w:t>
      </w:r>
    </w:p>
    <w:p>
      <w:pPr>
        <w:spacing w:after="0" w:line="176" w:lineRule="exact"/>
        <w:rPr>
          <w:sz w:val="20"/>
          <w:szCs w:val="20"/>
          <w:color w:val="auto"/>
        </w:rPr>
      </w:pPr>
    </w:p>
    <w:p>
      <w:pPr>
        <w:ind w:left="640" w:hanging="632"/>
        <w:spacing w:after="0"/>
        <w:tabs>
          <w:tab w:leader="none" w:pos="6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 FACTORS RELATING TO THE BERMUDA PROCEEDING</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Risk that the Bermuda Court Will Not Sanction the Bermuda Scheme or Grant Recognition of the Confirmation Order.</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Prior to the Effective Date, the Bermuda Debtor intends to put forward the Bermuda Scheme in Bermuda or alternatively seek recognition of the Confirmation Order in Bermuda. In the event that the Bermuda Scheme is put forward, the Bermuda Court is expected to direct that a meeting of creditors affected by the Bermuda Scheme be convened at which point such creditors are expected to approve the Bermuda Scheme. There is a risk that the creditors will not approve the Bermuda Scheme in accordance with the requisite majority under Bermuda law (a majority of those present and voting and seventy-five percent in value of those present and voting. There is a risk that the Bermuda Court will not sanction the scheme, which may affect the Bermuda Debtor’s ability to ensure that certain creditors are bound by the terms of the Confirmation order. There is a risk that, in the event that the Bermuda Debtor applies for recognition of the Confirmation Order, the Bermuda Court will not grant such recognition, which may affect the Bermuda Debtor’s ability to effectuate certain relief granted pursuant to the Confirmation Order in Bermuda.</w:t>
      </w:r>
    </w:p>
    <w:p>
      <w:pPr>
        <w:spacing w:after="0" w:line="175" w:lineRule="exact"/>
        <w:rPr>
          <w:sz w:val="20"/>
          <w:szCs w:val="20"/>
          <w:color w:val="auto"/>
        </w:rPr>
      </w:pPr>
    </w:p>
    <w:p>
      <w:pPr>
        <w:ind w:left="1300" w:right="200" w:hanging="644"/>
        <w:spacing w:after="0" w:line="282" w:lineRule="auto"/>
        <w:tabs>
          <w:tab w:leader="none" w:pos="13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The Bermuda Debtor’s Bye-Laws Restrict Shareholders From Bringing Legal Action Against the Bermuda Debtor’s Officers and Directors.</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Bermuda Debtor’s bye-laws contain a broad waiver by its shareholders of any claim or right of action, both individually and on the Bermuda Debtor’s behalf, against any of its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4" w:name="page235"/>
    <w:bookmarkEnd w:id="234"/>
    <w:p>
      <w:pPr>
        <w:ind w:right="160"/>
        <w:spacing w:after="0" w:line="312" w:lineRule="auto"/>
        <w:rPr>
          <w:sz w:val="20"/>
          <w:szCs w:val="20"/>
          <w:color w:val="auto"/>
        </w:rPr>
      </w:pPr>
      <w:r>
        <w:rPr>
          <w:rFonts w:ascii="Arial" w:cs="Arial" w:eastAsia="Arial" w:hAnsi="Arial"/>
          <w:sz w:val="16"/>
          <w:szCs w:val="16"/>
          <w:color w:val="auto"/>
        </w:rPr>
        <w:t>or directors. The waiver applies to any action taken by an officer or director, or the failure of an officer or director to take any action, in the performance of his or her duties, except with respect to any matter involving any fraud or dishonesty on the part of the officer or director. This waiver limits the right of shareholders to assert claims against the Bermuda Debtor’s officers and directors unless the act or failure to act involves fraud or dishonesty.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SOLICITATION AND VOTING PROCEDURES</w:t>
      </w:r>
    </w:p>
    <w:p>
      <w:pPr>
        <w:spacing w:after="0" w:line="207"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SOLICITATION PROCEDURES</w:t>
      </w:r>
    </w:p>
    <w:p>
      <w:pPr>
        <w:spacing w:after="0" w:line="225"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Each Eligible Holder</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of a Prepetition Notes Claim as of June 24, 2019 (the “</w:t>
      </w:r>
      <w:r>
        <w:rPr>
          <w:rFonts w:ascii="Arial" w:cs="Arial" w:eastAsia="Arial" w:hAnsi="Arial"/>
          <w:sz w:val="17"/>
          <w:szCs w:val="17"/>
          <w:b w:val="1"/>
          <w:bCs w:val="1"/>
          <w:u w:val="single" w:color="auto"/>
          <w:color w:val="auto"/>
        </w:rPr>
        <w:t>Prepetition Notes Voting Record Date</w:t>
      </w:r>
      <w:r>
        <w:rPr>
          <w:rFonts w:ascii="Arial" w:cs="Arial" w:eastAsia="Arial" w:hAnsi="Arial"/>
          <w:sz w:val="17"/>
          <w:szCs w:val="17"/>
          <w:color w:val="auto"/>
        </w:rPr>
        <w:t>”) is entitled to vote to accept or reject the Plan and shall receive the Solicitation Package (as defined below) in accordance with the solicitation procedures described herein.</w:t>
      </w:r>
    </w:p>
    <w:p>
      <w:pPr>
        <w:spacing w:after="0" w:line="196"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Each Holder of Existing Common Stock as of July 2, 2019 (the “</w:t>
      </w:r>
      <w:r>
        <w:rPr>
          <w:rFonts w:ascii="Arial" w:cs="Arial" w:eastAsia="Arial" w:hAnsi="Arial"/>
          <w:sz w:val="18"/>
          <w:szCs w:val="18"/>
          <w:b w:val="1"/>
          <w:bCs w:val="1"/>
          <w:u w:val="single" w:color="auto"/>
          <w:color w:val="auto"/>
        </w:rPr>
        <w:t>Common Stock Voting Record Date</w:t>
      </w:r>
      <w:r>
        <w:rPr>
          <w:rFonts w:ascii="Arial" w:cs="Arial" w:eastAsia="Arial" w:hAnsi="Arial"/>
          <w:sz w:val="18"/>
          <w:szCs w:val="18"/>
          <w:color w:val="auto"/>
        </w:rPr>
        <w:t>” and together with the Prepetition Notes Voting Record Date, the “</w:t>
      </w:r>
      <w:r>
        <w:rPr>
          <w:rFonts w:ascii="Arial" w:cs="Arial" w:eastAsia="Arial" w:hAnsi="Arial"/>
          <w:sz w:val="18"/>
          <w:szCs w:val="18"/>
          <w:b w:val="1"/>
          <w:bCs w:val="1"/>
          <w:u w:val="single" w:color="auto"/>
          <w:color w:val="auto"/>
        </w:rPr>
        <w:t>Record Date</w:t>
      </w:r>
      <w:r>
        <w:rPr>
          <w:rFonts w:ascii="Arial" w:cs="Arial" w:eastAsia="Arial" w:hAnsi="Arial"/>
          <w:sz w:val="18"/>
          <w:szCs w:val="18"/>
          <w:color w:val="auto"/>
        </w:rPr>
        <w:t>”) is entitled to vote to accept or reject the Plan and shall receive the Solicitation Package (as defined below) in accordance with the solicitation procedures described herein.</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discussion of the procedures below is a summary of the solicitation and voting process</w:t>
      </w:r>
      <w:r>
        <w:rPr>
          <w:rFonts w:ascii="Arial" w:cs="Arial" w:eastAsia="Arial" w:hAnsi="Arial"/>
          <w:sz w:val="18"/>
          <w:szCs w:val="18"/>
          <w:color w:val="auto"/>
        </w:rPr>
        <w:t>. Detailed voting instructions will be provided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ballot.</w:t>
      </w:r>
    </w:p>
    <w:p>
      <w:pPr>
        <w:spacing w:after="0" w:line="162" w:lineRule="exact"/>
        <w:rPr>
          <w:sz w:val="20"/>
          <w:szCs w:val="20"/>
          <w:color w:val="auto"/>
        </w:rPr>
      </w:pPr>
    </w:p>
    <w:p>
      <w:pPr>
        <w:jc w:val="center"/>
        <w:ind w:left="280" w:right="2220"/>
        <w:spacing w:after="0" w:line="261" w:lineRule="auto"/>
        <w:rPr>
          <w:sz w:val="20"/>
          <w:szCs w:val="20"/>
          <w:color w:val="auto"/>
        </w:rPr>
      </w:pPr>
      <w:r>
        <w:rPr>
          <w:rFonts w:ascii="Arial" w:cs="Arial" w:eastAsia="Arial" w:hAnsi="Arial"/>
          <w:sz w:val="18"/>
          <w:szCs w:val="18"/>
          <w:b w:val="1"/>
          <w:bCs w:val="1"/>
          <w:color w:val="auto"/>
        </w:rPr>
        <w:t>PLEASE REFER TO THE INSTRUCTIONS ACCOMPANYING THE BALLOTS FOR MORE INFORMATION REGARDING VOTING REQUIREMENTS TO ENSURE THAT YOUR BALLOT IS PROPERLY AND TIMELY SUBMITTED SUCH THAT YOUR VOTE MAY BE COUNTED.</w:t>
      </w:r>
    </w:p>
    <w:p>
      <w:pPr>
        <w:spacing w:after="0" w:line="180"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Debtors have sought authority to retain Prime Clerk LLC (“</w:t>
      </w:r>
      <w:r>
        <w:rPr>
          <w:rFonts w:ascii="Arial" w:cs="Arial" w:eastAsia="Arial" w:hAnsi="Arial"/>
          <w:sz w:val="18"/>
          <w:szCs w:val="18"/>
          <w:b w:val="1"/>
          <w:bCs w:val="1"/>
          <w:u w:val="single" w:color="auto"/>
          <w:color w:val="auto"/>
        </w:rPr>
        <w:t>Prime Clerk</w:t>
      </w:r>
      <w:r>
        <w:rPr>
          <w:rFonts w:ascii="Arial" w:cs="Arial" w:eastAsia="Arial" w:hAnsi="Arial"/>
          <w:sz w:val="18"/>
          <w:szCs w:val="18"/>
          <w:color w:val="auto"/>
        </w:rPr>
        <w:t>”) to, among other things, act as Voting and Claims Agent.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Specifically, the Voting and Claims Agent will assist the Debtors with: (a) mailing notices of the Confirmation Hearing for the Plan; (b) mailing Solicitation Packages (as defined and described below); (c) soliciting votes on the Plan; (d) receiving, tabulating, and reporting on ballots cast for or against the Plan by Holders of Claims against and Equity Interests in the Debtors; (e) responding to inquiries from creditors and stakeholders relating to the Plan, the Disclosure Statement, the Ballots and matters related thereto, including, without limitation, the procedures and requirements for voting to accept or reject the Plan and objecting to the Plan; and (f) if necessary, contacting creditors regarding the Plan and their Ballots.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firstLine="8"/>
        <w:spacing w:after="0" w:line="217" w:lineRule="auto"/>
        <w:tabs>
          <w:tab w:leader="none" w:pos="177" w:val="left"/>
        </w:tabs>
        <w:numPr>
          <w:ilvl w:val="0"/>
          <w:numId w:val="281"/>
        </w:numPr>
        <w:rPr>
          <w:rFonts w:ascii="Arial" w:cs="Arial" w:eastAsia="Arial" w:hAnsi="Arial"/>
          <w:sz w:val="18"/>
          <w:szCs w:val="18"/>
          <w:color w:val="auto"/>
          <w:vertAlign w:val="superscript"/>
        </w:rPr>
      </w:pPr>
      <w:r>
        <w:rPr>
          <w:rFonts w:ascii="Arial" w:cs="Arial" w:eastAsia="Arial" w:hAnsi="Arial"/>
          <w:sz w:val="14"/>
          <w:szCs w:val="14"/>
          <w:color w:val="auto"/>
        </w:rPr>
        <w:t>“</w:t>
      </w:r>
      <w:r>
        <w:rPr>
          <w:rFonts w:ascii="Arial" w:cs="Arial" w:eastAsia="Arial" w:hAnsi="Arial"/>
          <w:sz w:val="14"/>
          <w:szCs w:val="14"/>
          <w:u w:val="single" w:color="auto"/>
          <w:color w:val="auto"/>
        </w:rPr>
        <w:t>Eligible Holder</w:t>
      </w:r>
      <w:r>
        <w:rPr>
          <w:rFonts w:ascii="Arial" w:cs="Arial" w:eastAsia="Arial" w:hAnsi="Arial"/>
          <w:sz w:val="14"/>
          <w:szCs w:val="14"/>
          <w:color w:val="auto"/>
        </w:rPr>
        <w:t>” means a holder of Prepetition Notes who certifies that they are (i) located inside the United States and are (a) “qualified institutional buyers” (as defined in Rule 144A under the Securities Act) or (b) “accredited investors” (as defined in Rule 501(a) of Regulation D under the Securities Act) or (ii) located outside the United States and are persons other than “U.S. persons” (as defined in Rule 902 under the Securities 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5" w:name="page236"/>
    <w:bookmarkEnd w:id="235"/>
    <w:p>
      <w:pPr>
        <w:ind w:left="1300" w:hanging="644"/>
        <w:spacing w:after="0"/>
        <w:tabs>
          <w:tab w:leader="none" w:pos="130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the Solicitation Package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and materials will collectively constitute the Solicitation Package:</w:t>
      </w:r>
    </w:p>
    <w:p>
      <w:pPr>
        <w:spacing w:after="0" w:line="225" w:lineRule="exact"/>
        <w:rPr>
          <w:sz w:val="20"/>
          <w:szCs w:val="20"/>
          <w:color w:val="auto"/>
        </w:rPr>
      </w:pPr>
    </w:p>
    <w:p>
      <w:pPr>
        <w:ind w:left="980" w:right="360" w:hanging="324"/>
        <w:spacing w:after="0" w:line="277" w:lineRule="auto"/>
        <w:tabs>
          <w:tab w:leader="none" w:pos="94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 cover letter from the Debtors explaining the solicitation process and urging Holders of Claims and Equity Interests in the Voting Classes to vote to accept the Plan;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this Disclosure Statement (and exhibits annexed thereto, including the Plan); and</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to the extent applicable, a ballot and/or notice, appropriate for the specific creditor (as may be modified for particular classes and with instruction attached thereto).</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Before voting to accept or reject the Plan, each eligible holder of a Prepetition Notes Claim and each holder of Existing Common Stock as of the</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applicable Record Date (each an “</w:t>
      </w:r>
      <w:r>
        <w:rPr>
          <w:rFonts w:ascii="Arial" w:cs="Arial" w:eastAsia="Arial" w:hAnsi="Arial"/>
          <w:sz w:val="18"/>
          <w:szCs w:val="18"/>
          <w:b w:val="1"/>
          <w:bCs w:val="1"/>
          <w:u w:val="single" w:color="auto"/>
          <w:color w:val="auto"/>
        </w:rPr>
        <w:t>Eligible Holder</w:t>
      </w:r>
      <w:r>
        <w:rPr>
          <w:rFonts w:ascii="Arial" w:cs="Arial" w:eastAsia="Arial" w:hAnsi="Arial"/>
          <w:sz w:val="18"/>
          <w:szCs w:val="18"/>
          <w:color w:val="auto"/>
        </w:rPr>
        <w:t xml:space="preserve">”) should carefully review the Plan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All descriptions of the Plan set forth in this Disclosure Statement are subject to the terms and conditions of the Plan.</w:t>
      </w:r>
    </w:p>
    <w:p>
      <w:pPr>
        <w:spacing w:after="0" w:line="180"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Voting Deadline</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All Eligible Holders have been sent a Ballot together with this Disclosure Statement. Such holders should read the Ballot carefully and follow the instructions contained therein. Please use only the Ballot that accompanies this Disclosure Statement to cast your vote. Special procedures are set forth below for holders of securities through a broker, dealer, commercial bank, trust company, or other agent or nominee (“</w:t>
      </w:r>
      <w:r>
        <w:rPr>
          <w:rFonts w:ascii="Arial" w:cs="Arial" w:eastAsia="Arial" w:hAnsi="Arial"/>
          <w:sz w:val="17"/>
          <w:szCs w:val="17"/>
          <w:b w:val="1"/>
          <w:bCs w:val="1"/>
          <w:u w:val="single" w:color="auto"/>
          <w:color w:val="auto"/>
        </w:rPr>
        <w:t>Nominee</w:t>
      </w:r>
      <w:r>
        <w:rPr>
          <w:rFonts w:ascii="Arial" w:cs="Arial" w:eastAsia="Arial" w:hAnsi="Arial"/>
          <w:sz w:val="17"/>
          <w:szCs w:val="17"/>
          <w:color w:val="auto"/>
        </w:rPr>
        <w: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YOU ARE AN ELIGIBLE HOLDER OF ALLOWED PREPETITION NOTES CLAIMS, FOR YOUR VOTE TO BE COUNTED, YOUR VOTE MUST BE RECEIVED BY THE VOTING AND CLAIMS AGENT AT THE ADDRESS SET FORTH BELOW ON OR BEFORE THE PREPETITION NOTES VOTING DEADLINE OF 5:00 P.M., PREVAILING CENTRAL TIME, ON AUGUST 1, 2019, UNLESS EXTENDED BY THE DEBTORS.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SET FORTH IN THE BALLOTS, A SEPARATE VOTING DEADLINE WILL BE ESTABLISHED FOR HOLDERS OF EXISTING COMMON STOCK. SUCH HOLDERS OF EXISTING COMMON STOCK WILL RECEIVE FURTHER INFORMATION AND INSTRUCTIONS FOR VOTING AT THAT TIME.</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 ELIGIBLE HOLDER HOLDING THE PREPETITION NOTES IN “STREET NAME” THROUGH A NOMINEE MAY VOTE AS FURTHER DESCRIBED BELOW.</w:t>
      </w:r>
    </w:p>
    <w:p>
      <w:pPr>
        <w:spacing w:after="0" w:line="170"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IF YOU MUST RETURN YOUR BALLOT TO YOUR NOMINEE, YOU MUST RETURN YOUR BALLOT TO THEM IN SUFFICIENT TIME FOR THEM TO PROCESS IT AND RETURN THE MASTER BALLOT TO THE VOTING AND CLAIMS AGENT BEFORE THE VOTING DEADLINE.</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A BALLOT IS DAMAGED OR LOST, YOU MAY CONTACT THE VOTING AND CLAIMS AGENT AT THE NUMBER SET FORTH BELOW TO RECEIVE A REPLACEMENT BALLOT. ANY BALLOT THAT IS EXECUTED AND RETURNED BUT WHICH DOES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INDICATE A VOTE FOR ACCEPTANCE OR REJECTION OF THE PLAN WILL NOT BE COUNTED.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VOTING PROCEDURES, YOU MAY CONTACT THE VOTING AND CLAIMS AGENT AT: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 Balloting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Prime Clerk LLC</w:t>
      </w:r>
    </w:p>
    <w:p>
      <w:pPr>
        <w:ind w:left="1960"/>
        <w:spacing w:after="0" w:line="205" w:lineRule="auto"/>
        <w:rPr>
          <w:sz w:val="20"/>
          <w:szCs w:val="20"/>
          <w:color w:val="auto"/>
        </w:rPr>
      </w:pPr>
      <w:r>
        <w:rPr>
          <w:rFonts w:ascii="Arial" w:cs="Arial" w:eastAsia="Arial" w:hAnsi="Arial"/>
          <w:sz w:val="18"/>
          <w:szCs w:val="18"/>
          <w:color w:val="auto"/>
        </w:rPr>
        <w:t>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10165</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Weatherford International plc Ballot Processing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 844-233-5155 (domestic) or 917-942-6392 (international)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Questions (but not documents) may be directed to weatherfordballots@PrimeClerk.com (please reference “Weatherford” in the subject line).</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Additional copies of this Disclosure Statement are available upon request made to the Voting and Claims Agent, at the telephone numbers or e-mail address set forth immediately above.</w:t>
      </w:r>
    </w:p>
    <w:p>
      <w:pPr>
        <w:spacing w:after="0" w:line="166" w:lineRule="exact"/>
        <w:rPr>
          <w:sz w:val="20"/>
          <w:szCs w:val="20"/>
          <w:color w:val="auto"/>
        </w:rPr>
      </w:pPr>
    </w:p>
    <w:p>
      <w:pPr>
        <w:ind w:left="1300" w:hanging="644"/>
        <w:spacing w:after="0"/>
        <w:tabs>
          <w:tab w:leader="none" w:pos="13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Voting Instructions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Under the Plan, Eligible Holders of Claims and Holders Equity Interests in the Voting Classes are entitled to vote to accept or reject the Plan. Those Holders may so vote by completing a Ballot or a Beneficial Holder Ballot as applicable, and returning it to the Voting and Claims Agent prior to the Voting Deadline. Each Ballot will also allow Holders of Claims and Equity Interests in the Voting Classes to opt-out of the Third Party Release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Any Holder of Claims or Equity Interests in the Voting Classes that opts out of the Third Party Release will not receive a Debtor Release or a Third Party Release from the Releasing Parties.</w:t>
      </w:r>
    </w:p>
    <w:p>
      <w:pPr>
        <w:spacing w:after="0" w:line="184" w:lineRule="exact"/>
        <w:rPr>
          <w:sz w:val="20"/>
          <w:szCs w:val="20"/>
          <w:color w:val="auto"/>
        </w:rPr>
      </w:pPr>
    </w:p>
    <w:p>
      <w:pPr>
        <w:jc w:val="center"/>
        <w:ind w:left="300" w:right="220"/>
        <w:spacing w:after="0" w:line="266" w:lineRule="auto"/>
        <w:rPr>
          <w:sz w:val="20"/>
          <w:szCs w:val="20"/>
          <w:color w:val="auto"/>
        </w:rPr>
      </w:pPr>
      <w:r>
        <w:rPr>
          <w:rFonts w:ascii="Arial" w:cs="Arial" w:eastAsia="Arial" w:hAnsi="Arial"/>
          <w:sz w:val="18"/>
          <w:szCs w:val="18"/>
          <w:b w:val="1"/>
          <w:bCs w:val="1"/>
          <w:color w:val="auto"/>
        </w:rPr>
        <w:t>PLEASE REFER TO THE INSTRUCTIONS ATTACHED TO THE BALLOTS OR BENEFICIAL HOLDER BALLOTS THAT YOU HAVE RECEIVED FOR MORE DETAILED INFORMATION REGARDING THE VOTING REQUIREMENTS, RULES AND PROCEDURES APPLICABLE TO VOTING YOUR CLAIM.</w:t>
      </w:r>
    </w:p>
    <w:p>
      <w:pPr>
        <w:spacing w:after="0" w:line="18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To be counted as votes to accept or reject the Plan,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Ballots, pre-validated Beneficial Holder Ballots and Master Ballots, as applicable, (all of which will clearly indicate the appropriate return address) must be properly executed, completed, dated and delivered according to the instructions contained thereon, so that they are </w:t>
      </w:r>
      <w:r>
        <w:rPr>
          <w:rFonts w:ascii="Arial" w:cs="Arial" w:eastAsia="Arial" w:hAnsi="Arial"/>
          <w:sz w:val="17"/>
          <w:szCs w:val="17"/>
          <w:b w:val="1"/>
          <w:bCs w:val="1"/>
          <w:u w:val="single" w:color="auto"/>
          <w:color w:val="auto"/>
        </w:rPr>
        <w:t>actually received</w:t>
      </w:r>
      <w:r>
        <w:rPr>
          <w:rFonts w:ascii="Arial" w:cs="Arial" w:eastAsia="Arial" w:hAnsi="Arial"/>
          <w:sz w:val="17"/>
          <w:szCs w:val="17"/>
          <w:color w:val="auto"/>
        </w:rPr>
        <w:t xml:space="preserve"> on or before the Voting Deadline by the Voting and Claims Agent at the following address: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Balloting Center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 Prime Clerk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Grand Central Place</w:t>
      </w:r>
    </w:p>
    <w:p>
      <w:pPr>
        <w:jc w:val="center"/>
        <w:ind w:right="-59"/>
        <w:spacing w:after="0" w:line="205" w:lineRule="auto"/>
        <w:rPr>
          <w:sz w:val="20"/>
          <w:szCs w:val="20"/>
          <w:color w:val="auto"/>
        </w:rPr>
      </w:pPr>
      <w:r>
        <w:rPr>
          <w:rFonts w:ascii="Arial" w:cs="Arial" w:eastAsia="Arial" w:hAnsi="Arial"/>
          <w:sz w:val="18"/>
          <w:szCs w:val="18"/>
          <w:color w:val="auto"/>
        </w:rPr>
        <w:t>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Suite 1440</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10165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7" w:name="page238"/>
    <w:bookmarkEnd w:id="237"/>
    <w:p>
      <w:pPr>
        <w:ind w:left="1960"/>
        <w:spacing w:after="0" w:line="277" w:lineRule="auto"/>
        <w:rPr>
          <w:sz w:val="20"/>
          <w:szCs w:val="20"/>
          <w:color w:val="auto"/>
        </w:rPr>
      </w:pPr>
      <w:r>
        <w:rPr>
          <w:rFonts w:ascii="Arial" w:cs="Arial" w:eastAsia="Arial" w:hAnsi="Arial"/>
          <w:sz w:val="18"/>
          <w:szCs w:val="18"/>
          <w:color w:val="auto"/>
        </w:rPr>
        <w:t>If you have any questions on the procedures for voting on the Plan, please call the Voting and Claims Agent at: 844-233-5155 (Toll Free) 917-942-6392 (International)</w:t>
      </w:r>
    </w:p>
    <w:p>
      <w:pPr>
        <w:spacing w:after="0" w:line="166" w:lineRule="exact"/>
        <w:rPr>
          <w:sz w:val="20"/>
          <w:szCs w:val="20"/>
          <w:color w:val="auto"/>
        </w:rPr>
      </w:pPr>
    </w:p>
    <w:p>
      <w:pPr>
        <w:ind w:left="1300" w:hanging="644"/>
        <w:spacing w:after="0"/>
        <w:tabs>
          <w:tab w:leader="none" w:pos="130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Debtors are providing the Solicitation Packages to eligible holders of the Prepetition Notes Claims, which are defined as Holders who certified that they are (i) located inside the United States and are (a) “qualified institutional buyers” (as defined in Rule 144A under the Securities Act) or</w:t>
      </w:r>
    </w:p>
    <w:p>
      <w:pPr>
        <w:ind w:right="140" w:firstLine="8"/>
        <w:spacing w:after="0" w:line="292" w:lineRule="auto"/>
        <w:tabs>
          <w:tab w:leader="none" w:pos="25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“accredited investors” (as defined in Rule 501(a) of Regulation D under the Securities Act) or (ii) located outside the United States and are persons other than “U.S. persons” (as defined in Rule 902 under the Securities Act), and record holders of the Existing Common Stock. Record holders may include Nominees. If such entities do not hold Prepetition Notes Claims or Existing Common Stock for their own account, they must provide copies of the Solicitation Package to their customers that are the Eligible Holders thereof as of the Record Date. Any Eligible Holder of Prepetition Notes Claims or Existing Common Stock who has not received a Ballot should contact his, her, or its Nominee, or the Voting and Claims Agent.</w:t>
      </w:r>
    </w:p>
    <w:p>
      <w:pPr>
        <w:spacing w:after="0" w:line="16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Holders of Prepetition Notes Claims and Existing Common Stock should provide all of the information requested by the Ballot. Holders of Prepetition Notes Claims and Existing Common Stock should complete and return all Ballots received in the enclosed, self-addressed, postage-paid envelope provided with each such Ballot either to the Voting and Claims Agent or their Nominee, as applicable.</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applicable indenture trustee under the Prepetition Notes Claims will not vote on behalf of its respective holders. Holders of the Prepetition Notes Claims must submit their own Ballot.</w:t>
      </w:r>
    </w:p>
    <w:p>
      <w:pPr>
        <w:spacing w:after="0" w:line="166" w:lineRule="exact"/>
        <w:rPr>
          <w:sz w:val="20"/>
          <w:szCs w:val="20"/>
          <w:color w:val="auto"/>
        </w:rPr>
      </w:pPr>
    </w:p>
    <w:p>
      <w:pPr>
        <w:ind w:left="1300" w:hanging="644"/>
        <w:spacing w:after="0"/>
        <w:tabs>
          <w:tab w:leader="none" w:pos="13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Parties Entitled to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Bankruptcy Code, only holders of claims or interests in “impaired” classes are entitled to vote on a plan. Under section 1124 of the Bankruptcy Code, a class of claims or interests is deemed to be “impaired” under a plan unless: (i) the plan leaves unaltered the legal, equitable, and contractual rights to which such claim or interest entitles the holder thereof; or (ii) notwithstanding any legal right to an accelerated payment of such claim or interest, the plan cures all existing defaults (other than defaults resulting from the occurrence of events of bankruptcy) and reinstates the maturity of such claim or interest as it existed before the default.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however, the holder of an impaired claim or interest will not receive or retain any distribution under the plan on account of such claim or interest, the Bankruptcy Code deems such holder to have rejected the plan, and, accordingly, holders of such claims and interests do not actually vote on the plan. If a claim or interest is not impaired by the plan, the Bankruptcy Code deems the holder of such claim or interest to have accepted the plan and, accordingly, holders of such claims and interests are not entitled to vote on the Plan.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vote may be disregarded if the Bankruptcy Court determines, pursuant to section 1126(e) of the Bankruptcy Code, that it was not solicited or procured in good faith or in accordance with the provisions of the Bankruptcy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38" w:name="page239"/>
    <w:bookmarkEnd w:id="238"/>
    <w:p>
      <w:pPr>
        <w:ind w:firstLine="648"/>
        <w:spacing w:after="0" w:line="277" w:lineRule="auto"/>
        <w:rPr>
          <w:sz w:val="20"/>
          <w:szCs w:val="20"/>
          <w:color w:val="auto"/>
        </w:rPr>
      </w:pPr>
      <w:r>
        <w:rPr>
          <w:rFonts w:ascii="Arial" w:cs="Arial" w:eastAsia="Arial" w:hAnsi="Arial"/>
          <w:sz w:val="18"/>
          <w:szCs w:val="18"/>
          <w:color w:val="auto"/>
        </w:rPr>
        <w:t>The Bankruptcy Code defines “acceptance” of a plan by a class of claims as acceptance by creditors in that class that hold at least two-thirds (2/3) in dollar amount and more than one-half (1/2) in number of the claims that cast ballots for acceptance or rejection of the plan.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a plan if the holders of at least two-thirds (2/3) in amount of the allowed equity interests in such class actually have voted to accept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claims and equity interests in the following classes are impaired under the Plan and entitled to vote to accept or reject the Plan:</w:t>
      </w:r>
    </w:p>
    <w:p>
      <w:pPr>
        <w:spacing w:after="0" w:line="225" w:lineRule="exact"/>
        <w:rPr>
          <w:sz w:val="20"/>
          <w:szCs w:val="20"/>
          <w:color w:val="auto"/>
        </w:rPr>
      </w:pPr>
    </w:p>
    <w:p>
      <w:pPr>
        <w:ind w:left="940" w:hanging="284"/>
        <w:spacing w:after="0"/>
        <w:tabs>
          <w:tab w:leader="none" w:pos="9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Beneficial Holders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 Eligible Holder who holds Prepetition Notes Claims as a record holder in its own name should vote on the Plan by completing and signing a Ballot (a “</w:t>
      </w:r>
      <w:r>
        <w:rPr>
          <w:rFonts w:ascii="Arial" w:cs="Arial" w:eastAsia="Arial" w:hAnsi="Arial"/>
          <w:sz w:val="18"/>
          <w:szCs w:val="18"/>
          <w:b w:val="1"/>
          <w:bCs w:val="1"/>
          <w:u w:val="single" w:color="auto"/>
          <w:color w:val="auto"/>
        </w:rPr>
        <w:t>Beneficial Holder Ballot</w:t>
      </w:r>
      <w:r>
        <w:rPr>
          <w:rFonts w:ascii="Arial" w:cs="Arial" w:eastAsia="Arial" w:hAnsi="Arial"/>
          <w:sz w:val="18"/>
          <w:szCs w:val="18"/>
          <w:color w:val="auto"/>
        </w:rPr>
        <w:t>”) and returning it directly to the Voting and Claims Agent on or before the Voting Deadline using the enclosed self-addressed, postage paid envelope.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 Eligible Holder holding the Unsecured Notes Claims in “street name” through a Nominee may vote on the Plan by one of the following two methods (as selected by such Eligible Holder’s Nominee):</w:t>
      </w:r>
    </w:p>
    <w:p>
      <w:pPr>
        <w:spacing w:after="0" w:line="170" w:lineRule="exact"/>
        <w:rPr>
          <w:sz w:val="20"/>
          <w:szCs w:val="20"/>
          <w:color w:val="auto"/>
        </w:rPr>
      </w:pPr>
    </w:p>
    <w:p>
      <w:pPr>
        <w:ind w:left="980" w:right="60" w:hanging="324"/>
        <w:spacing w:after="0" w:line="259" w:lineRule="auto"/>
        <w:tabs>
          <w:tab w:leader="none" w:pos="9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Complete and sign the enclosed Beneficial Holder Ballot. Return the Beneficial Holder Ballot to your Nominee as promptly as possible and in sufficient time to allow such Nominee to process your instructions and return a completed Master Ballot to the Voting and Claims Agent by the Voting Deadline. If no self-addressed, postage-paid envelope was enclosed for this purpose, contact the Voting and Claims Agent for instructions; or</w:t>
      </w:r>
    </w:p>
    <w:p>
      <w:pPr>
        <w:spacing w:after="0" w:line="186" w:lineRule="exact"/>
        <w:rPr>
          <w:rFonts w:ascii="Arial" w:cs="Arial" w:eastAsia="Arial" w:hAnsi="Arial"/>
          <w:sz w:val="18"/>
          <w:szCs w:val="18"/>
          <w:color w:val="auto"/>
        </w:rPr>
      </w:pPr>
    </w:p>
    <w:p>
      <w:pPr>
        <w:ind w:left="980" w:right="20" w:hanging="324"/>
        <w:spacing w:after="0" w:line="342" w:lineRule="auto"/>
        <w:tabs>
          <w:tab w:leader="none" w:pos="9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Complete and sign the pre-validated Beneficial Holder Ballot (as described below) provided to you by your Nominee. Return the pre-validated Beneficial Holder Ballot to the Voting and Claims Agent by the Voting Deadline using the return envelope provided in the Solicitation Package.</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Beneficial Holder Ballot returned to a Nominee by an Eligible Holder will not be counted for purposes of acceptance or rejection of the Prepackaged Plan until such Nominee properly completes and delivers to the Voting and Claims Agent that Beneficial Holder Ballot (properly validated) or a Master Ballot casting the vote of such Eligible Holder.</w:t>
      </w:r>
    </w:p>
    <w:p>
      <w:pPr>
        <w:spacing w:after="0" w:line="181"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If any Eligible Holder owns the Prepetition Notes Claims through more than one Nominee, such Eligible Holder may receive multiple mailings containing the Beneficial Holder Ballots. The Eligible Holder should execute a separate Beneficial Holder Ballot for each block of the Prepetition Notes Claims that it holds through any particular Nominee and return each Beneficial Holder Ballot to the respective Nominee in the return envelope provided therewith. Eligible Holders who</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9" w:name="page240"/>
    <w:bookmarkEnd w:id="239"/>
    <w:p>
      <w:pPr>
        <w:ind w:right="80"/>
        <w:spacing w:after="0" w:line="342" w:lineRule="auto"/>
        <w:rPr>
          <w:sz w:val="20"/>
          <w:szCs w:val="20"/>
          <w:color w:val="auto"/>
        </w:rPr>
      </w:pPr>
      <w:r>
        <w:rPr>
          <w:rFonts w:ascii="Arial" w:cs="Arial" w:eastAsia="Arial" w:hAnsi="Arial"/>
          <w:sz w:val="16"/>
          <w:szCs w:val="16"/>
          <w:color w:val="auto"/>
        </w:rPr>
        <w:t>execute multiple Beneficial Holder Ballots with respect to the Prepetition Notes Claims in a single class held through more than one Nominee must indicate on each Beneficial Holder Ballot the names of all such other Nominees and the additional amounts of such Prepetition Notes Claims so held and voted.</w:t>
      </w:r>
    </w:p>
    <w:p>
      <w:pPr>
        <w:spacing w:after="0" w:line="124" w:lineRule="exact"/>
        <w:rPr>
          <w:sz w:val="20"/>
          <w:szCs w:val="20"/>
          <w:color w:val="auto"/>
        </w:rPr>
      </w:pPr>
    </w:p>
    <w:p>
      <w:pPr>
        <w:ind w:left="1960" w:hanging="655"/>
        <w:spacing w:after="0"/>
        <w:tabs>
          <w:tab w:leader="none" w:pos="196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Nominees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 Nominee that, on the Record Date, is the record holder of the Prepetition Notes Claims for one or more Eligible Holders can obtain the votes of the Eligible Holders of such Prepetition Notes Claims, consistent with customary practices for obtaining the votes of securities held in “street name,” in one of the following two ways:</w:t>
      </w:r>
    </w:p>
    <w:p>
      <w:pPr>
        <w:spacing w:after="0" w:line="181" w:lineRule="exact"/>
        <w:rPr>
          <w:sz w:val="20"/>
          <w:szCs w:val="20"/>
          <w:color w:val="auto"/>
        </w:rPr>
      </w:pPr>
    </w:p>
    <w:p>
      <w:pPr>
        <w:ind w:left="940" w:hanging="284"/>
        <w:spacing w:after="0"/>
        <w:tabs>
          <w:tab w:leader="none" w:pos="9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Pre-Validated Ballots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Nominee may “pre-validate” a Beneficial Holder Ballot by: (i) signing the Beneficial Holder Ballot and indicating on the Beneficial Holder Ballot the name of the Nominee and DTC Participant Number; (ii) the amount and the account number of the Prepetition Notes Claims held by the Nominee for the Eligible Holder; and (iii) forwarding such Beneficial Holder Ballot, together with this Disclosure Statement, a pre-addressed, postage-paid return envelope addressed to, and provided by, the Voting and Claims Agent, and other materials requested to be forwarded, to the Eligible Holder for voting.</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Eligible Holder must then complete the information requested in Item 2 and Item 3 of the Beneficial Holder Ballot, and return the Beneficial Holder Ballot directly to the Voting and Claims Agent in the pre-addressed, postage paid return envelope so that it is RECEIVED by the Voting and Claims Agent on or before the Voting Deadline. A list of the Eligible Holders to whom “pre-validated” Beneficial Holder Ballots were delivered should be maintained by Nominees for inspection for at least one year from the Voting Deadline.</w:t>
      </w:r>
    </w:p>
    <w:p>
      <w:pPr>
        <w:spacing w:after="0" w:line="187" w:lineRule="exact"/>
        <w:rPr>
          <w:sz w:val="20"/>
          <w:szCs w:val="20"/>
          <w:color w:val="auto"/>
        </w:rPr>
      </w:pPr>
    </w:p>
    <w:p>
      <w:pPr>
        <w:ind w:left="940" w:hanging="284"/>
        <w:spacing w:after="0"/>
        <w:tabs>
          <w:tab w:leader="none" w:pos="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Master Ballots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Nominee elects not to pre-validate Beneficial Holder Ballots, the Nominee may obtain the votes of Eligible Holders by forwarding to the Eligible Holders the unsigned Beneficial Holder Ballots, together with this Disclosure Statement, a pre-addressed, postage-paid return envelope provided by, and addressed to, the Nominee, and other materials requested to be forwarded. Each such Eligible Holder must then indicate his, her, or its vote on the Beneficial Holder Ballot, complete the information requested on the Beneficial Holder Ballot, review the certifications contained on the Beneficial Holder Ballot, execute the Beneficial Holder Ballot, and return the Beneficial Holder Ballot to the Nominee. After collecting the Beneficial Holder Ballots, the Nominee should, in turn, complete a Master Ballot compiling the votes and other information from the Beneficial Holder Ballots, execute the Master Ballot, and deliver the Master Ballot to the Voting and Claims Agent so that it is RECEIVED by the Voting and Claims Agent on or before the Voting Deadline. All Beneficial Holder Ballots returned by Eligible Holders should either be forwarded to the Voting and Claims Agent (along with the Master Ballot) or retained by Nominees for inspection for at least one year from the Voting Deadline.</w:t>
      </w:r>
    </w:p>
    <w:p>
      <w:pPr>
        <w:spacing w:after="0" w:line="182"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EACH NOMINEE SHOULD ADVISE ITS ELIGIBLE HOLDERS TO RETURN THEIR BENEFICIAL HOLDER BALLOTS TO THE NOMINEE BY A DATE CALCULATED BY THE NOMINEE TO ALLOW IT TO PREPARE AND RETURN THE MASTER BALLOT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40" w:name="page241"/>
    <w:bookmarkEnd w:id="240"/>
    <w:p>
      <w:pPr>
        <w:ind w:right="680"/>
        <w:spacing w:after="0" w:line="277" w:lineRule="auto"/>
        <w:rPr>
          <w:sz w:val="20"/>
          <w:szCs w:val="20"/>
          <w:color w:val="auto"/>
        </w:rPr>
      </w:pPr>
      <w:r>
        <w:rPr>
          <w:rFonts w:ascii="Arial" w:cs="Arial" w:eastAsia="Arial" w:hAnsi="Arial"/>
          <w:sz w:val="18"/>
          <w:szCs w:val="18"/>
          <w:color w:val="auto"/>
        </w:rPr>
        <w:t>THE VOTING AND CLAIMS AGENT SO THAT IT IS RECEIVED BY THE VOTING AND CLAIMS AGENT ON OR BEFORE THE VOTING DEADLINE.</w:t>
      </w:r>
    </w:p>
    <w:p>
      <w:pPr>
        <w:spacing w:after="0" w:line="166" w:lineRule="exact"/>
        <w:rPr>
          <w:sz w:val="20"/>
          <w:szCs w:val="20"/>
          <w:color w:val="auto"/>
        </w:rPr>
      </w:pPr>
    </w:p>
    <w:p>
      <w:pPr>
        <w:ind w:left="1300" w:hanging="644"/>
        <w:spacing w:after="0"/>
        <w:tabs>
          <w:tab w:leader="none" w:pos="130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Ballots must be signed by the holder of record of the Prepetition Notes Claims or the Existing Common Stock, as applicable, or any person who has obtained a properly completed Ballot proxy from the record holder of the Prepetition Notes Claims or the Existing Common Stock, as applicable, on such date. For purposes of voting to accept or reject the Plan, the Eligible Holders of the Prepetition Notes Claims and Existing Common Stock will be deemed to be the “holders” of the claims represented by such Prepetition Notes or Existing Common Stock. Unless otherwise ordered by the Bankruptcy Court, Ballots that are signed, dated, and timely received, but on which a vote to accept or reject the Plan has not been indicated, will not be counted. The Debtors, in their sole discretion, may request that the Voting and Claims Agent attempt to contact such voters to cure any such defects in the Ballots. Any ballot marked to both accept and reject the Plan will not be counted. If you return more than one Ballot voting different Prepetition Notes Claims or Existing Common Stock, the Ballots are not voted in the same manner, and you do not correct this before the Voting Deadline, those Ballots will not be counted. An otherwise properly executed Ballot (other than a Master Ballot) that attempts to partially accept and partially reject the Plan will likewise not be counted.</w:t>
      </w:r>
    </w:p>
    <w:p>
      <w:pPr>
        <w:spacing w:after="0" w:line="16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Ballots provided to Eligible Holders will reflect the principal amount of such Eligible Holder’s Claim; however, when tabulating votes, the Voting and Claims Agent may adjust the amount of such Eligible Holder’s Claim by multiplying the principal amount by a factor that reflects all amounts accrued between the Record Date and the Petition Date including, without limitation, interest.</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Nominees are authorized to collect votes to accept or to reject the Plan from Beneficial Holders in accordance with their customary practices, including the use of a “voting instruction form” in lieu of (or in addition to) a Beneficial Owner Ballot, as well as collecting votes from Beneficial Holders through online voting, by phone, facsimile, or other electronic means.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Under the Bankruptcy Code, for purposes of determining whether the requisite votes for acceptance have been received, only holders of the Prepetition Notes Claims or Existing Common Stock, as applicable, who actually vote will be counted. The failure of a holder to deliver a duly executed Ballot to the Voting and Claims Agent or its Nominee will be deemed to constitute an abstention by such holder with respect to voting on the Plan and such abstentions will not be counted as votes for or against the Plan.</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Except as provided below, unless the Ballot is timely submitted to the Voting and Claims Agent before the Voting Deadline together with any other documents required by such Ballot, the Debtors may, in their sole discretion, reject such Ballot as invalid, and therefore decline to utilize it in connection with seeking confirmation of the Plan.</w:t>
      </w:r>
    </w:p>
    <w:p>
      <w:pPr>
        <w:spacing w:after="0" w:line="177"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Fiduciaries and Other Representatives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 Beneficial Holder Ballot is signed by a trustee, executor, administrator, guardian, attorney-in-fact, officer of a corporation, or another, acting in a fiduciary or representative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1" w:name="page242"/>
    <w:bookmarkEnd w:id="241"/>
    <w:p>
      <w:pPr>
        <w:ind w:right="80"/>
        <w:spacing w:after="0" w:line="308" w:lineRule="auto"/>
        <w:rPr>
          <w:sz w:val="20"/>
          <w:szCs w:val="20"/>
          <w:color w:val="auto"/>
        </w:rPr>
      </w:pPr>
      <w:r>
        <w:rPr>
          <w:rFonts w:ascii="Arial" w:cs="Arial" w:eastAsia="Arial" w:hAnsi="Arial"/>
          <w:sz w:val="17"/>
          <w:szCs w:val="17"/>
          <w:color w:val="auto"/>
        </w:rPr>
        <w:t>capacity, such person should indicate such capacity when signing and, if requested, must submit proper evidence satisfactory to the Debtors of authority to so act. Authorized signatories should submit the separate Beneficial Holder Ballot of each Eligible Holder for whom they are voting.</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UNLESS THE BALLOT OR THE MASTER BALLOT IS SUBMITTED TO THE VOTING AND CLAIMS AGENT ON OR PRIOR TO THE APPLICABLE VOTING DEADLINE, SUCH BALLOT WILL BE REJECTED AS INVALID AND WILL NOT BE COUNTED AS AN ACCEPTANCE OR REJECTION OF THE PLAN; PROVIDED, HOWEVER, THAT THE DEBTORS RESERVE THE RIGHT, IN THEIR SOLE DISCRETION, TO REQUEST THE BANKRUPTCY COURT TO ALLOW SUCH BALLOT TO BE COUNTED.</w:t>
      </w:r>
    </w:p>
    <w:p>
      <w:pPr>
        <w:spacing w:after="0" w:line="183" w:lineRule="exact"/>
        <w:rPr>
          <w:sz w:val="20"/>
          <w:szCs w:val="20"/>
          <w:color w:val="auto"/>
        </w:rPr>
      </w:pPr>
    </w:p>
    <w:p>
      <w:pPr>
        <w:ind w:left="1300" w:hanging="644"/>
        <w:spacing w:after="0"/>
        <w:tabs>
          <w:tab w:leader="none" w:pos="130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 Upon Furnishing Ballots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delivery of an accepting Ballot pursuant to one of the procedures set forth above will constitute the agreement of the creditor with respect to such Ballot to accept: (i) all of the terms of, and conditions to, this Solicitation; and (ii) the terms of the Plan including the injunction, releases, and exculpations set forth in sections 10.5, 10.6, 10.7, 10.8, and 10.9 therein. All parties in interest retain their rights under the Bankruptcy Code and the Plan, including, but not limited to the right to object to confirmation of the Plan pursuant to section 1128 of the Bankruptcy Code, subject to any applicable terms of the Restructuring Support Agreement.</w:t>
      </w:r>
    </w:p>
    <w:p>
      <w:pPr>
        <w:spacing w:after="0" w:line="184"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Vote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Any party who has previously submitted to the Voting and Claims Agent prior to the applicable Voting Deadline a properly completed Ballot may revoke such Ballot and change its vote by submitting to the Voting and Claims Agent prior to the applicable Voting Deadline a subsequent, properly completed Ballot voting for acceptance or rejection of the Plan.</w:t>
      </w:r>
    </w:p>
    <w:p>
      <w:pPr>
        <w:spacing w:after="0" w:line="177"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Waivers of Defects, Irregularities, etc.</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Unless otherwise directed by the Bankruptcy Court, all questions as to the validity, form, eligibility (including time of receipt), acceptance, and revocation or withdrawals of Ballots will be determined by the Voting and Claims Agent and/or the Debtors, as applicable, in their sole discretion, which determination will be final and binding. The Debtors reserve the right, in consultation with the Required Consenting Noteholders, to reject any and all Ballots submitted by any of their respective creditors not in proper form, the acceptance of which would, in the opinion of the Debtors or their counsel, as applicable, be unlawful. The Debtors further reserve their respective rights, in consultation with the Required Consenting Noteholders, to waive any defects or irregularities or conditions of delivery as to any particular Ballot by any of their creditors. The interpretation (including the Ballot and the respective instructions thereto) by the applicable Debtor, unless otherwise directed by the Bankruptcy Court, will be final and binding on all parties. Unless waived, any defects or irregularities in connection with deliveries of Ballots must be cured within such time as the Debtors (or the Bankruptcy Court) determines. Neither the Debtors nor any other person will be under any duty to provide notification of defects or irregularities with respect to deliveries of Ballots nor will any of them incur any liabilities for failure to provide such notification. Unless otherwise directed by the Bankruptcy Court, delivery of such Ballots will not be deemed to have been made until such irregularities have been cured or waived. Ballots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previously furnished (and as to which any irregularities have not theretofore been cured or waived) will be invalidated.</w:t>
      </w:r>
    </w:p>
    <w:p>
      <w:pPr>
        <w:spacing w:after="0" w:line="221" w:lineRule="exact"/>
        <w:rPr>
          <w:sz w:val="20"/>
          <w:szCs w:val="20"/>
          <w:color w:val="auto"/>
        </w:rPr>
      </w:pPr>
    </w:p>
    <w:p>
      <w:pPr>
        <w:ind w:left="1300" w:hanging="644"/>
        <w:spacing w:after="0"/>
        <w:tabs>
          <w:tab w:leader="none" w:pos="13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Additional Copies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you have any questions or require further information about the voting procedures for voting your Prepetition Notes Claims and/or Existing Common Stock as applicable, or about the packet of material you received, or if you wish to obtain an additional copy of the Plan, this Disclosure Statement, or any exhibits to such documents, please contact the Voting and Claims Agent.</w:t>
      </w:r>
    </w:p>
    <w:p>
      <w:pPr>
        <w:spacing w:after="0" w:line="177" w:lineRule="exact"/>
        <w:rPr>
          <w:sz w:val="20"/>
          <w:szCs w:val="20"/>
          <w:color w:val="auto"/>
        </w:rPr>
      </w:pPr>
    </w:p>
    <w:p>
      <w:pPr>
        <w:ind w:left="1300" w:hanging="644"/>
        <w:spacing w:after="0"/>
        <w:tabs>
          <w:tab w:leader="none" w:pos="13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the Plan Supplement</w:t>
      </w:r>
    </w:p>
    <w:p>
      <w:pPr>
        <w:spacing w:after="0" w:line="229"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Debtors will file the Plan Supplement no later than seven (7) days prior to the Confirmation Hearing. The Debtors will transmit a copy of the Plan Supplement to the Distribution List, as defined herein. Additionally, parties may request (and obtain at the Debtors’ expense) a copy of the Plan Supplement by: (a) calling the Voting and Claims Agent at 844-233-5155 (Toll Free) 917-942-6392 (International); (b) writing to Weatherford International plc Balloting Center, c/o Prime Clerk LLC, One Grand Central Place, 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Suite 1440, New York, NY 10165; and/or (c) visiting the Debtors’ restructuring website at: http://www.primeclerk.com/Weatherford. Parties may also obtain any documents filed in the Chapter 11 Cases </w:t>
      </w:r>
      <w:r>
        <w:rPr>
          <w:rFonts w:ascii="Arial" w:cs="Arial" w:eastAsia="Arial" w:hAnsi="Arial"/>
          <w:sz w:val="18"/>
          <w:szCs w:val="18"/>
          <w:u w:val="single" w:color="auto"/>
          <w:color w:val="auto"/>
        </w:rPr>
        <w:t>for a fee</w:t>
      </w:r>
      <w:r>
        <w:rPr>
          <w:rFonts w:ascii="Arial" w:cs="Arial" w:eastAsia="Arial" w:hAnsi="Arial"/>
          <w:sz w:val="18"/>
          <w:szCs w:val="18"/>
          <w:color w:val="auto"/>
        </w:rPr>
        <w:t xml:space="preserve"> via PACER at https://www.txs.uscourts.gov/bankruptcy.</w:t>
      </w:r>
    </w:p>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Plan Supplement will include all Exhibits and Plan Schedules that were not already filed as exhibits to the Plan or this Disclosure Statement, all of which are incorporated by reference into, and are an integral part of, the Plan, as all of the same may be amended, supplemented, or modified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u w:val="single" w:color="auto"/>
          <w:color w:val="auto"/>
        </w:rPr>
        <w:t>Distribution List</w:t>
      </w:r>
      <w:r>
        <w:rPr>
          <w:rFonts w:ascii="Arial" w:cs="Arial" w:eastAsia="Arial" w:hAnsi="Arial"/>
          <w:sz w:val="16"/>
          <w:szCs w:val="16"/>
          <w:color w:val="auto"/>
        </w:rPr>
        <w:t>” means (a) the Office of the United States Trustee, (b) counsel to the Ad Hoc Noteholders Committee,</w:t>
      </w:r>
    </w:p>
    <w:p>
      <w:pPr>
        <w:spacing w:after="0" w:line="50" w:lineRule="exact"/>
        <w:rPr>
          <w:sz w:val="20"/>
          <w:szCs w:val="20"/>
          <w:color w:val="auto"/>
        </w:rPr>
      </w:pPr>
    </w:p>
    <w:p>
      <w:pPr>
        <w:ind w:right="260" w:firstLine="8"/>
        <w:spacing w:after="0" w:line="323" w:lineRule="auto"/>
        <w:tabs>
          <w:tab w:leader="none" w:pos="24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counsel to the Prepetition Notes Indenture Trustee, (d) Depository Trust Company (the “</w:t>
      </w:r>
      <w:r>
        <w:rPr>
          <w:rFonts w:ascii="Arial" w:cs="Arial" w:eastAsia="Arial" w:hAnsi="Arial"/>
          <w:sz w:val="16"/>
          <w:szCs w:val="16"/>
          <w:b w:val="1"/>
          <w:bCs w:val="1"/>
          <w:u w:val="single" w:color="auto"/>
          <w:color w:val="auto"/>
        </w:rPr>
        <w:t>Transfer Agent</w:t>
      </w:r>
      <w:r>
        <w:rPr>
          <w:rFonts w:ascii="Arial" w:cs="Arial" w:eastAsia="Arial" w:hAnsi="Arial"/>
          <w:sz w:val="16"/>
          <w:szCs w:val="16"/>
          <w:color w:val="auto"/>
        </w:rPr>
        <w:t>”), (e) the Internal Revenue Service, and (f) all parties that, as of the applicable date of determination, have filed requests for notice in this Chapter 11 Cases pursuant to Bankruptcy Rule 2002.</w:t>
      </w:r>
    </w:p>
    <w:p>
      <w:pPr>
        <w:spacing w:after="0" w:line="134" w:lineRule="exact"/>
        <w:rPr>
          <w:rFonts w:ascii="Arial" w:cs="Arial" w:eastAsia="Arial" w:hAnsi="Arial"/>
          <w:sz w:val="16"/>
          <w:szCs w:val="16"/>
          <w:color w:val="auto"/>
        </w:rPr>
      </w:pPr>
    </w:p>
    <w:p>
      <w:pPr>
        <w:ind w:left="1300" w:hanging="644"/>
        <w:spacing w:after="0"/>
        <w:tabs>
          <w:tab w:leader="none" w:pos="1300"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Tabulation of Votes</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FOLLOWING IS IMPORTANT INFORMATION REGARDING VOTING THAT SHOULD BE READ CAREFULLY BY ALL HOLDERS OF CLAIMS AND EQUITY INTERESTS IN THE VOTING CLASSES.</w:t>
      </w:r>
    </w:p>
    <w:p>
      <w:pPr>
        <w:spacing w:after="0" w:line="166" w:lineRule="exact"/>
        <w:rPr>
          <w:sz w:val="20"/>
          <w:szCs w:val="20"/>
          <w:color w:val="auto"/>
        </w:rPr>
      </w:pPr>
    </w:p>
    <w:p>
      <w:pPr>
        <w:ind w:left="980" w:hanging="324"/>
        <w:spacing w:after="0" w:line="264" w:lineRule="auto"/>
        <w:tabs>
          <w:tab w:leader="none" w:pos="94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FOR YOUR VOTE TO BE COUNTED, YOUR BALLOT, PRE-VALIDATED BENEFICIAL HOLDER BALLOT OR MASTER BALLOT, AS APPLICABLE, MUST BE PROPERLY EXECUTED, COMPLETED, DATED AND DELIVERED SUCH THAT IT IS </w:t>
      </w:r>
      <w:r>
        <w:rPr>
          <w:rFonts w:ascii="Arial" w:cs="Arial" w:eastAsia="Arial" w:hAnsi="Arial"/>
          <w:sz w:val="18"/>
          <w:szCs w:val="18"/>
          <w:b w:val="1"/>
          <w:bCs w:val="1"/>
          <w:u w:val="single" w:color="auto"/>
          <w:color w:val="auto"/>
        </w:rPr>
        <w:t>ACTUALLY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APPLICABLE VOTING DEADLINE BY THE VOTING AND CLAIMS AGENT.</w:t>
      </w:r>
    </w:p>
    <w:p>
      <w:pPr>
        <w:spacing w:after="0" w:line="181"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HOLDER OF A CLAIM OR EQUITY INTEREST MAY CAST ONLY ONE VOTE PER EACH CLAIM OR EQUITY INTEREST SO HELD. BY SIGNING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3" w:name="page244"/>
    <w:bookmarkEnd w:id="243"/>
    <w:p>
      <w:pPr>
        <w:ind w:left="324" w:right="180"/>
        <w:spacing w:after="0" w:line="255" w:lineRule="auto"/>
        <w:rPr>
          <w:sz w:val="20"/>
          <w:szCs w:val="20"/>
          <w:color w:val="auto"/>
        </w:rPr>
      </w:pPr>
      <w:r>
        <w:rPr>
          <w:rFonts w:ascii="Arial" w:cs="Arial" w:eastAsia="Arial" w:hAnsi="Arial"/>
          <w:sz w:val="18"/>
          <w:szCs w:val="18"/>
          <w:color w:val="auto"/>
        </w:rPr>
        <w:t>RETURNING A BALLOT, BENEFICIAL HOLDER BALLOT OR MASTER BALLOT, EACH HOLDER OF A CLAIM OR EQUITY INTEREST WILL CERTIFY TO THE BANKRUPTCY COURT AND THE DEBTORS THAT NO OTHER BALLOTS, BENEFICIAL HOLDER BALLOTS OR MASTER BALLOTS WITH RESPECT TO SUCH CLAIM OR EQUITY INTEREST HAS BEEN CAST OR, IF ANY OTHER BALLOT, BENEFICIAL HOLDER BALLOTS OR MASTER BALLOTS HAVE BEEN CAST WITH RESPECT TO SUCH CLAIM OR EQUITY INTEREST, SUCH EARLIER BALLOT, BENEFICIAL HOLDER BALLOTS OR MASTER BALLOTS ARE THEREBY SUPERSEDED AND REVOKED.</w:t>
      </w:r>
    </w:p>
    <w:p>
      <w:pPr>
        <w:spacing w:after="0" w:line="189" w:lineRule="exact"/>
        <w:rPr>
          <w:sz w:val="20"/>
          <w:szCs w:val="20"/>
          <w:color w:val="auto"/>
        </w:rPr>
      </w:pPr>
    </w:p>
    <w:p>
      <w:pPr>
        <w:ind w:left="324" w:right="140" w:hanging="324"/>
        <w:spacing w:after="0" w:line="261" w:lineRule="auto"/>
        <w:tabs>
          <w:tab w:leader="none" w:pos="288"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 xml:space="preserve">ANY BALLOT, BENEFICIAL HOLDER BALLOT OR MASTER BALLOT THAT IS RECEIVED </w:t>
      </w:r>
      <w:r>
        <w:rPr>
          <w:rFonts w:ascii="Arial" w:cs="Arial" w:eastAsia="Arial" w:hAnsi="Arial"/>
          <w:sz w:val="18"/>
          <w:szCs w:val="18"/>
          <w:b w:val="1"/>
          <w:bCs w:val="1"/>
          <w:u w:val="single" w:color="auto"/>
          <w:color w:val="auto"/>
        </w:rPr>
        <w:t>AFTER</w:t>
      </w:r>
      <w:r>
        <w:rPr>
          <w:rFonts w:ascii="Arial" w:cs="Arial" w:eastAsia="Arial" w:hAnsi="Arial"/>
          <w:sz w:val="18"/>
          <w:szCs w:val="18"/>
          <w:b w:val="1"/>
          <w:bCs w:val="1"/>
          <w:color w:val="auto"/>
        </w:rPr>
        <w:t xml:space="preserve"> THE APPLICABLE VOTING DEADLINE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 TOWARD CONFIRMATION OF THE PLAN UNLESS THE DEBTORS HAVE GRANTED AN EXTENSION OF THE VOTING DEADLINE IN WRITING WITH RESPECT TO SUCH BALLOT, BENEFICIAL HOLDER BALLOT OR MASTER BALLOT.</w:t>
      </w:r>
    </w:p>
    <w:p>
      <w:pPr>
        <w:spacing w:after="0" w:line="180" w:lineRule="exact"/>
        <w:rPr>
          <w:rFonts w:ascii="Arial" w:cs="Arial" w:eastAsia="Arial" w:hAnsi="Arial"/>
          <w:sz w:val="18"/>
          <w:szCs w:val="18"/>
          <w:color w:val="auto"/>
        </w:rPr>
      </w:pPr>
    </w:p>
    <w:p>
      <w:pPr>
        <w:ind w:left="324" w:right="100" w:hanging="324"/>
        <w:spacing w:after="0" w:line="282" w:lineRule="auto"/>
        <w:tabs>
          <w:tab w:leader="none" w:pos="288"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 xml:space="preserve">ADDITIONALLY, THE FOLLOWING BALLOTS, BENEFICIAL HOLDER BALLOTS AND MASTER BALLOTS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BE COUNTED:</w:t>
      </w:r>
    </w:p>
    <w:p>
      <w:pPr>
        <w:spacing w:after="0" w:line="165"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is illegible or contains insufficient information to permit the identification of the Holder of the Claim or Equity Interest;</w:t>
      </w:r>
    </w:p>
    <w:p>
      <w:pPr>
        <w:spacing w:after="0" w:line="170" w:lineRule="exact"/>
        <w:rPr>
          <w:rFonts w:ascii="Arial" w:cs="Arial" w:eastAsia="Arial" w:hAnsi="Arial"/>
          <w:sz w:val="18"/>
          <w:szCs w:val="18"/>
          <w:color w:val="auto"/>
        </w:rPr>
      </w:pPr>
    </w:p>
    <w:p>
      <w:pPr>
        <w:ind w:left="1104" w:hanging="455"/>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by or on behalf of an entity that does not hold a Claim or Equity Interest in one of the Voting Classes;</w:t>
      </w:r>
    </w:p>
    <w:p>
      <w:pPr>
        <w:spacing w:after="0" w:line="170" w:lineRule="exact"/>
        <w:rPr>
          <w:rFonts w:ascii="Arial" w:cs="Arial" w:eastAsia="Arial" w:hAnsi="Arial"/>
          <w:sz w:val="18"/>
          <w:szCs w:val="18"/>
          <w:color w:val="auto"/>
        </w:rPr>
      </w:pPr>
    </w:p>
    <w:p>
      <w:pPr>
        <w:ind w:left="1104" w:right="80" w:hanging="455"/>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listed in the Schedules as contingent, unliquidated or disputed for which the applicable bar date has passed and no proof of claim was timely filed;</w:t>
      </w:r>
    </w:p>
    <w:p>
      <w:pPr>
        <w:spacing w:after="0" w:line="170" w:lineRule="exact"/>
        <w:rPr>
          <w:rFonts w:ascii="Arial" w:cs="Arial" w:eastAsia="Arial" w:hAnsi="Arial"/>
          <w:sz w:val="18"/>
          <w:szCs w:val="18"/>
          <w:color w:val="auto"/>
        </w:rPr>
      </w:pPr>
    </w:p>
    <w:p>
      <w:pPr>
        <w:ind w:left="1104" w:right="100" w:hanging="455"/>
        <w:spacing w:after="0" w:line="264"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that (a) is properly completed, executed and timely filed, but does not indicate an acceptance or rejection of the Plan, or (b) indicates both an acceptance and rejection of the Plan, or (c) partially accepts and partially rejects the Plan;</w:t>
      </w:r>
    </w:p>
    <w:p>
      <w:pPr>
        <w:spacing w:after="0" w:line="181" w:lineRule="exact"/>
        <w:rPr>
          <w:rFonts w:ascii="Arial" w:cs="Arial" w:eastAsia="Arial" w:hAnsi="Arial"/>
          <w:sz w:val="18"/>
          <w:szCs w:val="18"/>
          <w:color w:val="auto"/>
        </w:rPr>
      </w:pPr>
    </w:p>
    <w:p>
      <w:pPr>
        <w:ind w:left="1104" w:right="60" w:hanging="455"/>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cast for a Claim that is subject to an objection pending as of the Voting Record Date (except as otherwise provided herein);</w:t>
      </w:r>
    </w:p>
    <w:p>
      <w:pPr>
        <w:spacing w:after="0" w:line="170" w:lineRule="exact"/>
        <w:rPr>
          <w:rFonts w:ascii="Arial" w:cs="Arial" w:eastAsia="Arial" w:hAnsi="Arial"/>
          <w:sz w:val="18"/>
          <w:szCs w:val="18"/>
          <w:color w:val="auto"/>
        </w:rPr>
      </w:pPr>
    </w:p>
    <w:p>
      <w:pPr>
        <w:ind w:left="1104" w:right="120" w:hanging="455"/>
        <w:spacing w:after="0" w:line="277" w:lineRule="auto"/>
        <w:tabs>
          <w:tab w:leader="none" w:pos="10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sent to the Debtors, the Debtors’ agents/representatives (other than the Voting and Claims Agent), any indenture trustee or the Debtors’ financial or legal advisors;</w:t>
      </w:r>
    </w:p>
    <w:p>
      <w:pPr>
        <w:spacing w:after="0" w:line="170" w:lineRule="exact"/>
        <w:rPr>
          <w:rFonts w:ascii="Arial" w:cs="Arial" w:eastAsia="Arial" w:hAnsi="Arial"/>
          <w:sz w:val="18"/>
          <w:szCs w:val="18"/>
          <w:color w:val="auto"/>
        </w:rPr>
      </w:pPr>
    </w:p>
    <w:p>
      <w:pPr>
        <w:ind w:left="1064" w:hanging="415"/>
        <w:spacing w:after="0"/>
        <w:tabs>
          <w:tab w:leader="none" w:pos="10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transmitted by facsimile, telecopy or electronic mail;</w:t>
      </w:r>
    </w:p>
    <w:p>
      <w:pPr>
        <w:spacing w:after="0" w:line="225" w:lineRule="exact"/>
        <w:rPr>
          <w:rFonts w:ascii="Arial" w:cs="Arial" w:eastAsia="Arial" w:hAnsi="Arial"/>
          <w:sz w:val="18"/>
          <w:szCs w:val="18"/>
          <w:color w:val="auto"/>
        </w:rPr>
      </w:pPr>
    </w:p>
    <w:p>
      <w:pPr>
        <w:ind w:left="1064" w:hanging="415"/>
        <w:spacing w:after="0"/>
        <w:tabs>
          <w:tab w:leader="none" w:pos="10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unsigned Ballot, Beneficial Holder Ballot or Master Ballot; or</w:t>
      </w:r>
    </w:p>
    <w:p>
      <w:pPr>
        <w:spacing w:after="0" w:line="225"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4"/>
          </w:cols>
          <w:pgMar w:left="896" w:top="341" w:right="339" w:bottom="1440" w:gutter="0" w:footer="0" w:header="0"/>
        </w:sectPr>
      </w:pPr>
    </w:p>
    <w:bookmarkStart w:id="244" w:name="page245"/>
    <w:bookmarkEnd w:id="244"/>
    <w:p>
      <w:pPr>
        <w:ind w:left="1720" w:hanging="415"/>
        <w:spacing w:after="0"/>
        <w:tabs>
          <w:tab w:leader="none" w:pos="1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Ballot, Beneficial Holder Ballot or Master Ballot not cast in accordance with the procedures described herein.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CONFIRMATION OF THE PLAN</w:t>
      </w:r>
    </w:p>
    <w:p>
      <w:pPr>
        <w:spacing w:after="0" w:line="207"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THE CONFIRMATION HEARING</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Debtors intend to file voluntary petitions to commence the Chapter 11 Cases and to request that the Bankruptcy Court schedule a hearing to consider approval of the Disclosure Statement and confirmation of the Plan (the “</w:t>
      </w:r>
      <w:r>
        <w:rPr>
          <w:rFonts w:ascii="Arial" w:cs="Arial" w:eastAsia="Arial" w:hAnsi="Arial"/>
          <w:sz w:val="18"/>
          <w:szCs w:val="18"/>
          <w:b w:val="1"/>
          <w:bCs w:val="1"/>
          <w:u w:val="single" w:color="auto"/>
          <w:color w:val="auto"/>
        </w:rPr>
        <w:t>Confirmation Hearing</w:t>
      </w:r>
      <w:r>
        <w:rPr>
          <w:rFonts w:ascii="Arial" w:cs="Arial" w:eastAsia="Arial" w:hAnsi="Arial"/>
          <w:sz w:val="18"/>
          <w:szCs w:val="18"/>
          <w:color w:val="auto"/>
        </w:rPr>
        <w:t>”) as soon as possible, at the United States Bankruptcy Court for the Southern District of Texas. Further information regarding the Confirmation Hearing, including the exact date and time on which it will be held and the timing and procedures for objecting to this Disclosure Statement or the Plan, will be included in the order scheduling the Confirmation Hearing.</w:t>
      </w:r>
    </w:p>
    <w:p>
      <w:pPr>
        <w:spacing w:after="0" w:line="184"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TO CONFIRMATION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1128(b) of the Bankruptcy Code provides that any party in interest may object to the confirmation of a plan of reorganization. Any objection to confirmation of the Plan must be in writing, must conform to the Bankruptcy Rules and the Local Rules, must set forth the name of the objector, the nature and amount of Claims or Equity Interests held or asserted by the objector against the Debtors’ estates or properties, the basis for the objection and the specific grounds therefore, and must be filed with the Bankruptcy Court.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AN OBJECTION TO CONFIRMATION IS TIMELY FILED, IT MAY NOT BE CONSIDERED BY THE BANKRUPTCY COURT.</w:t>
      </w:r>
    </w:p>
    <w:p>
      <w:pPr>
        <w:spacing w:after="0" w:line="225"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CONFIRMATION OF THE PLAN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Plan contains certain provisions relating to (a) the compromise and settlement of Claims, (b) the release of the Released Parties by the Debtors and certain Holders of Claims and Equity Interests, and each of their respective Related Persons, and (c) exculpation of certain parties. </w:t>
      </w:r>
      <w:r>
        <w:rPr>
          <w:rFonts w:ascii="Arial" w:cs="Arial" w:eastAsia="Arial" w:hAnsi="Arial"/>
          <w:sz w:val="18"/>
          <w:szCs w:val="18"/>
          <w:b w:val="1"/>
          <w:bCs w:val="1"/>
          <w:color w:val="auto"/>
        </w:rPr>
        <w:t>It is</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to read such provisions carefully so that you understand the implications of these provisions with respect to your Claim or Equity Interest such that you may cast your vote accordingly</w:t>
      </w:r>
      <w:r>
        <w:rPr>
          <w:rFonts w:ascii="Arial" w:cs="Arial" w:eastAsia="Arial" w:hAnsi="Arial"/>
          <w:sz w:val="18"/>
          <w:szCs w:val="18"/>
          <w:color w:val="auto"/>
        </w:rPr>
        <w:t>.</w:t>
      </w:r>
    </w:p>
    <w:p>
      <w:pPr>
        <w:spacing w:after="0" w:line="183" w:lineRule="exact"/>
        <w:rPr>
          <w:sz w:val="20"/>
          <w:szCs w:val="20"/>
          <w:color w:val="auto"/>
        </w:rPr>
      </w:pPr>
    </w:p>
    <w:p>
      <w:pPr>
        <w:jc w:val="center"/>
        <w:ind w:left="280" w:right="120"/>
        <w:spacing w:after="0" w:line="258" w:lineRule="auto"/>
        <w:rPr>
          <w:sz w:val="20"/>
          <w:szCs w:val="20"/>
          <w:color w:val="auto"/>
        </w:rPr>
      </w:pPr>
      <w:r>
        <w:rPr>
          <w:rFonts w:ascii="Arial" w:cs="Arial" w:eastAsia="Arial" w:hAnsi="Arial"/>
          <w:sz w:val="18"/>
          <w:szCs w:val="18"/>
          <w:b w:val="1"/>
          <w:bCs w:val="1"/>
          <w:color w:val="auto"/>
        </w:rPr>
        <w:t>THE PLAN SHALL BIND ALL HOLDERS OF CLAIMS AGAINST AND EQUITY INTERESTS IN THE DEBTORS TO THE MAXIMUM EXTENT PERMITTED BY APPLICABLE LAW, NOTWITHSTANDING WHETHER OR NOT SUCH HOLDER (A) WILL RECEIVE OR RETAIN ANY PROPERTY OR INTEREST IN PROPERTY UNDER THE PLAN, (B) HAS FILED A PROOF OF CLAIM OR EQUITY INTEREST IN THE CHAPTER 11 CASES OR (C) FAILED TO VOTE TO ACCEPT OR REJECT THE PLAN OR VOTED TO REJECT THE PLAN.</w:t>
      </w:r>
    </w:p>
    <w:p>
      <w:pPr>
        <w:spacing w:after="0" w:line="184"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It will be a condition to Confirmation of the Plan that all provisions, terms and conditions of the Plan are approved in the Confirmation Order unless otherwise satisfied or waived pursuant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 xml:space="preserve">to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Plan. Following Confirmation, the Plan will be consummated on the Effective Date.</w:t>
      </w:r>
    </w:p>
    <w:p>
      <w:pPr>
        <w:spacing w:after="0" w:line="221"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PROCEDURES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1128(a) of the Bankruptcy Code requires the Bankruptcy Court, after appropriate notice, to hold a hearing on confirmation of a plan of reorganization. On the first day of the Debtors’ Chapter 11 Cases, the Debtors will request that the Bankruptcy Court schedule the Confirmation Hearing on shortened notice. Notice of the Confirmation Hearing will be provided to all known creditors and equity holders or their representatives. The Confirmation Hearing may be adjourned from time to time by the Bankruptcy Court without further notice except for an announcement of the adjourned or continued date made at the Confirmation Hearing or any subsequent adjourned Confirmation Hearing.</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Section 1128(b) of the Bankruptcy Code provides that any party in interest may object to confirmation of a plan. Any objection to confirmation of the Plan must be in writing, must conform to the Bankruptcy Rules, must set forth the name of the objecting party, the nature and amount of Claims or Equity Interests held or asserted by the objecting party against the Debtors’ Estates, the basis for the objection and the specific grounds therefor, and must be filed with the Bankruptcy Court so as to be actually received no later than the date and time designated in the notice of the Confirmation Hearing.</w:t>
      </w:r>
    </w:p>
    <w:p>
      <w:pPr>
        <w:spacing w:after="0" w:line="150" w:lineRule="exact"/>
        <w:rPr>
          <w:sz w:val="20"/>
          <w:szCs w:val="20"/>
          <w:color w:val="auto"/>
        </w:rPr>
      </w:pPr>
    </w:p>
    <w:p>
      <w:pPr>
        <w:ind w:left="640" w:hanging="632"/>
        <w:spacing w:after="0"/>
        <w:tabs>
          <w:tab w:leader="none" w:pos="6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REQUIREMENTS FOR CONFIRMATION OF THE PLAN</w:t>
      </w:r>
    </w:p>
    <w:p>
      <w:pPr>
        <w:spacing w:after="0" w:line="229"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At the Confirmation Hearing, the Bankruptcy Court will determine whether the Plan satisfies the requirements of section 1129 of the Bankruptcy Code. The Debtors believe that: (i) the Plan satisfies or will satisfy all of the statutory requirements of chapter 11 of the Bankruptcy Code; (ii) the Debtors have complied or will have complied with all of the requirements of chapter 11 of the Bankruptcy Code; and (iii) the Plan has been proposed in good faith. Specifically, the Debtors believe that the Plan satisfies or will satisfy the applicable confirmation requirements of section 1129 of the Bankruptcy Code set forth below:</w:t>
      </w:r>
    </w:p>
    <w:p>
      <w:pPr>
        <w:spacing w:after="0" w:line="188" w:lineRule="exact"/>
        <w:rPr>
          <w:sz w:val="20"/>
          <w:szCs w:val="20"/>
          <w:color w:val="auto"/>
        </w:rPr>
      </w:pPr>
    </w:p>
    <w:p>
      <w:pPr>
        <w:ind w:left="940" w:hanging="284"/>
        <w:spacing w:after="0"/>
        <w:tabs>
          <w:tab w:leader="none" w:pos="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Plan complies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Debtors complied with the applicable provisions of the Bankruptcy Code;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Plan has been proposed in good faith and not by any means forbidden by law;</w:t>
      </w:r>
    </w:p>
    <w:p>
      <w:pPr>
        <w:spacing w:after="0" w:line="225" w:lineRule="exact"/>
        <w:rPr>
          <w:rFonts w:ascii="Arial" w:cs="Arial" w:eastAsia="Arial" w:hAnsi="Arial"/>
          <w:sz w:val="18"/>
          <w:szCs w:val="18"/>
          <w:color w:val="auto"/>
        </w:rPr>
      </w:pPr>
    </w:p>
    <w:p>
      <w:pPr>
        <w:ind w:left="980" w:right="360" w:hanging="324"/>
        <w:spacing w:after="0" w:line="259"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payment made or promised under the Plan for services or for costs and expenses in, or in connection with, the Chapter 11 Cases, or in connection with the Plan and incident to the cases, has been or will be disclosed to the Bankruptcy Court, and any such payment: (a) made before the confirmation of the Plan is reasonable; or (b) if it is to be fixed after confirmation of the Plan, is subject to the approval of the Bankruptcy Court for the determination of reasonableness;</w:t>
      </w:r>
    </w:p>
    <w:p>
      <w:pPr>
        <w:spacing w:after="0" w:line="186"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Debtors have disclosed the identity and affiliations of any individual proposed to serve, after confirmation of the Plan, as a director, officer, or voting trustee of the Debtors, an affiliate of the Debtors participating in the Plan with the Debtors, or a successor to the Debtors under the Plan. The appointment to, or continuance in,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6" w:name="page247"/>
    <w:bookmarkEnd w:id="246"/>
    <w:p>
      <w:pPr>
        <w:ind w:left="980" w:right="140"/>
        <w:spacing w:after="0" w:line="264" w:lineRule="auto"/>
        <w:rPr>
          <w:sz w:val="20"/>
          <w:szCs w:val="20"/>
          <w:color w:val="auto"/>
        </w:rPr>
      </w:pPr>
      <w:r>
        <w:rPr>
          <w:rFonts w:ascii="Arial" w:cs="Arial" w:eastAsia="Arial" w:hAnsi="Arial"/>
          <w:sz w:val="18"/>
          <w:szCs w:val="18"/>
          <w:color w:val="auto"/>
        </w:rPr>
        <w:t>office by such individual, will be consistent with the interests of creditors and equity security holders and with public policy and the Debtors will have disclosed the identity of any insider that the Reorganized Debtors will employ or retain, and the nature of any compensation for such insider;</w:t>
      </w:r>
    </w:p>
    <w:p>
      <w:pPr>
        <w:spacing w:after="0" w:line="181" w:lineRule="exact"/>
        <w:rPr>
          <w:sz w:val="20"/>
          <w:szCs w:val="20"/>
          <w:color w:val="auto"/>
        </w:rPr>
      </w:pPr>
    </w:p>
    <w:p>
      <w:pPr>
        <w:ind w:left="980" w:right="100" w:hanging="324"/>
        <w:spacing w:after="0" w:line="264" w:lineRule="auto"/>
        <w:tabs>
          <w:tab w:leader="none" w:pos="9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Either each Holder of an Impaired Claim or Equity Interest will have accepted the Plan, or will receive or retain under the Plan on account of such Claim, property of a value, as of the Effective Date of the Plan, that is not less than the amount that such Holder would receive or retain if the Debtors were liquidated on that date under chapter 7 of the Bankruptcy Code;</w:t>
      </w:r>
    </w:p>
    <w:p>
      <w:pPr>
        <w:spacing w:after="0" w:line="181" w:lineRule="exact"/>
        <w:rPr>
          <w:rFonts w:ascii="Arial" w:cs="Arial" w:eastAsia="Arial" w:hAnsi="Arial"/>
          <w:sz w:val="18"/>
          <w:szCs w:val="18"/>
          <w:color w:val="auto"/>
        </w:rPr>
      </w:pPr>
    </w:p>
    <w:p>
      <w:pPr>
        <w:ind w:left="980" w:right="180" w:hanging="324"/>
        <w:spacing w:after="0" w:line="342" w:lineRule="auto"/>
        <w:tabs>
          <w:tab w:leader="none" w:pos="94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Each Class of Claims or Equity Interests that is entitled to vote on the Plan will either have accepted the Plan or will not be impaired under the Plan, or the Plan can be confirmed without the approval of such Voting Class pursuant to section 1129(b) of the Bankruptcy Code;</w:t>
      </w:r>
    </w:p>
    <w:p>
      <w:pPr>
        <w:spacing w:after="0" w:line="123" w:lineRule="exact"/>
        <w:rPr>
          <w:rFonts w:ascii="Arial" w:cs="Arial" w:eastAsia="Arial" w:hAnsi="Arial"/>
          <w:sz w:val="16"/>
          <w:szCs w:val="16"/>
          <w:color w:val="auto"/>
        </w:rPr>
      </w:pPr>
    </w:p>
    <w:p>
      <w:pPr>
        <w:jc w:val="both"/>
        <w:ind w:left="980" w:right="200" w:hanging="324"/>
        <w:spacing w:after="0" w:line="286" w:lineRule="auto"/>
        <w:tabs>
          <w:tab w:leader="none" w:pos="944"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Except to the extent that the Holder of a particular Claim will agree to a different treatment of its Claim, the Plan provides that Administrative Claims and Other Priority Claims will be paid in full in Cash on the Effective Date, or as soon thereafter as is reasonably practicable, and that Priority Tax Claims will be paid in accordance with section 1129(a)(9)(C) of the Bankruptcy Code;</w:t>
      </w:r>
    </w:p>
    <w:p>
      <w:pPr>
        <w:spacing w:after="0" w:line="165" w:lineRule="exact"/>
        <w:rPr>
          <w:rFonts w:ascii="Arial" w:cs="Arial" w:eastAsia="Arial" w:hAnsi="Arial"/>
          <w:sz w:val="17"/>
          <w:szCs w:val="17"/>
          <w:color w:val="auto"/>
        </w:rPr>
      </w:pPr>
    </w:p>
    <w:p>
      <w:pPr>
        <w:ind w:left="980" w:right="140" w:hanging="324"/>
        <w:spacing w:after="0" w:line="277" w:lineRule="auto"/>
        <w:tabs>
          <w:tab w:leader="none" w:pos="9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At least one Class of Impaired Claims or Equity Interests will accept the Plan, determined without including any acceptance of the Plan by any insider holding a Claim or Equity Interest in that Class;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Confirmation of the Plan will not likely be followed by the liquidation or the need for further financial reorganization of the Debtors or any successor thereto under the Plan;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All outstanding fees payable pursuant to section 1930 of title 28 of the United States Code will be paid when due.</w:t>
      </w:r>
    </w:p>
    <w:p>
      <w:pPr>
        <w:spacing w:after="0" w:line="221" w:lineRule="exact"/>
        <w:rPr>
          <w:sz w:val="20"/>
          <w:szCs w:val="20"/>
          <w:color w:val="auto"/>
        </w:rPr>
      </w:pPr>
    </w:p>
    <w:p>
      <w:pPr>
        <w:ind w:left="1300" w:hanging="644"/>
        <w:spacing w:after="0"/>
        <w:tabs>
          <w:tab w:leader="none" w:pos="130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Best Interests of Creditors Test/Liquidation Analysis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Often called the “best interests” test, section 1129(a)(7) of the Bankruptcy Code requires that a bankruptcy court find, as a condition to confirmation, that a chapter 11 plan provide, with respect to each class, that each holder of a claim or an equity interest in such class either (a) has accepted the plan or</w:t>
      </w:r>
    </w:p>
    <w:p>
      <w:pPr>
        <w:ind w:firstLine="8"/>
        <w:spacing w:after="0" w:line="270" w:lineRule="auto"/>
        <w:tabs>
          <w:tab w:leader="none" w:pos="255"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will receive or retain under the plan property of a value, as of the effective date of the plan, that is not less than the amount that such holder would receive or retain if the debtor or debtors are liquidated under chapter 7 of the Bankruptcy Code. To make these findings, the Bankruptcy Court must: (a) estimate the cash liquidation proceeds that a chapter 7 trustee would generate if the chapter 11 cases were converted to a chapter 7 case and the assets of the particular debtors’ estate were liquidated; (b) determine the liquidation distribution that each non-accepting holder of a claim or an equity interest would receive from such liquidation proceeds under the priority scheme dictated in chapter 7; and (c) compare such holder’s liquidation distribution to the distribution under the chapter 11 plan that such holder would receive if the chapter 11 plan were confirmed.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7" w:name="page248"/>
    <w:bookmarkEnd w:id="247"/>
    <w:p>
      <w:pPr>
        <w:ind w:right="480" w:firstLine="648"/>
        <w:spacing w:after="0" w:line="259" w:lineRule="auto"/>
        <w:rPr>
          <w:sz w:val="20"/>
          <w:szCs w:val="20"/>
          <w:color w:val="auto"/>
        </w:rPr>
      </w:pPr>
      <w:r>
        <w:rPr>
          <w:rFonts w:ascii="Arial" w:cs="Arial" w:eastAsia="Arial" w:hAnsi="Arial"/>
          <w:sz w:val="18"/>
          <w:szCs w:val="18"/>
          <w:color w:val="auto"/>
        </w:rPr>
        <w:t>In chapter 7 cases, creditors and interest holders of a debtor are paid from available assets generally in the following order, with no junior class receiving any payments until all amounts due to senior classes have been paid in full: (a) holders of secured claims (to the extent of the value of their collateral); (b) holders of priority claims; (c) holders of unsecured claims; (d) holders of debt expressly subordinated by its terms or by order of the bankruptcy court; and (e) holders of equity interests.</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Accordingly, the Cash amount that would be available for satisfaction of claims (other than secured claims) would consist of the proceeds resulting from the disposition of the unencumbered assets of the debtors, augmented by the unencumbered Cash held by the debtors at the time of the commencement of the liquidation. Such Cash would be reduced by the amount of the costs and expenses of the liquidation and by such additional administrative and priority claims that may result from termination of the debtor’s business and the use of chapter 7 for purposes of a liquidation.</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As described in more detail in the liquidation analysis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Liquidation Analysis</w:t>
      </w:r>
      <w:r>
        <w:rPr>
          <w:rFonts w:ascii="Arial" w:cs="Arial" w:eastAsia="Arial" w:hAnsi="Arial"/>
          <w:sz w:val="17"/>
          <w:szCs w:val="17"/>
          <w:color w:val="auto"/>
        </w:rPr>
        <w:t>”), the Debtors believe that confirmation of the Plan will provide each Holder of an Allowed Claim or Equity Interest in each Class with a recovery greater than or equal to the value of any distributions if the Chapter 11 Cases were converted to a case under chapter 7 of the Bankruptcy Code because, among other reasons, proceeds received in a chapter 7 liquidation are likely to be significantly discounted due to the distressed nature of the sale of the Debtors’ assets and the fees and expenses of a chapter 7 trustee would likely further reduce Cash available for distribution. In addition, distributions in a chapter 7 case may not occur for a longer period of time than distributions under the Plan, thereby reducing the present value of such distributions. In this regard, it is possible that distribution of the proceeds of a liquidation could be delayed for a significant period while the chapter 7 trustee and its advisors become knowledgeable about, among other things, the Chapter 11 Cases and the Claims against the Debtors.</w:t>
      </w:r>
    </w:p>
    <w:p>
      <w:pPr>
        <w:spacing w:after="0" w:line="172"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Feasibility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1129(a)(11) of the Bankruptcy Code requires that the bankruptcy court find that confirmation is not likely to be followed by the liquidation of the Reorganized Debtors or the need for further financial reorganization, unless the plan contemplates such liquidation. For purposes of demonstrating that the Plan meets this “feasibility” standard, the Debtors have analyzed the ability of the Reorganized Debtors to meet their obligations under the Plan and to retain sufficient liquidity and capital resources to conduct their businesses.</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Debtors believe that the Plan meets the feasibility requirement set forth in section 1129(a)(11) of the Bankruptcy Code. In connection with the development of the Plan and for the purposes of determining whether the Plan satisfies this feasibility standard, the Debtors analyzed the ability of the Reorganized Debtors to satisfy their financial obligations while maintaining sufficient liquidity and capital resources. Financial projections of the Reorganized Debtors for the years ending 2019, 2020, 2021, and 2022 (the “</w:t>
      </w:r>
      <w:r>
        <w:rPr>
          <w:rFonts w:ascii="Arial" w:cs="Arial" w:eastAsia="Arial" w:hAnsi="Arial"/>
          <w:sz w:val="17"/>
          <w:szCs w:val="17"/>
          <w:b w:val="1"/>
          <w:bCs w:val="1"/>
          <w:u w:val="single" w:color="auto"/>
          <w:color w:val="auto"/>
        </w:rPr>
        <w:t>Financial Projections</w:t>
      </w:r>
      <w:r>
        <w:rPr>
          <w:rFonts w:ascii="Arial" w:cs="Arial" w:eastAsia="Arial" w:hAnsi="Arial"/>
          <w:sz w:val="17"/>
          <w:szCs w:val="17"/>
          <w:color w:val="auto"/>
        </w:rPr>
        <w:t xml:space="preserve">”) are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general, as illustrated by the Financial Projections, the Debtors believe that as a result of the transactions contemplated by the Plan, including the Exit Facility Credit Agreement, the Rights Offerings, and the Backstop Commitment, the Reorganized Debtors should have sufficient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48" w:name="page249"/>
    <w:bookmarkEnd w:id="248"/>
    <w:p>
      <w:pPr>
        <w:ind w:right="80"/>
        <w:spacing w:after="0" w:line="286" w:lineRule="auto"/>
        <w:rPr>
          <w:sz w:val="20"/>
          <w:szCs w:val="20"/>
          <w:color w:val="auto"/>
        </w:rPr>
      </w:pPr>
      <w:r>
        <w:rPr>
          <w:rFonts w:ascii="Arial" w:cs="Arial" w:eastAsia="Arial" w:hAnsi="Arial"/>
          <w:sz w:val="17"/>
          <w:szCs w:val="17"/>
          <w:color w:val="auto"/>
        </w:rPr>
        <w:t>cash flow and availability to make all payments required pursuant to the Plan while conducting ongoing business operations. The Debtors believe that confirmation and consummation is, therefore, not likely to be followed by the liquidation or further reorganization of the Reorganized Debtors. Accordingly, the Debtors believe that the Plan satisfies the feasibility requirement of section 1129(a)(11) of the Bankruptcy Code.</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FINANCIAL PROJECTIONS, INCLUDING THE UNDERLYING ASSUMPTIONS, SHOULD BE CAREFULLY REVIEWED IN EVALUATING THE PLAN. WHILE MANAGEMENT BELIEVES THE ASSUMPTIONS UNDERLYING THE FINANCIAL PROJECTIONS, WHEN CONSIDERED ON AN OVERALL BASIS, ARE REASONABLE IN LIGHT OF CURRENT CIRCUMSTANCES AND EXPECTATIONS, NO ASSURANCE CAN BE GIVEN THAT THE FINANCIAL PROJECTIONS WILL BE REALIZED.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FINANCIAL PROJECTIONS HAVE NOT BEEN EXAMINED OR COMPILED BY INDEPENDENT ACCOUNTANTS. THE DEBTORS MAKE NO REPRESENTATION OR WARRANTY AS TO THE ACCURACY OF THE FINANCIAL PROJECTIONS OR THEIR ABILITY TO ACHIEVE THE PROJECTED RESULTS. MANY OF THE ASSUMPTIONS ON WHICH THE PROJECTIONS ARE BASED ARE INHERENTLY SUBJECT TO SIGNIFICANT ECONOMIC AND COMPETITIVE UNCERTAINTIES AND CONTINGENCIES WHICH ARE BEYOND THE CONTROL OF THE DEBTORS. INEVITABLY, SOME ASSUMPTIONS WILL NOT MATERIALIZE AND UNANTICIPATED EVENTS AND CIRCUMSTANCES MAY AFFECT THE ACTUAL FINANCIAL RESULTS. THEREFORE, THE ACTUAL RESULTS ACHIEVED THROUGHOUT THE PERIOD OF THE FINANCIAL PROJECTIONS MAY VARY FROM THE PROJECTED RESULTS AND THE VARIATIONS MAY BE MATERIAL. ALL HOLDERS OF CLAIMS THAT ARE ENTITLED TO VOTE TO ACCEPT OR REJECT THE PLAN ARE URGED TO EXAMINE CAREFULLY ALL OF THE ASSUMPTIONS ON WHICH THE FINANCIAL PROJECTIONS ARE BASED IN CONNECTION WITH THEIR EVALUATION OF THE PLAN.</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BASED ON THE FINANCIAL PROJECTIONS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DEBTORS BELIEVE THAT THEY WILL BE ABLE TO MAKE ALL DISTRIBUTIONS AND PAYMENTS UNDER THE PLAN AND THAT CONFIRMATION OF THE PLAN IS NOT LIKELY TO BE FOLLOWED BY LIQUIDATION OF THE REORGANIZED DEBTORS OR THE NEED FOR FURTHER FINANCIAL REORGANIZATION OF THE REORGANIZED DEBTORS.</w:t>
      </w:r>
    </w:p>
    <w:p>
      <w:pPr>
        <w:spacing w:after="0" w:line="183" w:lineRule="exact"/>
        <w:rPr>
          <w:sz w:val="20"/>
          <w:szCs w:val="20"/>
          <w:color w:val="auto"/>
        </w:rPr>
      </w:pPr>
    </w:p>
    <w:p>
      <w:pPr>
        <w:ind w:left="1300" w:hanging="644"/>
        <w:spacing w:after="0"/>
        <w:tabs>
          <w:tab w:leader="none" w:pos="13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by Impaired Classes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Bankruptcy Code requires, as a condition to confirmation, that, except as described in the following section, each class of claims or equity interests that is impaired under a plan, accept the plan. A class that is not “impaired” under a plan is deemed to have accepted the plan and, therefore, solicitation of acceptances with respect to such class is not required. A class is “impaired” unless the plan: (a) leaves unaltered the legal, equitable and contractual rights to which the claim or the equity interest entitles the holder of such claim or equity interest; (b) cures any default and reinstates the original terms of such obligation; or (c) provides that, on the consummation date, the holder of such claim or equity interest receives Cash equal to the allowed amount of that claim or, with respect to any equity interest, any fixed liquidation preference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which the holder of such equity interest is entitled to any fixed price at which the debtor may redeem the security.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Bankruptcy Code defines “acceptance” of a plan by a class of (i) Claims as acceptance by creditors in that class that hold at least two-thirds (2/3) in dollar amount and more than one-half (1/2) in number of the Claims that cast ballots for acceptance or rejection of the Plan and (ii) Equity Interests as acceptance by interest holders in that class that hold at least two-thirds (2/3) in amount of the Equity Interests that cast ballots for acceptance or rejection of the Plan. Holders of Claims or Equity Interests that fail to vote are not counted in determining the thresholds for acceptance of the Plan.</w:t>
      </w:r>
    </w:p>
    <w:p>
      <w:pPr>
        <w:spacing w:after="0" w:line="154"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Claims in Classes 1, 2, 3, 4, 5, 6, 8, and 9 and Equity Interests in Class 11 are not Impaired under the Plan, and, as a result, the Holders of such Claims and Equity Interests are deemed to have accepted the Plan. Accordingly, the Debtors are not required to solicit their vote.</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Claims in Class 7 and Equity Interests in Class 10 are Impaired under the Plan, and as a result, the Holders of Claims in Class 7 and Equity Interests in Class 10 are entitled to vote on the Plan. Pursuant to section 1129 of the Bankruptcy Code, the Holders of Claims and Equity Interests in the Voting Classes must accept the Plan for the Plan to be confirmed without application of the “fair and equitable test” to Classes 7 and 10 and without considering whether the Plan “discriminates unfairly” with respect to Classes 7 and 10 as both standards are described herein. As explained above, Class 7 will have accepted the Plan if the Plan is accepted by at least two-thirds (2/3) in amount and a majority in number of the Claims of Class 7 (other than any Claims of creditors designated under section 1126(e) of the Bankruptcy Code) that will have voted to accept or reject the Plan, and Class 10 will have accepted the Plan if the Plan is accepted by Holders of Equity Interests holding at least two-thirds (2/3) in amount of such interests that have voted to accept or reject the Plan.</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Unexercised Equity Interests in Class 12 are Impaired and deemed to have rejected the Plan. The Debtors, therefore, will request confirmation of the Plan, as it may be modified from time to time, under section 1129(b) of the Bankruptcy Code as more fully described below.</w:t>
      </w:r>
    </w:p>
    <w:p>
      <w:pPr>
        <w:spacing w:after="0" w:line="166"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 Without Acceptance by All Impaired Classes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1129(b) of the Bankruptcy Code allows a bankruptcy court to confirm a plan even if less than all impaired classes entitled to vote on the plan have accepted it, provided that the plan has been accepted by at least one impaired class of claims. Pursuant to section 1129(b) of the Bankruptcy Code, notwithstanding an impaired Class’s rejection or deemed rejection of the Plan, the Plan will be confirmed, at the Debtors’ request, in a procedure commonly known as “cram down,” so long as the Plan does not “discriminate unfairly” and is “fair and equitable” with respect to each Class of Claims or Equity Interests that is impaired under, and has not accepted, the Plan.</w:t>
      </w:r>
    </w:p>
    <w:p>
      <w:pPr>
        <w:spacing w:after="0" w:line="184" w:lineRule="exact"/>
        <w:rPr>
          <w:sz w:val="20"/>
          <w:szCs w:val="20"/>
          <w:color w:val="auto"/>
        </w:rPr>
      </w:pPr>
    </w:p>
    <w:p>
      <w:pPr>
        <w:ind w:left="1300" w:hanging="644"/>
        <w:spacing w:after="0"/>
        <w:tabs>
          <w:tab w:leader="none" w:pos="13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No Unfair Discrimination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test applies to classes of claims or equity interests that are of equal priority and are receiving different treatment under the Plan. The test does not require that the treatment be the same or equivalent, but that such treatment be “fair.” In general, bankruptcy courts consider whether a plan discriminates unfairly in its treatment of classes of claims of equal rank (e.g.,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0" w:name="page251"/>
    <w:bookmarkEnd w:id="250"/>
    <w:p>
      <w:pPr>
        <w:ind w:right="160"/>
        <w:spacing w:after="0" w:line="277" w:lineRule="auto"/>
        <w:rPr>
          <w:sz w:val="20"/>
          <w:szCs w:val="20"/>
          <w:color w:val="auto"/>
        </w:rPr>
      </w:pPr>
      <w:r>
        <w:rPr>
          <w:rFonts w:ascii="Arial" w:cs="Arial" w:eastAsia="Arial" w:hAnsi="Arial"/>
          <w:sz w:val="18"/>
          <w:szCs w:val="18"/>
          <w:color w:val="auto"/>
        </w:rPr>
        <w:t>classes of the same legal character). Bankruptcy courts will take into account a number of factors in determining whether a plan discriminates unfairly, and, accordingly, a plan could treat two classes of unsecured creditors differently without unfairly discriminating against either class.</w:t>
      </w:r>
    </w:p>
    <w:p>
      <w:pPr>
        <w:spacing w:after="0" w:line="166" w:lineRule="exact"/>
        <w:rPr>
          <w:sz w:val="20"/>
          <w:szCs w:val="20"/>
          <w:color w:val="auto"/>
        </w:rPr>
      </w:pPr>
    </w:p>
    <w:p>
      <w:pPr>
        <w:ind w:left="1300" w:hanging="644"/>
        <w:spacing w:after="0"/>
        <w:tabs>
          <w:tab w:leader="none" w:pos="130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Fair and Equitable Test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test applies to classes of different priority and status (</w:t>
      </w:r>
      <w:r>
        <w:rPr>
          <w:rFonts w:ascii="Arial" w:cs="Arial" w:eastAsia="Arial" w:hAnsi="Arial"/>
          <w:sz w:val="18"/>
          <w:szCs w:val="18"/>
          <w:i w:val="1"/>
          <w:iCs w:val="1"/>
          <w:color w:val="auto"/>
        </w:rPr>
        <w:t>e.g.</w:t>
      </w:r>
      <w:r>
        <w:rPr>
          <w:rFonts w:ascii="Arial" w:cs="Arial" w:eastAsia="Arial" w:hAnsi="Arial"/>
          <w:sz w:val="18"/>
          <w:szCs w:val="18"/>
          <w:color w:val="auto"/>
        </w:rPr>
        <w:t>, secured versus unsecured) and includes the general requirement that no class of claims receive more than 100% of the amount of the allowed claims in such class. As to the dissenting class, the test sets different standards depending on the type of claims or equity interests in such class:</w:t>
      </w:r>
    </w:p>
    <w:p>
      <w:pPr>
        <w:spacing w:after="0" w:line="181" w:lineRule="exact"/>
        <w:rPr>
          <w:sz w:val="20"/>
          <w:szCs w:val="20"/>
          <w:color w:val="auto"/>
        </w:rPr>
      </w:pPr>
    </w:p>
    <w:p>
      <w:pPr>
        <w:ind w:left="940" w:hanging="284"/>
        <w:spacing w:after="0"/>
        <w:tabs>
          <w:tab w:leader="none" w:pos="94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Secured Claims</w:t>
      </w:r>
      <w:r>
        <w:rPr>
          <w:rFonts w:ascii="Arial" w:cs="Arial" w:eastAsia="Arial" w:hAnsi="Arial"/>
          <w:sz w:val="17"/>
          <w:szCs w:val="17"/>
          <w:color w:val="auto"/>
        </w:rPr>
        <w:t>. The condition that a plan be “fair and equitable” to a non-accepting class of secured claims includes the requirements that:</w:t>
      </w:r>
    </w:p>
    <w:p>
      <w:pPr>
        <w:spacing w:after="0" w:line="34" w:lineRule="exact"/>
        <w:rPr>
          <w:rFonts w:ascii="Arial" w:cs="Arial" w:eastAsia="Arial" w:hAnsi="Arial"/>
          <w:sz w:val="17"/>
          <w:szCs w:val="17"/>
          <w:color w:val="auto"/>
        </w:rPr>
      </w:pPr>
    </w:p>
    <w:p>
      <w:pPr>
        <w:ind w:left="980" w:right="40"/>
        <w:spacing w:after="0" w:line="273" w:lineRule="auto"/>
        <w:rPr>
          <w:rFonts w:ascii="Arial" w:cs="Arial" w:eastAsia="Arial" w:hAnsi="Arial"/>
          <w:sz w:val="17"/>
          <w:szCs w:val="17"/>
          <w:color w:val="auto"/>
        </w:rPr>
      </w:pPr>
      <w:r>
        <w:rPr>
          <w:rFonts w:ascii="Arial" w:cs="Arial" w:eastAsia="Arial" w:hAnsi="Arial"/>
          <w:sz w:val="17"/>
          <w:szCs w:val="17"/>
          <w:color w:val="auto"/>
        </w:rPr>
        <w:t>(a) the holders of such secured claims retain the liens securing such claims to the extent of the allowed amount of the claims, whether the property subject to the liens is retained by the debtor or transferred to another entity under the plan; and (b) each holder of a secured claim in the class receives deferred Cash payments totaling at least the allowed amount of such claim with a present value, as of the effective date of the plan, at least equivalent to the value of the secured claimant’s interest in the debtor’s property subject to the liens.</w:t>
      </w:r>
    </w:p>
    <w:p>
      <w:pPr>
        <w:spacing w:after="0" w:line="176" w:lineRule="exact"/>
        <w:rPr>
          <w:rFonts w:ascii="Arial" w:cs="Arial" w:eastAsia="Arial" w:hAnsi="Arial"/>
          <w:sz w:val="17"/>
          <w:szCs w:val="17"/>
          <w:color w:val="auto"/>
        </w:rPr>
      </w:pPr>
    </w:p>
    <w:p>
      <w:pPr>
        <w:ind w:left="980" w:right="120" w:hanging="324"/>
        <w:spacing w:after="0" w:line="302" w:lineRule="auto"/>
        <w:tabs>
          <w:tab w:leader="none" w:pos="944"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Unsecured Claims</w:t>
      </w:r>
      <w:r>
        <w:rPr>
          <w:rFonts w:ascii="Arial" w:cs="Arial" w:eastAsia="Arial" w:hAnsi="Arial"/>
          <w:sz w:val="16"/>
          <w:szCs w:val="16"/>
          <w:color w:val="auto"/>
        </w:rPr>
        <w:t>. The condition that a plan be “fair and equitable” to a non-accepting class of unsecured claims includes the following requirement that either: (a) the plan provides that each holder of a claim of such class receive or retain on account of such claim property of a value, as of the effective date of the plan, equal to the allowed amount of such claim; or (b) the holder of any claim or any equity interest that is junior to the claims of such class will not receive or retain under the plan on account of such junior claim or junior equity interest any property.</w:t>
      </w:r>
    </w:p>
    <w:p>
      <w:pPr>
        <w:spacing w:after="0" w:line="154" w:lineRule="exact"/>
        <w:rPr>
          <w:rFonts w:ascii="Arial" w:cs="Arial" w:eastAsia="Arial" w:hAnsi="Arial"/>
          <w:sz w:val="16"/>
          <w:szCs w:val="16"/>
          <w:color w:val="auto"/>
        </w:rPr>
      </w:pPr>
    </w:p>
    <w:p>
      <w:pPr>
        <w:ind w:left="980" w:right="420" w:hanging="324"/>
        <w:spacing w:after="0" w:line="277" w:lineRule="auto"/>
        <w:tabs>
          <w:tab w:leader="none" w:pos="944"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The condition that a plan be “fair and equitable” to a non-accepting class of equity interests includes the requirements that either:</w:t>
      </w:r>
    </w:p>
    <w:p>
      <w:pPr>
        <w:spacing w:after="0" w:line="170" w:lineRule="exact"/>
        <w:rPr>
          <w:sz w:val="20"/>
          <w:szCs w:val="20"/>
          <w:color w:val="auto"/>
        </w:rPr>
      </w:pPr>
    </w:p>
    <w:p>
      <w:pPr>
        <w:ind w:left="1440" w:right="80" w:hanging="460"/>
        <w:spacing w:after="0" w:line="312" w:lineRule="auto"/>
        <w:tabs>
          <w:tab w:leader="none" w:pos="144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the plan provides that each holder of an equity interest in that class receives or retains under the plan on account of that equity interest property of a value, as of the effective date of the plan, equal to the greater of: (a) the allowed amount of any fixed liquidation preference to which such holder is entitled; (b) any fixed redemption price to which such holder is entitled; or (c) the value of such interest; </w:t>
      </w:r>
      <w:r>
        <w:rPr>
          <w:rFonts w:ascii="Arial" w:cs="Arial" w:eastAsia="Arial" w:hAnsi="Arial"/>
          <w:sz w:val="16"/>
          <w:szCs w:val="16"/>
          <w:u w:val="single" w:color="auto"/>
          <w:color w:val="auto"/>
        </w:rPr>
        <w:t>or</w:t>
      </w:r>
    </w:p>
    <w:p>
      <w:pPr>
        <w:spacing w:after="0" w:line="146" w:lineRule="exact"/>
        <w:rPr>
          <w:rFonts w:ascii="Arial" w:cs="Arial" w:eastAsia="Arial" w:hAnsi="Arial"/>
          <w:sz w:val="16"/>
          <w:szCs w:val="16"/>
          <w:color w:val="auto"/>
        </w:rPr>
      </w:pPr>
    </w:p>
    <w:p>
      <w:pPr>
        <w:ind w:left="1440" w:right="240" w:hanging="460"/>
        <w:spacing w:after="0" w:line="277" w:lineRule="auto"/>
        <w:tabs>
          <w:tab w:leader="none" w:pos="144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the class does not receive the amount required in the paragraph directly above, no class of equity interests junior to the non-accepting class may receive a distribution under the plan.</w:t>
      </w:r>
    </w:p>
    <w:p>
      <w:pPr>
        <w:spacing w:after="0" w:line="166"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b w:val="1"/>
          <w:bCs w:val="1"/>
          <w:color w:val="auto"/>
        </w:rPr>
        <w:t>As noted above, the Debtors will seek confirmation of the Plan under section 1129(b) of the Bankruptcy Code, to the extent applicable, in view of the deemed rejection by Class 12</w:t>
      </w:r>
      <w:r>
        <w:rPr>
          <w:rFonts w:ascii="Arial" w:cs="Arial" w:eastAsia="Arial" w:hAnsi="Arial"/>
          <w:sz w:val="16"/>
          <w:szCs w:val="16"/>
          <w:color w:val="auto"/>
        </w:rPr>
        <w:t>. To the extent that any of the Voting Classes votes to reject the Plan, the Debtors reserve the right to seek</w:t>
      </w:r>
    </w:p>
    <w:p>
      <w:pPr>
        <w:spacing w:after="0" w:line="1" w:lineRule="exact"/>
        <w:rPr>
          <w:sz w:val="20"/>
          <w:szCs w:val="20"/>
          <w:color w:val="auto"/>
        </w:rPr>
      </w:pPr>
    </w:p>
    <w:p>
      <w:pPr>
        <w:ind w:left="5580" w:right="960" w:hanging="5572"/>
        <w:spacing w:after="0" w:line="511" w:lineRule="auto"/>
        <w:tabs>
          <w:tab w:leader="none" w:pos="25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confirmation of the Plan under section 1129(b) of the Bankruptcy Code and/or (b) modify the Plan in accordance with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Plan.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1" w:name="page252"/>
    <w:bookmarkEnd w:id="251"/>
    <w:p>
      <w:pPr>
        <w:ind w:right="320" w:firstLine="648"/>
        <w:spacing w:after="0" w:line="264" w:lineRule="auto"/>
        <w:rPr>
          <w:sz w:val="20"/>
          <w:szCs w:val="20"/>
          <w:color w:val="auto"/>
        </w:rPr>
      </w:pPr>
      <w:r>
        <w:rPr>
          <w:rFonts w:ascii="Arial" w:cs="Arial" w:eastAsia="Arial" w:hAnsi="Arial"/>
          <w:sz w:val="18"/>
          <w:szCs w:val="18"/>
          <w:color w:val="auto"/>
        </w:rPr>
        <w:t xml:space="preserve">The votes of Holders of Unexercised Equity Interests in Class 12 are not being solicited because,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Plan, there will be no distribution to such Holders and, therefore, such Holders are conclusively deemed to have rejected the Plan pursuant to section 1126(g) of the Bankruptcy Code.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Notwithstanding the deemed rejection by Class 12, the Debtors do not believe that the Plan discriminates unfairly against any Impaired Class of Claims or Equity Interests. The Debtors believe that the Plan and the treatment of all Classes of Claims and Equity Interests under the Plan satisfy the foregoing requirements for non-consensual confirmation of the Plan.</w:t>
      </w:r>
    </w:p>
    <w:p>
      <w:pPr>
        <w:spacing w:after="0" w:line="177"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CONSUMMATION OF THE PLAN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Plan will be consummated on the Effective Date. For a more detailed discussion of the conditions precedent to the consummation of the Plan and the impact of failure to meet such conditions, see </w:t>
      </w:r>
      <w:r>
        <w:rPr>
          <w:rFonts w:ascii="Arial" w:cs="Arial" w:eastAsia="Arial" w:hAnsi="Arial"/>
          <w:sz w:val="18"/>
          <w:szCs w:val="18"/>
          <w:u w:val="single" w:color="auto"/>
          <w:color w:val="auto"/>
        </w:rPr>
        <w:t>Article IX.B</w:t>
      </w:r>
      <w:r>
        <w:rPr>
          <w:rFonts w:ascii="Arial" w:cs="Arial" w:eastAsia="Arial" w:hAnsi="Arial"/>
          <w:sz w:val="18"/>
          <w:szCs w:val="18"/>
          <w:color w:val="auto"/>
        </w:rPr>
        <w:t xml:space="preserve">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VALUATION ANALYSIS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valuation analysis of the Reorganized Debtors, which was performed and prepared by Lazard and is incorporated by reference herein.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EXEMPTIONS FROM SECURITIES ACT REGISTRATION</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Solicitation is being made before the Petition Date only to Eligible Holders of Prepetition Notes Claims who are (i) located inside the United States and are (a) “qualified institutional buyers” (as defined in Rule 144A under the Securities Act) or (b) “accredited investors” (as defined in</w:t>
      </w:r>
    </w:p>
    <w:p>
      <w:pPr>
        <w:ind w:right="540"/>
        <w:spacing w:after="0" w:line="261" w:lineRule="auto"/>
        <w:rPr>
          <w:sz w:val="20"/>
          <w:szCs w:val="20"/>
          <w:color w:val="auto"/>
        </w:rPr>
      </w:pPr>
      <w:r>
        <w:rPr>
          <w:rFonts w:ascii="Arial" w:cs="Arial" w:eastAsia="Arial" w:hAnsi="Arial"/>
          <w:sz w:val="18"/>
          <w:szCs w:val="18"/>
          <w:color w:val="auto"/>
        </w:rPr>
        <w:t>Rule 501(a) of Regulation D under the Securities Act) or (ii) located outside the United States and are persons other than “U.S. persons” (as defined in Rule 902 under the Securities Act).</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issuance of and the distribution under the Plan of the New Common Stock, the New Warrants (and the New Common Shares issuable upon exercise thereof), the Subscription Rights, the New Tranche B Senior Unsecured Notes (and the New Common Shares issuable upon conversion thereof), and the New Tranche A Senior Unsecured Notes issued pursuant to the Rights Offering will be exempt from registration under the Securities Act and any other applicable securities laws pursuant to section 1145 of the Bankruptcy Code. No offer of securities to the public is made, or will be made, in any member state of the European Economic Area that requires the publication of a prospectus within the meaning of the EU Prospectus Directive (Directive 2003/71/EC), as amended, or the EU Prospectus Regulation (Regulation (EU) 2017/1129).</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Section 1145 of the Bankruptcy Code generally exempts from registration under the Securities Act the offer or sale under a chapter 11 plan of a security of the debtor, of an affiliate participating in a joint plan with the debtor, or of a successor to the debtor under a plan, if such securities are offered or sold in exchange for a claim against, or an interest in, the debtor or such affiliate, or principally in such exchange and partly for cash. Section 1145 of the Bankruptcy Code also exempts from registration the offer of a security through any right to subscribe sold in the manner provided in the prior sentence, and the sale of a security upon the exercise of such right.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2" w:name="page253"/>
    <w:bookmarkEnd w:id="252"/>
    <w:p>
      <w:pPr>
        <w:ind w:right="20"/>
        <w:spacing w:after="0" w:line="272" w:lineRule="auto"/>
        <w:rPr>
          <w:sz w:val="20"/>
          <w:szCs w:val="20"/>
          <w:color w:val="auto"/>
        </w:rPr>
      </w:pPr>
      <w:r>
        <w:rPr>
          <w:rFonts w:ascii="Arial" w:cs="Arial" w:eastAsia="Arial" w:hAnsi="Arial"/>
          <w:sz w:val="17"/>
          <w:szCs w:val="17"/>
          <w:color w:val="auto"/>
        </w:rPr>
        <w:t>In reliance upon this exemption, the New Common Stock, the New Warrants (and the New Common Stock issuable upon exercise thereof), the Subscription Rights, the New Tranche B Senior Unsecured Notes (and the New Common Stock issuable upon conversion thereof), and the New Tranche A Senior Unsecured Notes issued pursuant to the Rights Offering will be exempt from the registration requirements of the Securities Act, and state and local securities laws. These securities may be resold without registration under the Securities Act or other federal or state securities laws pursuant to the exemption provided by section 4(a)(1) of the Securities Act, unless the holder is an “underwriter” with respect to such securities, as that term is defined in section 1145(b) of the Bankruptcy Code. In addition, such section 1145 exempt securities generally may be resold without registration under state securities laws pursuant to various exemptions provided by the respective laws of the several states.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issuance and sale, as applicable, of the New Tranche A Unsecured Notes to the Backstop Parties under the Backstop Commitment Agreement is being made in reliance on the exemption from registration set forth in section 4(a)(2) of the Securities Act and Regulation D thereunder. Such securities will be considered “restricted securities” and may not be transferred except pursuant to an effective registration statement or under an available exemption from the registration requirements of the Securities Act, such as, under certain conditions, the resale provisions of Rule 144 of the Securities Act.</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foregoing, persons deemed to be affiliates of the Reorganized company may be able to sell securities without registration pursuant to the resale limitations of Rule 144 of the Securities Act which, in effect, permit the resale of securities received by such underwriters pursuant to a chapter 11 plan, subject to applicable volume limitations, notice and manner of sale requirements, and certain other conditions. Parties who believe they may be statutory underwriters as defined in section 1145 of the Bankruptcy Code are advised to consult with their own legal advisers as to the availability of the exemption provided by Rule 144. In any case, recipients of new securities issued under the prepackaged Plan are advised to consult with their own legal advisers as to the availability of any such exemption from registration under state law in any given instance and as to any applicable requirements or conditions to such availability.</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Reorganized Parent will use its commercially reasonable efforts to have the New Common Stock listed on a nationally recognized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acceptable to the Required Consenting Noteholders as soon as practicable after the Effective Date of the Plan, subject to meeting applicable listing requirements. No assurance can be given that a holder of such securities will be able to sell such securities in the future or as to the price at which any sale may occur.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CERTAIN TAX CONSEQUENCES OF THE PLAN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following discussions summarize certain U.S., Irish, Swiss and Bermudian tax consequences expected to result from the implementation of the Plan. These discussions are only for general information purposes and describe only certain tax consequences applicable to the Debtors and to certain Holders of Prepetition Notes Claims and Existing Common Stock. They are not a complete analysis of all tax consequences and, in particular, do not address any tax consequences relating to the Backstop Commitment Agreement, the New Tranche A Senior Unsecured Notes to be acquired pursuant to the exercise of the Subscription Rights or the receipt of property by Holders of Prepetition Notes Claims and Existing Common Stock other than in their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3" w:name="page254"/>
    <w:bookmarkEnd w:id="253"/>
    <w:p>
      <w:pPr>
        <w:ind w:right="60"/>
        <w:spacing w:after="0" w:line="302" w:lineRule="auto"/>
        <w:rPr>
          <w:sz w:val="20"/>
          <w:szCs w:val="20"/>
          <w:color w:val="auto"/>
        </w:rPr>
      </w:pPr>
      <w:r>
        <w:rPr>
          <w:rFonts w:ascii="Arial" w:cs="Arial" w:eastAsia="Arial" w:hAnsi="Arial"/>
          <w:sz w:val="16"/>
          <w:szCs w:val="16"/>
          <w:color w:val="auto"/>
        </w:rPr>
        <w:t>capacity as such pursuant to the Plan (</w:t>
      </w:r>
      <w:r>
        <w:rPr>
          <w:rFonts w:ascii="Arial" w:cs="Arial" w:eastAsia="Arial" w:hAnsi="Arial"/>
          <w:sz w:val="16"/>
          <w:szCs w:val="16"/>
          <w:i w:val="1"/>
          <w:iCs w:val="1"/>
          <w:color w:val="auto"/>
        </w:rPr>
        <w:t>e.g.</w:t>
      </w:r>
      <w:r>
        <w:rPr>
          <w:rFonts w:ascii="Arial" w:cs="Arial" w:eastAsia="Arial" w:hAnsi="Arial"/>
          <w:sz w:val="16"/>
          <w:szCs w:val="16"/>
          <w:color w:val="auto"/>
        </w:rPr>
        <w:t>, these discussions do not discuss the treatment of any commitment fee or similar arrangement or the treatment of consideration received in respect of any new money investment when the right to participate in such new money investment does not itself constitute consideration received by Holders of Prepetition Notes Claims or Existing Common Stock pursuant to the Plan). In addition, these discussions do not address tax consequences that may be relevant to Holders of Claims other than Prepetition Notes Claims or of Equity Interests other than Existing Common Stock.</w:t>
      </w:r>
    </w:p>
    <w:p>
      <w:pPr>
        <w:spacing w:after="0" w:line="154" w:lineRule="exact"/>
        <w:rPr>
          <w:sz w:val="20"/>
          <w:szCs w:val="20"/>
          <w:color w:val="auto"/>
        </w:rPr>
      </w:pPr>
    </w:p>
    <w:p>
      <w:pPr>
        <w:ind w:right="600" w:firstLine="648"/>
        <w:spacing w:after="0" w:line="279" w:lineRule="auto"/>
        <w:rPr>
          <w:sz w:val="20"/>
          <w:szCs w:val="20"/>
          <w:color w:val="auto"/>
        </w:rPr>
      </w:pPr>
      <w:r>
        <w:rPr>
          <w:rFonts w:ascii="Arial" w:cs="Arial" w:eastAsia="Arial" w:hAnsi="Arial"/>
          <w:sz w:val="17"/>
          <w:szCs w:val="17"/>
          <w:color w:val="auto"/>
        </w:rPr>
        <w:t>The following discussions assume that the Internal Reorganizations will occur prior to or on the Effective Date and in accordance with the Description of Reorganization Steps and that Weatherford Parent will continue as the parent of the group following the Effective Date. If any of these assumptions is incorrect or incomplete, or if there is any variation in the implementation of the Restructuring Transactions, including the Internal Reorganizations, or the Plan, the actual tax consequences could differ, perhaps substantially, from those described below.</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TAX CONSEQUENCES OF THE RESTRUCTURING TRANSACTIONS, INCLUDING THE INTERNAL REORGANIZATIONS, AND THE IMPLEMENTATION OF THE PLAN ARE COMPLEX AND THE FOLLOWING DISCUSSIONS DO NOT ADDRESS ALL ASPECTS OF TAXATION THAT MAY BE RELEVANT TO A PARTICULAR HOLDER IN LIGHT OF SUCH HOLDER’S INDIVIDUAL CIRCUMSTANCES. ALL HOLDERS SHOULD CONSULT THEIR TAX ADVISORS REGARDING THE PARTICULAR TAX CONSEQUENCES TO THEM OF THE RESTRUCTURING TRANSACTIONS, INCLUDING THE INTERNAL REORGANIZATIONS, THE IMPLEMENTATION OF THE PLAN AND THE RECEIPT, OWNERSHIP AND DISPOSITION OF PROPERTY AND RIGHTS RECEIVED PURSUANT TO THE PLAN.</w:t>
      </w:r>
    </w:p>
    <w:p>
      <w:pPr>
        <w:spacing w:after="0" w:line="189"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U.S. FEDERAL INCOME TAX CONSEQUENCES OF THE PLAN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following discussion summarizes certain U.S. federal income tax consequences of the Internal Reorganizations and the implementation of the Plan to the Debtors and to U.S. Holders (as defined below) and, to a limited extent, Non-U.S. Holders (as defined below) of Prepetition Notes Claims and Existing Common Stock. This summary is based upon the provisions of the IRC, proposed, temporary and final Treasury regulations (the “</w:t>
      </w:r>
      <w:r>
        <w:rPr>
          <w:rFonts w:ascii="Arial" w:cs="Arial" w:eastAsia="Arial" w:hAnsi="Arial"/>
          <w:sz w:val="17"/>
          <w:szCs w:val="17"/>
          <w:b w:val="1"/>
          <w:bCs w:val="1"/>
          <w:u w:val="single" w:color="auto"/>
          <w:color w:val="auto"/>
        </w:rPr>
        <w:t>Treasury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Regulations</w:t>
      </w:r>
      <w:r>
        <w:rPr>
          <w:rFonts w:ascii="Arial" w:cs="Arial" w:eastAsia="Arial" w:hAnsi="Arial"/>
          <w:sz w:val="17"/>
          <w:szCs w:val="17"/>
          <w:color w:val="auto"/>
        </w:rPr>
        <w:t>”) promulgated under the IRC, judicial decisions, and published administrative rules and pronouncements of the IRS, all as in effect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These authorities are subject to differing interpretations and may be changed, perhaps retroactively, resulting in U.S. federal income tax consequences that differ, perhaps substantially, from those discussed below. Due to the lack of definitive judicial and administrative authority in a number of areas, substantial uncertainty may exist with respect to some of the tax consequences described below. We may seek a private letter ruling from the IRS regarding the application of IRC Section 382(l)(5) (and other matters), which is discussed below, but no assurance can be given that we will request such ruling or, if we do, that the IRS will issue it. We have not obtained, nor do we intend to obtain, any other ruling from the IRS, and no legal opinion of counsel will be rendered, with respect to the statements made in the following summary. No assurance can be given that the IRS will not assert, or that a court would not sustain, a different position than discussed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4" w:name="page255"/>
    <w:bookmarkEnd w:id="254"/>
    <w:p>
      <w:pPr>
        <w:ind w:firstLine="648"/>
        <w:spacing w:after="0" w:line="285" w:lineRule="auto"/>
        <w:rPr>
          <w:sz w:val="20"/>
          <w:szCs w:val="20"/>
          <w:color w:val="auto"/>
        </w:rPr>
      </w:pPr>
      <w:r>
        <w:rPr>
          <w:rFonts w:ascii="Arial" w:cs="Arial" w:eastAsia="Arial" w:hAnsi="Arial"/>
          <w:sz w:val="16"/>
          <w:szCs w:val="16"/>
          <w:color w:val="auto"/>
        </w:rPr>
        <w:t>This summary does not address state, local or non-income tax consequences of the Restructuring Transactions, including the Internal Reorganizations, or the implementation of the Plan, nor does it purport to address all aspects of U.S. federal income taxation that may be relevant to a Holder in light of its individual circumstances or to a Holder that may be subject to special tax rules (such as persons who are related to the Debtors within the meaning of the IRC, persons who actually or constructively own or will own 10% or more (by vote or value) of the equity interests of any Debtor (and any person that is related to such an owner), persons who own or will own 5% or more (by vote or value) of the Equity Interests in Weatherford Parent, persons liable for alternative minimum tax, U.S. Holders whose functional currency is not the U.S. dollar, U.S. expatriates, broker-dealers, banks, mutual funds, insurance companies, financial institutions, small business investment companies, regulated investment companies, tax-exempt organizations, controlled foreign corporations, passive foreign investment companies, partnerships (or other entities or arrangements treated as partnerships or pass-throughs), beneficial owners of partnerships (or other entities or arrangements treated as partnerships or pass-throughs), subchapter S corporations, persons who hold Claims or Equity Interests other than Prepetition Notes Claims or Existing Common Stock, persons who hold Prepetition Notes or Existing Common Stock or will hold consideration received pursuant to the Plan as part of a straddle, hedge, conversion transaction, or other integrated investment, persons subject to special tax accounting rules as a result of any item of gross income with respect to the Prepetition Notes or Existing Common Stock being taken into account in an applicable financial statement, persons using a mark-to-market method of accounting, and Holders of Prepetition Notes Claims or Existing Common Stock who are themselves in bankruptcy). Furthermore, this summary assumes that the Prepetition Notes, Existing Common Stock, and any consideration received pursuant to the Plan, are, or will be (as applicable), held as capital assets within the meaning of Section 1221 of the IRC (generally, property held for investment). This summary also assumes that Prepetition Notes will be respected as debt and Existing Common Stock will be respected as equity for U.S. federal income tax purposes in accordance with their form.</w:t>
      </w:r>
    </w:p>
    <w:p>
      <w:pPr>
        <w:spacing w:after="0" w:line="171"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Weatherford Parent is an Irish public limited company that is a Swiss tax resident. As part of the Internal Reorganizations, Weatherford Parent intends to change its tax residency from Switzerland to Ireland (the “</w:t>
      </w:r>
      <w:r>
        <w:rPr>
          <w:rFonts w:ascii="Arial" w:cs="Arial" w:eastAsia="Arial" w:hAnsi="Arial"/>
          <w:sz w:val="18"/>
          <w:szCs w:val="18"/>
          <w:b w:val="1"/>
          <w:bCs w:val="1"/>
          <w:u w:val="single" w:color="auto"/>
          <w:color w:val="auto"/>
        </w:rPr>
        <w:t>Irish Migration</w:t>
      </w:r>
      <w:r>
        <w:rPr>
          <w:rFonts w:ascii="Arial" w:cs="Arial" w:eastAsia="Arial" w:hAnsi="Arial"/>
          <w:sz w:val="18"/>
          <w:szCs w:val="18"/>
          <w:color w:val="auto"/>
        </w:rPr>
        <w:t>”). The Debtors do not expect to recognize any material gain or loss for U.S. federal income tax purposes as a result of the Irish Migration.</w:t>
      </w:r>
    </w:p>
    <w:p>
      <w:pPr>
        <w:spacing w:after="0" w:line="181" w:lineRule="exact"/>
        <w:rPr>
          <w:sz w:val="20"/>
          <w:szCs w:val="20"/>
          <w:color w:val="auto"/>
        </w:rPr>
      </w:pPr>
    </w:p>
    <w:p>
      <w:pPr>
        <w:ind w:left="1960" w:hanging="655"/>
        <w:spacing w:after="0"/>
        <w:tabs>
          <w:tab w:leader="none" w:pos="196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The U.S. Group Reorganization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U.S. federal income tax purposes, Weatherford Holdings U.S. LLC has elected to be classified as an association taxable as a corporation and is the parent of a group filing consolidated returns (the “</w:t>
      </w:r>
      <w:r>
        <w:rPr>
          <w:rFonts w:ascii="Arial" w:cs="Arial" w:eastAsia="Arial" w:hAnsi="Arial"/>
          <w:sz w:val="17"/>
          <w:szCs w:val="17"/>
          <w:b w:val="1"/>
          <w:bCs w:val="1"/>
          <w:u w:val="single" w:color="auto"/>
          <w:color w:val="auto"/>
        </w:rPr>
        <w:t>U.S. Group</w:t>
      </w:r>
      <w:r>
        <w:rPr>
          <w:rFonts w:ascii="Arial" w:cs="Arial" w:eastAsia="Arial" w:hAnsi="Arial"/>
          <w:sz w:val="17"/>
          <w:szCs w:val="17"/>
          <w:color w:val="auto"/>
        </w:rPr>
        <w:t>”). Weatherford U.S. Holdings, L.L.C. has also elected to be classified as an association taxable as a corporation for U.S. federal income tax purposes and is a direct, wholly-owned subsidiary of Weatherford Holdings U.S. LLC and a member of the U.S. Group. For U.S. federal income tax purposes, Weatherford Delaware is disregarded as an entity separate from Weatherford U.S. Holdings, L.L.C. Prior to the Effective Date and as part of the Internal Reorganizations, Weatherford Holdings U.S. LLC will merge with and into Weatherford U.S. Holdings, L.L.C. in accordance with Delaware law with Weatherford U.S. Holdings, L.L.C. as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5" w:name="page256"/>
    <w:bookmarkEnd w:id="255"/>
    <w:p>
      <w:pPr>
        <w:ind w:right="120"/>
        <w:spacing w:after="0" w:line="256"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b w:val="1"/>
          <w:bCs w:val="1"/>
          <w:u w:val="single" w:color="auto"/>
          <w:color w:val="auto"/>
        </w:rPr>
        <w:t>First U.S. Merger</w:t>
      </w:r>
      <w:r>
        <w:rPr>
          <w:rFonts w:ascii="Arial" w:cs="Arial" w:eastAsia="Arial" w:hAnsi="Arial"/>
          <w:sz w:val="18"/>
          <w:szCs w:val="18"/>
          <w:color w:val="auto"/>
        </w:rPr>
        <w:t>”). Following the First U.S. Merger, Weatherford U.S. Holdings, L.L.C. will merge with and into Weatherford Delaware in accordance with Delaware law with Weatherford Delaware as the surviving entity (the “</w:t>
      </w:r>
      <w:r>
        <w:rPr>
          <w:rFonts w:ascii="Arial" w:cs="Arial" w:eastAsia="Arial" w:hAnsi="Arial"/>
          <w:sz w:val="18"/>
          <w:szCs w:val="18"/>
          <w:b w:val="1"/>
          <w:bCs w:val="1"/>
          <w:u w:val="single" w:color="auto"/>
          <w:color w:val="auto"/>
        </w:rPr>
        <w:t>Second U.S. Merger</w:t>
      </w:r>
      <w:r>
        <w:rPr>
          <w:rFonts w:ascii="Arial" w:cs="Arial" w:eastAsia="Arial" w:hAnsi="Arial"/>
          <w:sz w:val="18"/>
          <w:szCs w:val="18"/>
          <w:color w:val="auto"/>
        </w:rPr>
        <w:t>”). In connection with the Second U.S. Merger, Weatherford Delaware will elect to be classified as an association taxable as a corporation for U.S. federal income tax purposes. The First U.S. Merger and the Second U.S. Merger, together with certain related transactions comprise the “</w:t>
      </w:r>
      <w:r>
        <w:rPr>
          <w:rFonts w:ascii="Arial" w:cs="Arial" w:eastAsia="Arial" w:hAnsi="Arial"/>
          <w:sz w:val="18"/>
          <w:szCs w:val="18"/>
          <w:b w:val="1"/>
          <w:bCs w:val="1"/>
          <w:u w:val="single" w:color="auto"/>
          <w:color w:val="auto"/>
        </w:rPr>
        <w:t>U.S. Group Reorganization</w:t>
      </w:r>
      <w:r>
        <w:rPr>
          <w:rFonts w:ascii="Arial" w:cs="Arial" w:eastAsia="Arial" w:hAnsi="Arial"/>
          <w:sz w:val="18"/>
          <w:szCs w:val="18"/>
          <w:color w:val="auto"/>
        </w:rPr>
        <w:t>.” The Debtors do not expect to recognize any material gain or loss for U.S. federal income tax purposes as a result of the U.S. Group Reorganization or the U.S. Group Reorganization to cause a termination of the existing U.S. Group.</w:t>
      </w:r>
    </w:p>
    <w:p>
      <w:pPr>
        <w:spacing w:after="0" w:line="192" w:lineRule="exact"/>
        <w:rPr>
          <w:sz w:val="20"/>
          <w:szCs w:val="20"/>
          <w:color w:val="auto"/>
        </w:rPr>
      </w:pPr>
    </w:p>
    <w:p>
      <w:pPr>
        <w:ind w:left="1960" w:hanging="655"/>
        <w:spacing w:after="0"/>
        <w:tabs>
          <w:tab w:leader="none" w:pos="196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Application of IRC Section 7874 to Weatherford Parent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the Effective Date, the Reorganized Debtors intend to continue to operate under Weatherford Parent, which is expected to be an Irish tax resident following the Irish Migration described above.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IRS may, however, assert that Weatherford Parent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Weatherford Parent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w:t>
      </w:r>
    </w:p>
    <w:p>
      <w:pPr>
        <w:spacing w:after="0" w:line="188"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if the Third Country Rule, as defined below, applies) of the shares of the foreign acquiring corporation after the acquisition by reason of holding shares in the U.S. acquired corporation (the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Section 7874 Percentage</w:t>
      </w:r>
      <w:r>
        <w:rPr>
          <w:rFonts w:ascii="Arial" w:cs="Arial" w:eastAsia="Arial" w:hAnsi="Arial"/>
          <w:sz w:val="17"/>
          <w:szCs w:val="17"/>
          <w:color w:val="auto"/>
        </w:rPr>
        <w:t>”), and (iii) the foreign corporation’s “expanded affiliated group” does not have substantial business activities in the foreign corporation’s country of organization or incorporation relative to such expanded affiliated group’s worldwide activities. The Treasury Regulations promulgated under IRC Section 7874 (the “</w:t>
      </w:r>
      <w:r>
        <w:rPr>
          <w:rFonts w:ascii="Arial" w:cs="Arial" w:eastAsia="Arial" w:hAnsi="Arial"/>
          <w:sz w:val="17"/>
          <w:szCs w:val="17"/>
          <w:b w:val="1"/>
          <w:bCs w:val="1"/>
          <w:u w:val="single" w:color="auto"/>
          <w:color w:val="auto"/>
        </w:rPr>
        <w:t>Section 7874 Regulations</w:t>
      </w:r>
      <w:r>
        <w:rPr>
          <w:rFonts w:ascii="Arial" w:cs="Arial" w:eastAsia="Arial" w:hAnsi="Arial"/>
          <w:sz w:val="17"/>
          <w:szCs w:val="17"/>
          <w:color w:val="auto"/>
        </w:rPr>
        <w:t>”) generally provide that if (i) there is an acquisition of substantially all of the assets held directly or indirectly by a U.S. corporation after which the shareholders of the acquired U.S. corporation hold, by vote or value, at least 60% of the shares of the foreign acquiring corporation by reason of holding shares in the U.S. acquired corporation, and (ii) in a related acquisition, such foreign acquiring corporation acquires another foreign corporation exceeding a certain threshold value, and the foreign acquiring corporation is not tax resident in the foreign country in which the acquired foreign corporation was tax resident prior to the transactions, then the foreign acquiring corporation will be treated as a domestic corporation for U.S. federal income tax purposes (the “</w:t>
      </w:r>
      <w:r>
        <w:rPr>
          <w:rFonts w:ascii="Arial" w:cs="Arial" w:eastAsia="Arial" w:hAnsi="Arial"/>
          <w:sz w:val="17"/>
          <w:szCs w:val="17"/>
          <w:b w:val="1"/>
          <w:bCs w:val="1"/>
          <w:u w:val="single" w:color="auto"/>
          <w:color w:val="auto"/>
        </w:rPr>
        <w:t>Third Country Rule</w:t>
      </w:r>
      <w:r>
        <w:rPr>
          <w:rFonts w:ascii="Arial" w:cs="Arial" w:eastAsia="Arial" w:hAnsi="Arial"/>
          <w:sz w:val="17"/>
          <w:szCs w:val="17"/>
          <w:color w:val="auto"/>
        </w:rPr>
        <w:t>”). For purposes of IRC Section 7874, multiple acquisitions of U.S. corporations by a foreign corporation, if treated as part of a plan or series of related transactions, may be treated as a single acquisition. If multiple acquisitions of U.S. corporations are treated as a single acquisition, all shareholders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6" w:name="page257"/>
    <w:bookmarkEnd w:id="256"/>
    <w:p>
      <w:pPr>
        <w:ind w:right="140"/>
        <w:spacing w:after="0" w:line="264" w:lineRule="auto"/>
        <w:rPr>
          <w:sz w:val="20"/>
          <w:szCs w:val="20"/>
          <w:color w:val="auto"/>
        </w:rPr>
      </w:pPr>
      <w:r>
        <w:rPr>
          <w:rFonts w:ascii="Arial" w:cs="Arial" w:eastAsia="Arial" w:hAnsi="Arial"/>
          <w:sz w:val="18"/>
          <w:szCs w:val="18"/>
          <w:color w:val="auto"/>
        </w:rPr>
        <w:t>the acquired U.S. corporations would be aggregated for purposes of calculating the Section 7874 Percentage. Moreover, certain acquisitions of U.S. corporations over a 36-month period will impact the Section 7874 Percentage, making it more likely that IRC Section 7874 will apply to a foreign acquiring corporation.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Section 7874 Percentage is at least 60% but less than 80% and the Third Country Rule does not apply, the acquiring foreign corporation and its affiliates may be subject to adverse tax consequences including, but not limited to, restrictions on the use of tax attributes with respect to “inversion gain” recognized over a 10-year period following the Effective Date and disqualification of dividends paid from preferential “qualified dividend income” rates. Furthermore, certain “disqualified individuals” (including officers and directors of a U.S. corporation) may be subject to an excise tax on certain stock-based compensation.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Section 7874 Regulations treat certain creditor claims against a U.S. corporation in a case under Chapter 11 of the Bankruptcy Code as stock for purposes of IRC Section 7874. The Section 7874 Regulations also exclude “disqualified stock” from the calculation of the Section 7874 Percentage. “Disqualified stock” is stock issued by a foreign acquiring corporation in exchange for “nonqualified property,” which includes certain obligations issued by a member of an “expanded affiliated group”, along with certain other property. The Section 7874 Regulations are complex and include other rules that could impact the calculation of the Section 7874 Percentage.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Weatherford Parent and its “expanded affiliated group” are not expected to have substantial business activities in Ireland relative to the expanded affiliated group’s worldwide activities for purposes of IRC Section 7874. It is expected that the New Common Stock issued in exchange for Prepetition Notes Claims with respect to Prepetition Notes issued by Weatherford Bermuda may constitute “disqualified stock.”</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Although it is not free from doubt, based upon the existing capital structure of Weatherford Delaware, which is owned by Weatherford Parent and its affiliates, the Debtors believe that as a result of the implementation of the Plan and the Restructuring Transactions, Weatherford Parent should not be treated as acquiring directly or indirectly substantially all of the properties of a U.S. corporation and, as a result, Weatherford Parent is not expected to be treated as a U.S. corporation or otherwise subject to the adverse tax consequences of IRC Section 7874. If it is determined that Weatherford Parent has acquired directly or indirectly substantially all of the properties of Weatherford Delaware and certain Holders of Allowed Claims of Weatherford Delaware and its direct or indirect subsidiaries own 80% (or 60% if the Third Country Rule applies) or more by vote of value of Weatherford Parent, as determined under IRC Section 7874, by reason of holding Claims against Weatherford Delaware and its direct or indirect subsidiaries prior to the Restructuring Transactions, Weatherford Parent would be treated as a U.S. corporation for U.S. federal income tax purposes. If Weatherford Parent is treated as a U.S. corporation for U.S. federal income tax purposes, the taxable year of Weatherford Delaware’s consolidated group could end on or prior to the Effective Date, which could result in additional adverse tax consequences. In addition, although Weatherford Parent would be treated as a U.S. corporation for U.S. federal income tax purposes, it would generally also be considered an Irish tax resident for Irish tax and other non-U.S. tax purposes. If it is determined that Weatherford Parent has acquired directly or indirectly substantially all of the properties of Weatherford Delaware and certain Holders of Allowed Claims of Weatherford Delaware and its direct or indirect subsidiaries own 60% 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7" w:name="page258"/>
    <w:bookmarkEnd w:id="257"/>
    <w:p>
      <w:pPr>
        <w:jc w:val="both"/>
        <w:ind w:right="240"/>
        <w:spacing w:after="0" w:line="264" w:lineRule="auto"/>
        <w:rPr>
          <w:sz w:val="20"/>
          <w:szCs w:val="20"/>
          <w:color w:val="auto"/>
        </w:rPr>
      </w:pPr>
      <w:r>
        <w:rPr>
          <w:rFonts w:ascii="Arial" w:cs="Arial" w:eastAsia="Arial" w:hAnsi="Arial"/>
          <w:sz w:val="18"/>
          <w:szCs w:val="18"/>
          <w:color w:val="auto"/>
        </w:rPr>
        <w:t>but less than 80%, by vote or value of Weatherford Parent by reason of holding Claims against Weatherford Delaware and its direct or indirect subsidiaries prior to the Restructuring Transactions (and the Third Country Rule does not apply), Weatherford Parent would be respected as a non-U.S. corporation but IRC Section 7874 would apply to cause certain adverse U.S. federal income tax consequences.</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IRC Section 7874 could also apply to treat Weatherford Parent as a U.S. corporation, or otherwise impose adverse tax consequences to Weatherford Parent and its affiliates, if Weatherford Parent is treated as acquiring, as a result of the Internal Reorganizations, substantially all of the assets held directly or indirectly by a U.S. corporation, notwithstanding that such U.S. corporation was already a direct or indirect affiliate of Weatherford Parent during the period before the Internal Reorganizations.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Although it is not free from doubt, the Debtors believe that as a result of the Internal Reorganizations, Weatherford Parent should not be treated as an acquiring directly or indirectly substantially all of the properties of a U.S. corporation and, as a result, Weatherford Parent is not expected to be treated as a U.S. corporation or otherwise subject to the adverse tax consequences of IRC Section 7874.</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above determinations, however, are subject to detailed regulations and administrative guidance, the application of which is uncertain in numerous respects (and would be impacted by changes in such regulations) and are subject to factual uncertainties. No assurance can be given that the IRS would not take a contrary position regarding IRC Section 7874’s application to Weatherford Parent or that such position, if asserted, would not be sustained. Accordingly, holders of Allowed Claims and New Common Stock should contact their own tax advisors regarding IRC Section 7874’s potential application of the transactions contemplated by the Plan, the Restructuring and the Internal Reorganizations.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discussion of certain U.S. federal income tax consequences assumes that the transactions discussed in this Disclosure Statement do not cause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Weatherford Parent to be treated as a U.S. corporation pursuant to IRC Section 7874 or otherwise subject to adverse tax consequences under IRC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7874. The law and the Treasury Regulations promulgated under IRC Section 7874 are, however, unclear and there can be no assurance that the IRS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agree with this conclusion.</w:t>
      </w:r>
    </w:p>
    <w:p>
      <w:pPr>
        <w:spacing w:after="0" w:line="211" w:lineRule="exact"/>
        <w:rPr>
          <w:sz w:val="20"/>
          <w:szCs w:val="20"/>
          <w:color w:val="auto"/>
        </w:rPr>
      </w:pPr>
    </w:p>
    <w:p>
      <w:pPr>
        <w:ind w:left="1960" w:hanging="655"/>
        <w:spacing w:after="0"/>
        <w:tabs>
          <w:tab w:leader="none" w:pos="196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Cancellation of Indebtedness Income and Reduction of Tax Attributes</w:t>
      </w:r>
    </w:p>
    <w:p>
      <w:pPr>
        <w:spacing w:after="0" w:line="2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Weatherford Delaware will realize cancellation of indebtedness (“</w:t>
      </w:r>
      <w:r>
        <w:rPr>
          <w:rFonts w:ascii="Arial" w:cs="Arial" w:eastAsia="Arial" w:hAnsi="Arial"/>
          <w:sz w:val="18"/>
          <w:szCs w:val="18"/>
          <w:b w:val="1"/>
          <w:bCs w:val="1"/>
          <w:u w:val="single" w:color="auto"/>
          <w:color w:val="auto"/>
        </w:rPr>
        <w:t>COD</w:t>
      </w:r>
      <w:r>
        <w:rPr>
          <w:rFonts w:ascii="Arial" w:cs="Arial" w:eastAsia="Arial" w:hAnsi="Arial"/>
          <w:sz w:val="18"/>
          <w:szCs w:val="18"/>
          <w:color w:val="auto"/>
        </w:rPr>
        <w:t>”) income when the Plan is consummated. Although not entirely clear, Weatherford Delaware believes that the amount of COD income it realizes should equal the excess of the adjusted issue price of the Prepetition Notes issued by Weatherford Delaware over the sum of (i) the issue price of the New Tranche B Senior Unsecured Notes issued by Weatherford Delaware (the “</w:t>
      </w:r>
      <w:r>
        <w:rPr>
          <w:rFonts w:ascii="Arial" w:cs="Arial" w:eastAsia="Arial" w:hAnsi="Arial"/>
          <w:sz w:val="18"/>
          <w:szCs w:val="18"/>
          <w:b w:val="1"/>
          <w:bCs w:val="1"/>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Delaware Notes</w:t>
      </w:r>
      <w:r>
        <w:rPr>
          <w:rFonts w:ascii="Arial" w:cs="Arial" w:eastAsia="Arial" w:hAnsi="Arial"/>
          <w:sz w:val="18"/>
          <w:szCs w:val="18"/>
          <w:color w:val="auto"/>
        </w:rPr>
        <w:t>”) and (ii) the fair market value of the New Common Stock, in each case, received by Holders on account of their Allowed Prepetition Notes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respect of the Prepetition Notes issued by Weatherford Delaware. The amount of COD income that will be realized by Weatherford Delaware is uncertain because, among other things, it will depend in part on the fair market value of the New Common Stock and the issue price of the New Delaware Notes distributed under the Plan on the Effective Date.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8" w:name="page259"/>
    <w:bookmarkEnd w:id="258"/>
    <w:p>
      <w:pPr>
        <w:ind w:right="40" w:firstLine="648"/>
        <w:spacing w:after="0" w:line="257" w:lineRule="auto"/>
        <w:rPr>
          <w:sz w:val="20"/>
          <w:szCs w:val="20"/>
          <w:color w:val="auto"/>
        </w:rPr>
      </w:pPr>
      <w:r>
        <w:rPr>
          <w:rFonts w:ascii="Arial" w:cs="Arial" w:eastAsia="Arial" w:hAnsi="Arial"/>
          <w:sz w:val="18"/>
          <w:szCs w:val="18"/>
          <w:color w:val="auto"/>
        </w:rPr>
        <w:t>Under IRC Section 108, COD income realized by a debtor will be excluded from gross income if the discharge of debt occurs in a case brought under the Bankruptcy Code, the debtor is under the court’s jurisdiction in such case and the discharge is granted by the court or is pursuant to a plan approved by the court (the “</w:t>
      </w:r>
      <w:r>
        <w:rPr>
          <w:rFonts w:ascii="Arial" w:cs="Arial" w:eastAsia="Arial" w:hAnsi="Arial"/>
          <w:sz w:val="18"/>
          <w:szCs w:val="18"/>
          <w:b w:val="1"/>
          <w:bCs w:val="1"/>
          <w:u w:val="single" w:color="auto"/>
          <w:color w:val="auto"/>
        </w:rPr>
        <w:t>Bankruptcy Exception</w:t>
      </w:r>
      <w:r>
        <w:rPr>
          <w:rFonts w:ascii="Arial" w:cs="Arial" w:eastAsia="Arial" w:hAnsi="Arial"/>
          <w:sz w:val="18"/>
          <w:szCs w:val="18"/>
          <w:color w:val="auto"/>
        </w:rPr>
        <w:t>”). Because Weatherford Delaware is in bankruptcy although it is not free from doubt, the Debtors believe that the Bankruptcy Exception should apply and, as a result, that Weatherford Delaware should be entitled to exclude from gross income any COD income realized as a result of the implementation of the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IRC Section 108(b), a debtor that excludes COD income from gross income under the Bankruptcy Exception generally must reduce certain tax attributes by the amount of the excluded COD income. Attributes subject to reduction include net operating losses (“</w:t>
      </w:r>
      <w:r>
        <w:rPr>
          <w:rFonts w:ascii="Arial" w:cs="Arial" w:eastAsia="Arial" w:hAnsi="Arial"/>
          <w:sz w:val="16"/>
          <w:szCs w:val="16"/>
          <w:b w:val="1"/>
          <w:bCs w:val="1"/>
          <w:u w:val="single" w:color="auto"/>
          <w:color w:val="auto"/>
        </w:rPr>
        <w:t>NOLs</w:t>
      </w:r>
      <w:r>
        <w:rPr>
          <w:rFonts w:ascii="Arial" w:cs="Arial" w:eastAsia="Arial" w:hAnsi="Arial"/>
          <w:sz w:val="16"/>
          <w:szCs w:val="16"/>
          <w:color w:val="auto"/>
        </w:rPr>
        <w:t>”), NOL carryforwards and certain other losses, credits and carryforwards, and the debtor’s tax basis in its assets (including stock of subsidiaries). In the case of a group of corporations filing a consolidated return, such as the U.S. Group, the attribute reduction rules apply first to the separate attributes of or attributable to the particular corporation whose debt is being discharged, and then, if necessary, to certain attributes of other members of the group. Accordingly, COD income of a debtor would result first in the reduction of any NOLs and other attributes, including asset basis, of or attributable to such debtor, and then, potentially, of consolidated NOLs and/or basis of or attributable to other members of the group. The reduction in a debtor’s tax basis in its assets generally does not have to exceed the excess of (i) its tax basis in assets held immediately after the discharge of indebtedness over (ii) the amount of liabilities remaining immediately after the discharge of indebtedness (the “</w:t>
      </w:r>
      <w:r>
        <w:rPr>
          <w:rFonts w:ascii="Arial" w:cs="Arial" w:eastAsia="Arial" w:hAnsi="Arial"/>
          <w:sz w:val="16"/>
          <w:szCs w:val="16"/>
          <w:b w:val="1"/>
          <w:bCs w:val="1"/>
          <w:u w:val="single" w:color="auto"/>
          <w:color w:val="auto"/>
        </w:rPr>
        <w:t>Liability Floor</w:t>
      </w:r>
      <w:r>
        <w:rPr>
          <w:rFonts w:ascii="Arial" w:cs="Arial" w:eastAsia="Arial" w:hAnsi="Arial"/>
          <w:sz w:val="16"/>
          <w:szCs w:val="16"/>
          <w:color w:val="auto"/>
        </w:rPr>
        <w:t>”). NOLs for the taxable year of the discharge and NOL carryovers to such year generally are the first attributes subject to reduction. However, a debtor may elect under IRC Section 108(b)(5) (the “</w:t>
      </w:r>
      <w:r>
        <w:rPr>
          <w:rFonts w:ascii="Arial" w:cs="Arial" w:eastAsia="Arial" w:hAnsi="Arial"/>
          <w:sz w:val="16"/>
          <w:szCs w:val="16"/>
          <w:b w:val="1"/>
          <w:bCs w:val="1"/>
          <w:u w:val="single" w:color="auto"/>
          <w:color w:val="auto"/>
        </w:rPr>
        <w:t>Section 108(b)(5) Election</w:t>
      </w:r>
      <w:r>
        <w:rPr>
          <w:rFonts w:ascii="Arial" w:cs="Arial" w:eastAsia="Arial" w:hAnsi="Arial"/>
          <w:sz w:val="16"/>
          <w:szCs w:val="16"/>
          <w:color w:val="auto"/>
        </w:rPr>
        <w:t>”) to reduce its basis in its depreciable property first. If a debtor makes a Section 108(b)(5) Election, the Liability Floor does not apply to the reduction in basis of depreciable property.</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tax periods through the tax year ending December 31, 2017, the U.S. Group reported on its consolidated federal income tax return approximately $2 billion of consolidated NOLs and NOL carryforwards, of which approximately 85% will be allocable to Weatherford Delaware. The U.S. Group likely generated additional NOLs for the tax year ending December 31, 2018. However, the amount of the U.S. Group’s 2018 and 2019 NOLs, if any, will not be determined until it prepares its federal income tax return for such period. Moreover, the U.S. Group’s NOLs are subject to audit and possible challenge by the IRS. Accordingly, the amount of the U.S. Group’s NOLs ultimately may vary from the amount set forth above.</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Current estimates indicate that the application of IRC Section 108(b) (assuming no Section 108(b)(5) Election is made) will result in the reduction of a portion of the U.S. Group’s consolidated NOLs that are allocable to Weatherford Delaware, but will not result in a reduction in the U.S. Group’s consolidated NOLs that are allocable to other members or the members’ basis in their assets. However, the ultimate effect of the attribute reduction rules is uncertain because, among other things, it will depend on the amount of COD income realized by Weatherford Delaware.</w:t>
      </w:r>
    </w:p>
    <w:p>
      <w:pPr>
        <w:spacing w:after="0" w:line="171" w:lineRule="exact"/>
        <w:rPr>
          <w:sz w:val="20"/>
          <w:szCs w:val="20"/>
          <w:color w:val="auto"/>
        </w:rPr>
      </w:pPr>
    </w:p>
    <w:p>
      <w:pPr>
        <w:ind w:left="1960" w:hanging="655"/>
        <w:spacing w:after="0"/>
        <w:tabs>
          <w:tab w:leader="none" w:pos="196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Section 382 Limitation on Net Operating Losses and Built-In Losses</w:t>
      </w:r>
    </w:p>
    <w:p>
      <w:pPr>
        <w:spacing w:after="0" w:line="225"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Under IRC Section 382, if a corporation or a consolidated group of corporations with NOLs, interest deductions suspended under IRC Section 163(j) (collectively with NOLs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59" w:name="page260"/>
    <w:bookmarkEnd w:id="259"/>
    <w:p>
      <w:pPr>
        <w:spacing w:after="0" w:line="274" w:lineRule="auto"/>
        <w:rPr>
          <w:sz w:val="20"/>
          <w:szCs w:val="20"/>
          <w:color w:val="auto"/>
        </w:rPr>
      </w:pPr>
      <w:r>
        <w:rPr>
          <w:rFonts w:ascii="Arial" w:cs="Arial" w:eastAsia="Arial" w:hAnsi="Arial"/>
          <w:sz w:val="17"/>
          <w:szCs w:val="17"/>
          <w:color w:val="auto"/>
        </w:rPr>
        <w:t>certain other tax attributes, the “</w:t>
      </w:r>
      <w:r>
        <w:rPr>
          <w:rFonts w:ascii="Arial" w:cs="Arial" w:eastAsia="Arial" w:hAnsi="Arial"/>
          <w:sz w:val="17"/>
          <w:szCs w:val="17"/>
          <w:b w:val="1"/>
          <w:bCs w:val="1"/>
          <w:u w:val="single" w:color="auto"/>
          <w:color w:val="auto"/>
        </w:rPr>
        <w:t>Pre-Change Tax Attributes</w:t>
      </w:r>
      <w:r>
        <w:rPr>
          <w:rFonts w:ascii="Arial" w:cs="Arial" w:eastAsia="Arial" w:hAnsi="Arial"/>
          <w:sz w:val="17"/>
          <w:szCs w:val="17"/>
          <w:color w:val="auto"/>
        </w:rPr>
        <w:t>”) or built-in losses (a “</w:t>
      </w:r>
      <w:r>
        <w:rPr>
          <w:rFonts w:ascii="Arial" w:cs="Arial" w:eastAsia="Arial" w:hAnsi="Arial"/>
          <w:sz w:val="17"/>
          <w:szCs w:val="17"/>
          <w:b w:val="1"/>
          <w:bCs w:val="1"/>
          <w:u w:val="single" w:color="auto"/>
          <w:color w:val="auto"/>
        </w:rPr>
        <w:t>loss corporation</w:t>
      </w:r>
      <w:r>
        <w:rPr>
          <w:rFonts w:ascii="Arial" w:cs="Arial" w:eastAsia="Arial" w:hAnsi="Arial"/>
          <w:sz w:val="17"/>
          <w:szCs w:val="17"/>
          <w:color w:val="auto"/>
        </w:rPr>
        <w:t>”) undergoes an “ownership change,” the loss corporation’s use of its Pre-Change Tax Attributes and recognized built-in losses (“</w:t>
      </w:r>
      <w:r>
        <w:rPr>
          <w:rFonts w:ascii="Arial" w:cs="Arial" w:eastAsia="Arial" w:hAnsi="Arial"/>
          <w:sz w:val="17"/>
          <w:szCs w:val="17"/>
          <w:b w:val="1"/>
          <w:bCs w:val="1"/>
          <w:u w:val="single" w:color="auto"/>
          <w:color w:val="auto"/>
        </w:rPr>
        <w:t>RBILs</w:t>
      </w:r>
      <w:r>
        <w:rPr>
          <w:rFonts w:ascii="Arial" w:cs="Arial" w:eastAsia="Arial" w:hAnsi="Arial"/>
          <w:sz w:val="17"/>
          <w:szCs w:val="17"/>
          <w:color w:val="auto"/>
        </w:rPr>
        <w:t>”) generally will be subject to an annual limitation in the post-change period. In general, an “ownership change” occurs if the percentage of the value of the loss corporation’s stock owned by one or more direct or indirect “five percent shareholders” increases by more than fifty percentage points over the lowest percentage of value owned by the five percent shareholders at any time during the applicable testing period (an “</w:t>
      </w:r>
      <w:r>
        <w:rPr>
          <w:rFonts w:ascii="Arial" w:cs="Arial" w:eastAsia="Arial" w:hAnsi="Arial"/>
          <w:sz w:val="17"/>
          <w:szCs w:val="17"/>
          <w:b w:val="1"/>
          <w:bCs w:val="1"/>
          <w:u w:val="single" w:color="auto"/>
          <w:color w:val="auto"/>
        </w:rPr>
        <w:t>Ownership Change</w:t>
      </w:r>
      <w:r>
        <w:rPr>
          <w:rFonts w:ascii="Arial" w:cs="Arial" w:eastAsia="Arial" w:hAnsi="Arial"/>
          <w:sz w:val="17"/>
          <w:szCs w:val="17"/>
          <w:color w:val="auto"/>
        </w:rPr>
        <w:t>”). The testing period generally is the shorter of (i) the three-year period preceding the testing date or (ii) the period of time since the most recent Ownership Change of the corporation.</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Subject to the special bankruptcy rules discussed below, the amount of the annual limitation on a loss corporation’s use of its Pre-Change Tax Attributes and RBILs is generally equal to the product of the applicable long-term tax-exempt rate (as published by the IRS for the month in which the Ownership Change occurs) and the value of the loss corporation’s outstanding stock immediately before the Ownership Change (excluding certain capital contributions). If a loss corporation has a net unrealized built-in gain (a “</w:t>
      </w:r>
      <w:r>
        <w:rPr>
          <w:rFonts w:ascii="Arial" w:cs="Arial" w:eastAsia="Arial" w:hAnsi="Arial"/>
          <w:sz w:val="18"/>
          <w:szCs w:val="18"/>
          <w:b w:val="1"/>
          <w:bCs w:val="1"/>
          <w:u w:val="single" w:color="auto"/>
          <w:color w:val="auto"/>
        </w:rPr>
        <w:t>NUBIG</w:t>
      </w:r>
      <w:r>
        <w:rPr>
          <w:rFonts w:ascii="Arial" w:cs="Arial" w:eastAsia="Arial" w:hAnsi="Arial"/>
          <w:sz w:val="18"/>
          <w:szCs w:val="18"/>
          <w:color w:val="auto"/>
        </w:rPr>
        <w:t>”) immediately prior to the Ownership Change, the annual limitation may be increased as certain gains are recognized during the five-year period beginning on the date of the Ownership Change (the “</w:t>
      </w:r>
      <w:r>
        <w:rPr>
          <w:rFonts w:ascii="Arial" w:cs="Arial" w:eastAsia="Arial" w:hAnsi="Arial"/>
          <w:sz w:val="18"/>
          <w:szCs w:val="18"/>
          <w:b w:val="1"/>
          <w:bCs w:val="1"/>
          <w:u w:val="single" w:color="auto"/>
          <w:color w:val="auto"/>
        </w:rPr>
        <w:t>Recognition Period</w:t>
      </w:r>
      <w:r>
        <w:rPr>
          <w:rFonts w:ascii="Arial" w:cs="Arial" w:eastAsia="Arial" w:hAnsi="Arial"/>
          <w:sz w:val="18"/>
          <w:szCs w:val="18"/>
          <w:color w:val="auto"/>
        </w:rPr>
        <w:t>”). If a loss corporation has a net unrealized built-in loss (a “</w:t>
      </w:r>
      <w:r>
        <w:rPr>
          <w:rFonts w:ascii="Arial" w:cs="Arial" w:eastAsia="Arial" w:hAnsi="Arial"/>
          <w:sz w:val="18"/>
          <w:szCs w:val="18"/>
          <w:b w:val="1"/>
          <w:bCs w:val="1"/>
          <w:u w:val="single" w:color="auto"/>
          <w:color w:val="auto"/>
        </w:rPr>
        <w:t>NUBIL</w:t>
      </w:r>
      <w:r>
        <w:rPr>
          <w:rFonts w:ascii="Arial" w:cs="Arial" w:eastAsia="Arial" w:hAnsi="Arial"/>
          <w:sz w:val="18"/>
          <w:szCs w:val="18"/>
          <w:color w:val="auto"/>
        </w:rPr>
        <w:t>”) immediately prior to the Ownership Change, certain losses recognized during the Recognition Period also would be subject to the annual limitation and thus may reduce the amount of Pre-Change Tax Attributes that could be used by the loss corporation during the Recognition Period.</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NUBIG or NUBIL is generally the difference immediately prior to the Ownership Change between the fair market value of a loss corporation’s assets (or, if greater, the relevant amount of a loss corporation’s relevant liabilities) and its tax basis in the assets, subject to a statutorily-defined threshold amount. The amount of a loss corporation’s NUBIG or NUBIL must be adjusted for built-in items of income or deduction that would be attributable to a pre-change period if recognized during the Recognition Period. The NUBIG or NUBIL of a consolidated group generally is calculated on a consolidated basis, subject to special rules.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a loss corporation has a NUBIG immediately prior to an Ownership Change, any recognized built-in gains (“</w:t>
      </w:r>
      <w:r>
        <w:rPr>
          <w:rFonts w:ascii="Arial" w:cs="Arial" w:eastAsia="Arial" w:hAnsi="Arial"/>
          <w:sz w:val="17"/>
          <w:szCs w:val="17"/>
          <w:b w:val="1"/>
          <w:bCs w:val="1"/>
          <w:u w:val="single" w:color="auto"/>
          <w:color w:val="auto"/>
        </w:rPr>
        <w:t>RBIGs</w:t>
      </w:r>
      <w:r>
        <w:rPr>
          <w:rFonts w:ascii="Arial" w:cs="Arial" w:eastAsia="Arial" w:hAnsi="Arial"/>
          <w:sz w:val="17"/>
          <w:szCs w:val="17"/>
          <w:color w:val="auto"/>
        </w:rPr>
        <w:t>”) will increase the annual limitation in the taxable year the RBIGs are recognized. An RBIG generally is any gain (and certain income) with respect to an asset held immediately before the date of the Ownership Change that is recognized during the Recognition Period to the extent of the fair market value of the asset over its tax basis immediately prior to the Ownership Change. The annual limitation, however, will not be increased to the extent that the aggregate amount of all RBIGs that are recognized during the Recognition Period exceed the NUBIG. On the other hand, if a loss corporation has a NUBIL immediately prior to an Ownership Change, any RBILs will be subject to the annual limitation in the same manner as Pre-Change Tax Attributes. An RBIL generally is any loss (and certain deductions) with respect to an asset held immediately before the date of the Ownership Change that is recognized during the Recognition Period to the extent of the excess of the tax basis of the asset over its fair market value immediately prior to the Ownership Change. Once the aggregate amount of all RBILs that are recognized during the Recognition Period exceeds the NUBIL, such excess RBILs are not subject to the annual limitation. RBIGs and RBILs may be recognized during the Recognition Period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8"/>
          <w:szCs w:val="18"/>
          <w:color w:val="auto"/>
        </w:rPr>
        <w:t>depreciable and amortizable assets that are not actually disposed of by the loss corporation. It is uncertain whether Weatherford Delaware will have a NUBIG or NUBIL on the Effective Date.</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consummation of the Plan is expected to result in an Ownership Change of Weatherford Delaware and all other members of the U.S. Group. With respect to Weatherford Delaware, because the Ownership Change will occur in a case brought under the Bankruptcy Code, although it is not free from doubt, the Debtors believe that one of the following two special rules should apply in determining Weatherford Delaware’s ability to utilize in post-Effective Date tax periods Pre-Change Tax Attributes and RBILs attributable to tax periods preceding the Effective Date.</w:t>
      </w:r>
    </w:p>
    <w:p>
      <w:pPr>
        <w:spacing w:after="0" w:line="17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Under IRC Section 382(l)(5), an Ownership Change in bankruptcy will not result in any annual limitation on the debtor’s Pre-Change Tax Attributes and RBILs arising during the Recognition Period if the stockholders and qualified creditors of the debtor receive at least 50% of the stock (by vote and value) of the reorganized debtor (or of a controlling corporation if also in bankruptcy) in the bankruptcy reorganization as a result of being shareholders or creditors of the debtor. Instead, the debtor’s pre-change NOLs are reduced by the amount of any interest deductions with respect to debt converted into stock in the bankruptcy reorganization that were allowed in the three full taxable years preceding the taxable year in which the Ownership Change occurs and in the part of the taxable year prior to and including the date of the Ownership Change attributable to the bankruptcy reorganization (the “</w:t>
      </w:r>
      <w:r>
        <w:rPr>
          <w:rFonts w:ascii="Arial" w:cs="Arial" w:eastAsia="Arial" w:hAnsi="Arial"/>
          <w:sz w:val="18"/>
          <w:szCs w:val="18"/>
          <w:b w:val="1"/>
          <w:bCs w:val="1"/>
          <w:u w:val="single" w:color="auto"/>
          <w:color w:val="auto"/>
        </w:rPr>
        <w:t>Plan Ownership Change</w:t>
      </w:r>
      <w:r>
        <w:rPr>
          <w:rFonts w:ascii="Arial" w:cs="Arial" w:eastAsia="Arial" w:hAnsi="Arial"/>
          <w:sz w:val="18"/>
          <w:szCs w:val="18"/>
          <w:color w:val="auto"/>
        </w:rPr>
        <w:t>”). If any Pre-Change Tax Attributes and built-in losses of the debtor already are subject to an annual usage limitation under IRC Section 382 at the time of an Ownership Change, subject to IRC Section 382(l)(5), those Pre-Change Tax Attributes and built-in losses generally will continue to be subject to such limitation.</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qualified creditor is any creditor who has held the debt of the debtor for at least eighteen months prior to the petition date or who has held “ordinary course indebtedness” that has been owned at all times by such creditor. A creditor who does not become a direct or indirect five percent shareholder of the reorganized debtor (or of a controlling corporation if also in bankruptcy) generally may be treated by the debtor as having always held any debt owned immediately before the Ownership Change, unless the creditor’s participation in formulating the plan of reorganization makes evident to the debtor that the creditor has not owned the debt for the requisite period.</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debtor may elect not to apply IRC Section 382(l)(5) to an Ownership Change that otherwise satisfies its requirements. This election must be made on the debtor’s federal income tax return for the taxable year in which the Ownership Change occurs. If IRC Section 382(l)(5) applies to an Ownership Change (and the debtor does not elect out), any subsequent Ownership Change of the debtor within the two-year period following the date of the Plan Ownership Change will result in the debtor being unable to use any pre-change losses in any taxable year ending after such subsequent Ownership Change to offset future taxable income.</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If an Ownership Change pursuant to a bankruptcy plan does not satisfy the requirements of IRC Section 382(l)(5), or if a debtor elects not to apply IRC Section 382(l)(5), the debtor’s use of its Pre-Change Tax Attributes and RBILs arising during the Recognition Period will be subject to an annual limitation as determined under IRC Section 382(l)(6). In such case, the amount of the annual limitation generally will be equal to the product of the applicable long-term tax-exempt rate (2.19% for June 2019) and the value of the debtor’s outstanding stock immediately after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1" w:name="page262"/>
    <w:bookmarkEnd w:id="261"/>
    <w:p>
      <w:pPr>
        <w:spacing w:after="0" w:line="259" w:lineRule="auto"/>
        <w:rPr>
          <w:sz w:val="20"/>
          <w:szCs w:val="20"/>
          <w:color w:val="auto"/>
        </w:rPr>
      </w:pPr>
      <w:r>
        <w:rPr>
          <w:rFonts w:ascii="Arial" w:cs="Arial" w:eastAsia="Arial" w:hAnsi="Arial"/>
          <w:sz w:val="18"/>
          <w:szCs w:val="18"/>
          <w:color w:val="auto"/>
        </w:rPr>
        <w:t>bankruptcy reorganization, provided such value may not exceed the value of the debtor’s gross assets immediately before the Ownership Change, subject to certain adjustments. If any Pre-Change Tax Attributes and built-in losses of the debtor already are subject to an annual limitation at the time of an Ownership Change subject to IRC Section 382(l)(6), those Pre-Change Tax Attributes and built-in losses will generally be subject to the lower of the two annual limitations.</w:t>
      </w:r>
    </w:p>
    <w:p>
      <w:pPr>
        <w:spacing w:after="0" w:line="18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Debtors believe that the application of IRC Section 382(l)(5) could result in significant future savings and are seeking to protect the continued existence of their significant tax attributes (including net operating losses ranging from $1.5 billion to $2 billion that are expected to remain after taking into account the impact of the Restructuring Transactions) without annual limitations on the use of its net operating losses and NUBIL pursuant to IRC Section 382(l)(5). Accordingly, the Debtors will file a First Day Motion to seek an order establishing a record date and sell-down procedures for trading claims. However, it is uncertain whether the Ownership Change expected to result from the consummation of the Plan may satisfy all of the requirements of IRC Section 382(l)(5), as such determination will depend on several factors, including the extent to which Holders of the Prepetition Notes immediately prior to consummation of the Plan may be treated as qualified creditors of Weatherford Delaware for purposes of IRC Section 382(l)(5) and whether the stockholders and qualified creditors of Weatherford Delaware will be treated as receiving at least 50% of the stock (by vote and value) of Weatherford Delaware (or Weatherford Parent) as a result of being creditors or direct or indirect shareholders of Weatherford Delaware. The Debtors may seek a private letter ruling from the IRS regarding the application of IRC Section 382(l)(5), but no assurance can be given that we will request such ruling or, if we do, that the IRS will issue it. Furthermore, even if the Plan satisfies the requirements of IRC Section 382(l)(5), Weatherford Delaware may elect not to apply IRC Section 382(l)(5), in which case, the U.S. Group’s Pre-Change Tax Attributes remaining after reduction for excluded COD income arising during the Recognition Period may be subject to an annual limitation generally equal to the product of the long-term tax-exempt rate for the month in which the Plan Ownership Change occurs and the value of Weatherford Delaware’s outstanding stock immediately after consummation of the Plan pursuant to IRC Section 382(l)(6). Pre-Change Tax Attributes not utilized in a given year due to the annual limitation may be carried forward for use in future years. To the extent that the annual limitation of the reorganized U.S. Group exceeds its taxable income (for purposes of IRC Section 382) in a given year, the excess will increase the annual limitation in future taxable years.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is uncertainty as to whether the U.S. Group’s Pre-Change Tax Attributes allocable to members of the U.S. Group other than Weatherford Delaware would qualify for the benefits of IRC 382(l)(5) or 382(l)(6). As a result, the utilization of those Tax Attributes following the Ownership Change upon the consummation of the Plan may be significantly restricted.</w:t>
      </w:r>
    </w:p>
    <w:p>
      <w:pPr>
        <w:spacing w:after="0" w:line="177" w:lineRule="exact"/>
        <w:rPr>
          <w:sz w:val="20"/>
          <w:szCs w:val="20"/>
          <w:color w:val="auto"/>
        </w:rPr>
      </w:pPr>
    </w:p>
    <w:p>
      <w:pPr>
        <w:ind w:left="1300" w:hanging="644"/>
        <w:spacing w:after="0"/>
        <w:tabs>
          <w:tab w:leader="none" w:pos="130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U.S. Holders</w:t>
      </w:r>
    </w:p>
    <w:p>
      <w:pPr>
        <w:spacing w:after="0" w:line="229" w:lineRule="exact"/>
        <w:rPr>
          <w:sz w:val="20"/>
          <w:szCs w:val="20"/>
          <w:color w:val="auto"/>
        </w:rPr>
      </w:pPr>
    </w:p>
    <w:p>
      <w:pPr>
        <w:ind w:left="1940" w:hanging="635"/>
        <w:spacing w:after="0"/>
        <w:tabs>
          <w:tab w:leader="none" w:pos="194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Definition of U.S. Holder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U.S. Holder</w:t>
      </w:r>
      <w:r>
        <w:rPr>
          <w:rFonts w:ascii="Arial" w:cs="Arial" w:eastAsia="Arial" w:hAnsi="Arial"/>
          <w:sz w:val="16"/>
          <w:szCs w:val="16"/>
          <w:color w:val="auto"/>
        </w:rPr>
        <w:t>” is a beneficial owner of the Prepetition Notes or Existing Common Stock that, for U.S. federal income tax purposes, is or is treated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11" w:lineRule="exact"/>
        <w:rPr>
          <w:sz w:val="20"/>
          <w:szCs w:val="20"/>
          <w:color w:val="auto"/>
        </w:rPr>
      </w:pPr>
    </w:p>
    <w:p>
      <w:pPr>
        <w:ind w:left="940" w:hanging="284"/>
        <w:spacing w:after="0"/>
        <w:tabs>
          <w:tab w:leader="none" w:pos="9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2" w:name="page263"/>
    <w:bookmarkEnd w:id="262"/>
    <w:p>
      <w:pPr>
        <w:ind w:left="940" w:hanging="284"/>
        <w:spacing w:after="0"/>
        <w:tabs>
          <w:tab w:leader="none" w:pos="9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980" w:hanging="324"/>
        <w:spacing w:after="0" w:line="342" w:lineRule="auto"/>
        <w:tabs>
          <w:tab w:leader="none" w:pos="94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IRC Section 7701(a)(30)), or (2) has a valid election in effect to be treated as a United States person for U.S. federal income tax purposes.</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left="1960" w:hanging="655"/>
        <w:spacing w:after="0"/>
        <w:tabs>
          <w:tab w:leader="none" w:pos="19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Internal Reorganizations</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Irish Migration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Irish Migration, nor is the Irish Migration expected to alter U.S. Holders’ U.S. federal income tax bases or holding periods in their Prepetition Notes or Existing Common Stock.</w:t>
      </w:r>
    </w:p>
    <w:p>
      <w:pPr>
        <w:spacing w:after="0" w:line="181" w:lineRule="exact"/>
        <w:rPr>
          <w:sz w:val="20"/>
          <w:szCs w:val="20"/>
          <w:color w:val="auto"/>
        </w:rPr>
      </w:pPr>
    </w:p>
    <w:p>
      <w:pPr>
        <w:ind w:left="3260" w:hanging="659"/>
        <w:spacing w:after="0"/>
        <w:tabs>
          <w:tab w:leader="none" w:pos="3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U.S. Group Reorganization</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U.S. Holders of Prepetition Notes and Existing Common Stock are not expected to recognize gain or loss for U.S. federal income tax purposes as a result of the U.S. Group Reorganization, nor is the U.S. Group Reorganization expected to alter U.S. Holders’ U.S. federal income tax bases or holding periods in their Prepetition Notes or Existing Common Stock.</w:t>
      </w:r>
    </w:p>
    <w:p>
      <w:pPr>
        <w:spacing w:after="0" w:line="181" w:lineRule="exact"/>
        <w:rPr>
          <w:sz w:val="20"/>
          <w:szCs w:val="20"/>
          <w:color w:val="auto"/>
        </w:rPr>
      </w:pPr>
    </w:p>
    <w:p>
      <w:pPr>
        <w:ind w:left="1960" w:hanging="655"/>
        <w:spacing w:after="0"/>
        <w:tabs>
          <w:tab w:leader="none" w:pos="196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Exchanges of Prepetition Notes Claims and Existing Common Stock Pursuant to the Plan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Exchange of Prepetition Notes Claims for New Tranche B Senior Unsecured Notes and New Common Stock</w:t>
      </w:r>
    </w:p>
    <w:p>
      <w:pPr>
        <w:spacing w:after="0" w:line="2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Debtors intend to take the position (and this discussion of certain U.S. federal income tax consequences of the Plan assumes) that the receipt of New Common Stock in respect of Prepetition Notes Claims will not be treated as a contribution of the Prepetition Notes to Weatherford Parent for U.S. federal income tax purposes. Instead, the Debtors intend to take the position for U.S. federal income tax purposes that the Holders of Prepetition Notes Claims receive the New Common Stock from the respective issuer of such Prepetition Notes in partial exchange for such Prepetition Notes. To the extent a Holder of Prepetition Notes Claims receives New Tranche B Senior Unsecured Notes in respect of such Prepetition Notes Claims, the transaction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3" w:name="page264"/>
    <w:bookmarkEnd w:id="263"/>
    <w:p>
      <w:pPr>
        <w:ind w:right="340"/>
        <w:spacing w:after="0" w:line="277" w:lineRule="auto"/>
        <w:rPr>
          <w:sz w:val="20"/>
          <w:szCs w:val="20"/>
          <w:color w:val="auto"/>
        </w:rPr>
      </w:pPr>
      <w:r>
        <w:rPr>
          <w:rFonts w:ascii="Arial" w:cs="Arial" w:eastAsia="Arial" w:hAnsi="Arial"/>
          <w:sz w:val="18"/>
          <w:szCs w:val="18"/>
          <w:color w:val="auto"/>
        </w:rPr>
        <w:t>will be treated as an “exchange” of such Prepetition Notes for New Tranche B Senior Unsecured Notes if it results in a “significant modification” of such Prepetition Notes.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applicable Treasury Regulations, the modification of the terms of a debt instrument (including pursuant to an exchange of a new debt instrument for the existing debt instrument) generally is a significant modification if, based on all of the facts and circumstances and taking into account all modifications of the debt instrument, the legal rights or obligations that are altered and the degree to which they are altered is “economically significant.” A modification that adds, deletes, or alters customary accounting or financial covenants is not a significant modification. A modification that changes the timing of payments due under a debt instrument is a significant modification if it results in a material deferral of scheduled payments. However, a deferral of one or more scheduled payments is not a material deferral if it is within a safe-harbor period beginning on the original due date of the first scheduled payment that is deferred and extending for a period equal to the lesser of five years or 50% of the original term of the instrument. A change in the yield of a debt instrument is a significant modification if the yield of the modified instrument (as computed under the applicable Treasury Regulations) varies from the annual yield of the unmodified instrument (determined as of the date of the modification) by more than the greater of (i) 25 basis points or (ii) 5% of the annual yield of the unmodified instrument.</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Based on such applicable Treasury Regulations and the Debtors’ expectations of the terms of the New Tranche B Senior Unsecured Notes, the Debtors anticipate, and the remainder of this discussion assumes, that an exchange of Prepetition Notes for New Tranche B Senior Unsecured Notes will be treated as a significant modification of the Prepetition Notes and thus as an “exchange” of such Prepetition Notes for new debt instruments for U.S. federal income tax purposes.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 exchange of Prepetition Notes for New Tranche B Senior Unsecured Notes and New Common Stock will be a fully taxable transaction unless the exchange constitutes, or is a part of, a “reorganization” within the meaning of IRC Section 368(a) or other tax-free transaction. Although it is not free from doubt, the Debtors believe that the exchange of Prepetition Notes for New Common Stock does not qualify as a tax-free transaction. With respect to the exchange of Prepetition Notes for New Tranche B Senior Unsecured Notes, the Debtors believe such exchange should qualify as a tax-free reorganization within the meaning of IRC Section 368(a) if both the Prepetition Notes and the New Tranche B Senior Unsecured Notes are treated as “securities” under the relevant provisions of the IRC. Neither the IRC nor the Treasury Regulations define the term “security,” and it has not been clearly defined by judicial decisions. Whether a debt instrument is a security is determined based on all of the facts and circumstances. Factors evaluated include whether the holder of such debt instrument is subject to a material level of entrepreneurial risk and the holder’s degree of participation and continuing interest in the debtor’s business, but most authorities conclude that the term to maturity of the debt instrument is one of the most significant factors. In this regard, debt instruments with a term of ten years or more generally have qualified as securities, whereas debt instruments with a term of less than five years generally have not qualified as securities. Although it is not free from doubt, the Debtors intend to take the position, and the remainder of this discussion assumes, that the Prepetition Notes and the New Tranche B Senior Unsecured Notes are properly treated as “securities” for U.S. federal income tax purposes and that the exchanges of such Prepetition Notes for New Tranche B Senior Unsecured Notes either constitute, or are a part of, “reorganizations” within the meaning of IRC Section 368(a).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4" w:name="page265"/>
    <w:bookmarkEnd w:id="264"/>
    <w:p>
      <w:pPr>
        <w:ind w:right="20" w:firstLine="648"/>
        <w:spacing w:after="0" w:line="288" w:lineRule="auto"/>
        <w:rPr>
          <w:sz w:val="20"/>
          <w:szCs w:val="20"/>
          <w:color w:val="auto"/>
        </w:rPr>
      </w:pPr>
      <w:r>
        <w:rPr>
          <w:rFonts w:ascii="Arial" w:cs="Arial" w:eastAsia="Arial" w:hAnsi="Arial"/>
          <w:sz w:val="16"/>
          <w:szCs w:val="16"/>
          <w:color w:val="auto"/>
        </w:rPr>
        <w:t>Based on the position that the Prepetition Notes and the New Tranche B Senior Unsecured Notes are properly treated as “securities” for U.S. federal income tax purposes, a U.S. Holder will not recognize any loss on an exchange of the principal portion of Prepetition Notes for New Tranche B Senior Unsecured Notes and New Common Stock and will generally recognize gain equal to the lesser of (i) the fair market value of the New Common Stock and</w:t>
      </w:r>
    </w:p>
    <w:p>
      <w:pPr>
        <w:ind w:firstLine="8"/>
        <w:spacing w:after="0" w:line="267" w:lineRule="auto"/>
        <w:tabs>
          <w:tab w:leader="none" w:pos="26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amount of gain, if any, realized on the exchange. A U.S. Holder would also recognize income in respect of any amount attributable to unpaid interest (that accrued during the U.S. Holder’s holding period) on the exchanged Prepetition Notes, to the extent such amounts were not previously taxed (which would be taxable as interest to the extent not previously included in income). Whether any amount is attributable to such unpaid interest is further discussed below under “Certain U.S. Federal Income Tax Consequences of the Plan—Accrued Interest.” A U.S. Holder will generally have an initial tax basis in the New Tranche B Senior Unsecured Notes equal to the U.S. Holder’s adjusted tax basis in the Prepetition Notes exchanged pursuant to the Plan, increased by any gain recognized on the exchange and decreased by the fair market value of the New Common Stock received in the exchange. A U.S. Holder will generally have an initial tax basis in the New Common Stock equal to the fair market value of such New Common Stock as of the Effective Date. A U.S. Holder’s holding period in the New Tranche B Senior Unsecured Notes will generally include the holding period of the Prepetition Notes exchanged therefor, and the U.S. Holder’s holding period in the New Common Stock will generally begin on the day following the Effective Date. See below under the caption under the caption “Accrued Interest” for a discussion of the tax basis and holding period of New Tranche B Senior Unsecured Notes or New Common Stock, if any, received for accrued and unpaid interest on the Prepetition Notes.</w:t>
      </w:r>
    </w:p>
    <w:p>
      <w:pPr>
        <w:spacing w:after="0" w:line="18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Any gain recognized will be capital gain and generally long-term capital gain if the U.S. Holder has held the Prepetition Notes for more than one year as of the Effective Date, provided that such gain will be treated as ordinary income to the extent of any accrued market discount (unless an election to include market discount in income currently as it accrues was made by the U.S. Holder). If any accrued market discount on Prepetition Notes remains, the New Tranche B Senior Unsecured Notes will generally be treated as having accrued market discount to such extent, as further discussed below.</w:t>
      </w:r>
    </w:p>
    <w:p>
      <w:pPr>
        <w:spacing w:after="0" w:line="154" w:lineRule="exact"/>
        <w:rPr>
          <w:sz w:val="20"/>
          <w:szCs w:val="20"/>
          <w:color w:val="auto"/>
        </w:rPr>
      </w:pPr>
    </w:p>
    <w:p>
      <w:pPr>
        <w:ind w:left="3260" w:hanging="659"/>
        <w:spacing w:after="0"/>
        <w:tabs>
          <w:tab w:leader="none" w:pos="32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Exchange of Existing Common Stock for New Common Stock and New Warrants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It is intended that the exchange of Existing Common Stock for New Common Stock and New Warrants as a “recapitalization” within the meaning of IRC Section 368(a)(1)(E). As such, a U.S. Holder will not recognize any gain or loss on an exchange of Existing Common Stock for New Common Stock and New Warrants. A U.S. Holder will generally have an aggregate initial tax basis in the New Common Stock and New Warrants equal to the U.S. Holder’s adjusted tax basis in the Existing Common Stock exchanged pursuant to the Plan. Such basis will be allocated between the New Common Stock and New Warrants in proportion to their relative fair market values. A U.S. Holder’s holding period in the New Common Stock and New Warrants will generally include the holding period of the Existing Common Stock exchanged therefor.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5" w:name="page266"/>
    <w:bookmarkEnd w:id="265"/>
    <w:p>
      <w:pPr>
        <w:ind w:left="1960" w:right="180" w:hanging="655"/>
        <w:spacing w:after="0" w:line="277" w:lineRule="auto"/>
        <w:tabs>
          <w:tab w:leader="none" w:pos="1967"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Delaware Notes, New Bermuda Notes, New Common Stock and New Warrants Received Pursuant to the Plan</w:t>
      </w:r>
    </w:p>
    <w:p>
      <w:pPr>
        <w:spacing w:after="0" w:line="170" w:lineRule="exact"/>
        <w:rPr>
          <w:sz w:val="20"/>
          <w:szCs w:val="20"/>
          <w:color w:val="auto"/>
        </w:rPr>
      </w:pPr>
    </w:p>
    <w:p>
      <w:pPr>
        <w:ind w:left="3260" w:hanging="659"/>
        <w:spacing w:after="0"/>
        <w:tabs>
          <w:tab w:leader="none" w:pos="32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New Delaware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Issue Price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issue price of a debt instrument issued in exchange for another debt instrument depends on whether either debt instrument is considered “traded on an established market” (“</w:t>
      </w:r>
      <w:r>
        <w:rPr>
          <w:rFonts w:ascii="Arial" w:cs="Arial" w:eastAsia="Arial" w:hAnsi="Arial"/>
          <w:sz w:val="16"/>
          <w:szCs w:val="16"/>
          <w:b w:val="1"/>
          <w:bCs w:val="1"/>
          <w:u w:val="single" w:color="auto"/>
          <w:color w:val="auto"/>
        </w:rPr>
        <w:t>publicly traded</w:t>
      </w:r>
      <w:r>
        <w:rPr>
          <w:rFonts w:ascii="Arial" w:cs="Arial" w:eastAsia="Arial" w:hAnsi="Arial"/>
          <w:sz w:val="16"/>
          <w:szCs w:val="16"/>
          <w:color w:val="auto"/>
        </w:rPr>
        <w:t>”). If the New Delaware Notes are treated as publicly traded for U.S. federal income tax purposes, the “issue price” of such New Delaware Notes will be their fair market value as of their issue date. If the Prepetition Notes issued by Weatherford Delaware are, but the New Delaware Notes are not, treated as publicly traded for U.S. federal income tax purposes, then the issue price of such New Delaware Notes received in exchange for Prepetition Notes issued by Weatherford Delaware will be the fair market value of such Prepetition Notes exchanged for New Delaware Notes, as determined on the issue date of the New Delaware Notes. If neither the Prepetition Notes issued by Weatherford Delaware nor the New Delaware Notes are treated as publicly traded, then the issue price of such New Delaware Notes will be their principal amount.</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New Delaware Notes will be considered to be publicly traded if, at any time during the 31-day period ending 15 days after their issue date, such New Delaware Notes are traded on an “established market.” The New Delaware Notes will be considered to trade on an established market if (i) there is a price for an executed purchase or sale of such New Delaware Notes that is reasonably available within a reasonable period of time after the sale; (ii) there is at least one price quote for such New Delaware Notes from at least one reasonably identifiable broker, dealer or pricing service, which price quote is substantially the same as the price for which the person receiving the quoted price could purchase or sell such New Delaware Notes (a “</w:t>
      </w:r>
      <w:r>
        <w:rPr>
          <w:rFonts w:ascii="Arial" w:cs="Arial" w:eastAsia="Arial" w:hAnsi="Arial"/>
          <w:sz w:val="16"/>
          <w:szCs w:val="16"/>
          <w:b w:val="1"/>
          <w:bCs w:val="1"/>
          <w:u w:val="single" w:color="auto"/>
          <w:color w:val="auto"/>
        </w:rPr>
        <w:t>firm quote</w:t>
      </w:r>
      <w:r>
        <w:rPr>
          <w:rFonts w:ascii="Arial" w:cs="Arial" w:eastAsia="Arial" w:hAnsi="Arial"/>
          <w:sz w:val="16"/>
          <w:szCs w:val="16"/>
          <w:color w:val="auto"/>
        </w:rPr>
        <w:t>”); or</w:t>
      </w:r>
    </w:p>
    <w:p>
      <w:pPr>
        <w:spacing w:after="0" w:line="2" w:lineRule="exact"/>
        <w:rPr>
          <w:sz w:val="20"/>
          <w:szCs w:val="20"/>
          <w:color w:val="auto"/>
        </w:rPr>
      </w:pPr>
    </w:p>
    <w:p>
      <w:pPr>
        <w:ind w:right="180" w:firstLine="8"/>
        <w:spacing w:after="0" w:line="255" w:lineRule="auto"/>
        <w:tabs>
          <w:tab w:leader="none" w:pos="31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there is at least one price quote for such New Delaware Notes other than a firm quote, available from at least one such broker, dealer, or pricing service. The Prepetition Notes issued by Weatherford Delaware will be considered publicly traded for this purpose if they meet any of the prongs described above during the same period.</w:t>
      </w:r>
    </w:p>
    <w:p>
      <w:pPr>
        <w:spacing w:after="0" w:line="19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Treasury Regulations require Weatherford Delaware to make a determination as to whether the Prepetition Notes or New Delaware Notes issued by it are publicly traded, and if Weatherford Delaware determines that either are publicly traded, to determine the fair market value of the New Delaware Notes on their issue date which will establish their “issue price.” The Treasury Regulations require Weatherford Delaware to make such determinations available to U.S. Holders in a commercially reasonable fashion, including by electronic publication, within 90 days of the issue date of the New Delaware Notes issued by it. The Treasury Regulations provide that each of these determinations is binding on a Holder unless the Holder satisfies certain conditions. Certain</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rules apply as to whether a sales price or quote may establish the fair market value of the New Delaware Notes and under what conditions Weatherford Delaware may otherwise establish the fair market value of such New Delaware Notes.</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Because the relevant trading period for determining whether the Prepetition Notes and New Delaware Notes issued by Weatherford Delaware are publicly traded has not yet occurred, Weatherford Delaware is unable to determine the issue price of such New Delaware Notes at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6" w:name="page267"/>
    <w:bookmarkEnd w:id="266"/>
    <w:p>
      <w:pPr>
        <w:ind w:right="60"/>
        <w:spacing w:after="0" w:line="259" w:lineRule="auto"/>
        <w:rPr>
          <w:sz w:val="20"/>
          <w:szCs w:val="20"/>
          <w:color w:val="auto"/>
        </w:rPr>
      </w:pPr>
      <w:r>
        <w:rPr>
          <w:rFonts w:ascii="Arial" w:cs="Arial" w:eastAsia="Arial" w:hAnsi="Arial"/>
          <w:sz w:val="18"/>
          <w:szCs w:val="18"/>
          <w:color w:val="auto"/>
        </w:rPr>
        <w:t>time. It does appear likely that either the New Delaware Notes, the Prepetition Notes issued by Weatherford Delaware or both will be publicly traded during the relevant period, in which case the issue price of such New Delaware Notes will be their fair market value as of their issue date or, if such New Delaware Notes are not publicly traded during the relevant period, the fair market value of the Prepetition Notes issued by Weatherford Delaware and exchanged for New Delaware Notes as of such date.</w:t>
      </w:r>
    </w:p>
    <w:p>
      <w:pPr>
        <w:spacing w:after="0" w:line="187" w:lineRule="exact"/>
        <w:rPr>
          <w:sz w:val="20"/>
          <w:szCs w:val="20"/>
          <w:color w:val="auto"/>
        </w:rPr>
      </w:pPr>
    </w:p>
    <w:p>
      <w:pPr>
        <w:ind w:left="3900" w:hanging="651"/>
        <w:spacing w:after="0"/>
        <w:tabs>
          <w:tab w:leader="none" w:pos="3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Payments of Qualified Stated Interest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Payments of qualified stated interest on New Delaware Notes generally will be taxable to a U.S. Holder as ordinary income at the time such interest is received or accrued, in accordance with such U.S. Holder’s method of tax accounting for U.S. federal income tax purposes. Qualified stated interest generally means stated interest that is unconditionally payable in cash or in property (other than debt instruments of the issuer) at least annually at a single fixed rate or a single qualified floating rate. The stated interest on the New Delaware Notes is expected to be treated as qualified stated interest.</w:t>
      </w:r>
    </w:p>
    <w:p>
      <w:pPr>
        <w:spacing w:after="0" w:line="154" w:lineRule="exact"/>
        <w:rPr>
          <w:sz w:val="20"/>
          <w:szCs w:val="20"/>
          <w:color w:val="auto"/>
        </w:rPr>
      </w:pPr>
    </w:p>
    <w:p>
      <w:pPr>
        <w:ind w:left="3900" w:hanging="651"/>
        <w:spacing w:after="0"/>
        <w:tabs>
          <w:tab w:leader="none" w:pos="39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Original Issue Discount</w:t>
      </w:r>
    </w:p>
    <w:p>
      <w:pPr>
        <w:spacing w:after="0" w:line="22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New Delaware Notes will be treated as issued with original issue discount (“</w:t>
      </w:r>
      <w:r>
        <w:rPr>
          <w:rFonts w:ascii="Arial" w:cs="Arial" w:eastAsia="Arial" w:hAnsi="Arial"/>
          <w:sz w:val="18"/>
          <w:szCs w:val="18"/>
          <w:b w:val="1"/>
          <w:bCs w:val="1"/>
          <w:u w:val="single" w:color="auto"/>
          <w:color w:val="auto"/>
        </w:rPr>
        <w:t>OID</w:t>
      </w:r>
      <w:r>
        <w:rPr>
          <w:rFonts w:ascii="Arial" w:cs="Arial" w:eastAsia="Arial" w:hAnsi="Arial"/>
          <w:sz w:val="18"/>
          <w:szCs w:val="18"/>
          <w:color w:val="auto"/>
        </w:rPr>
        <w:t>”) for U.S. federal income tax purposes if their “stated redemption price at maturity” exceeds their “issue price” by at least a statutorily defined de minimis amount (generally, 0.0025 multiplied by the product of the stated redemption price at maturity and the number of complete years to maturity, or the weighted average maturity as defined under the OID rules in the case of certain self-amortizing obligations). The “stated redemption price at maturity” of the New Delaware Notes is the total of all payments to be made under such New Delaware Notes other than qualified stated interest.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New Delaware Notes were treated as having been issued with more than de minimis OID, U.S. Holders would be required to include the OID in ordinary income on an annual basis under a constant yield accrual method regardless of such U.S. Holder’s regular method of accounting for U.S. federal income tax purposes, subject to reduction in the case of any premium, as discussed below. A U.S. Holder must include in income in each taxable year the sum of the daily portions of OID for each day on which it held New Delaware Notes during the taxable year. To determine the daily portions of OID, the amount of OID allocable to an accrual period is determined, and a ratable portion of such OID is allocated to each day in the accrual period. An accrual period may be of any length and the length of the accrual periods may vary over the life of the New Delaware Notes, provided that no accrual period may be longer than one year and each scheduled payment of interest or principal on such New Delaware Notes must occur on either the first day or last day of an accrual period. The amount of OID allocable to an accrual period will equal (A) the product of (i) the New Delaware Notes’ adjusted issue price at the beginning of the accrual period and (ii) the New Delaware Notes’ yield to maturity (adjusted to reflect the length of the accrual period), less (B) any qualified stated interest allocable to the accrual period.</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New Delaware Notes adjusted issue price at any time generally will be their original issue price, increased by the amount of OID on such New Delaware Notes accrued for each prior accrual period and decreased by the amount of payments on such New Delaware Notes other than payments of qualified stated interest. The New Delaware Notes’ yield to maturity is the discount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7" w:name="page268"/>
    <w:bookmarkEnd w:id="267"/>
    <w:p>
      <w:pPr>
        <w:ind w:right="100"/>
        <w:spacing w:after="0" w:line="277" w:lineRule="auto"/>
        <w:rPr>
          <w:sz w:val="20"/>
          <w:szCs w:val="20"/>
          <w:color w:val="auto"/>
        </w:rPr>
      </w:pPr>
      <w:r>
        <w:rPr>
          <w:rFonts w:ascii="Arial" w:cs="Arial" w:eastAsia="Arial" w:hAnsi="Arial"/>
          <w:sz w:val="18"/>
          <w:szCs w:val="18"/>
          <w:color w:val="auto"/>
        </w:rPr>
        <w:t>rate that, when used in computing the present value of all principal and interest payments to be made on the New Delaware Notes, produces an amount equal to the New Delaware Notes’ original issue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Stated interest and OID (if any) on the New Delaware Notes are expected to be treated as U.S. source for foreign tax credit limitation purposes.</w:t>
      </w:r>
    </w:p>
    <w:p>
      <w:pPr>
        <w:spacing w:after="0" w:line="248" w:lineRule="exact"/>
        <w:rPr>
          <w:sz w:val="20"/>
          <w:szCs w:val="20"/>
          <w:color w:val="auto"/>
        </w:rPr>
      </w:pPr>
    </w:p>
    <w:p>
      <w:pPr>
        <w:ind w:left="3900" w:hanging="651"/>
        <w:spacing w:after="0"/>
        <w:tabs>
          <w:tab w:leader="none" w:pos="39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Market Discount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discussed above, a U.S. Holder that acquired a Prepetition Note issued by Weatherford Delaware at any time other than at its original issuance at a market discount would generally be required to treat any gain recognized on the exchange of such Prepetition Note on the Effective Date as ordinary income to the extent of accrued market discount, unless an election to include market discount in income currently as it accrues was made by the U.S. Holder.</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accrued market discount remains, the New Delaware Notes would be treated as having accrued market discount to the extent of such remaining market discount accrued on the Prepetition Notes that was not previously included in income by the U.S. Holder. In addition, if the U.S. Holder’s initial tax basis in New Delaware Notes is less than the New Delaware Notes’ issue price, such difference would be treated as market discount, unless the difference is less than 0.25% of the New Delaware Notes’ stated redemption price at maturity multiplied by the number of complete years from the Effective Date to maturity (in which case, the difference is de minimis market discount).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Market discount generally will be treated as accruing on a straight-line basis over the term of the New Delaware Notes or, at the U.S. Holder’s election, under a constant yield method. If a constant yield election is made, it will apply only to the Delaware Notes held by the U.S. Holder and may not be revoked. A U.S. Holder may elect to include market discount in income as it accrues over the remaining term of the Delaware Notes.</w:t>
      </w:r>
    </w:p>
    <w:p>
      <w:pPr>
        <w:spacing w:after="0" w:line="166" w:lineRule="exact"/>
        <w:rPr>
          <w:sz w:val="20"/>
          <w:szCs w:val="20"/>
          <w:color w:val="auto"/>
        </w:rPr>
      </w:pPr>
    </w:p>
    <w:p>
      <w:pPr>
        <w:ind w:left="3900" w:hanging="651"/>
        <w:spacing w:after="0"/>
        <w:tabs>
          <w:tab w:leader="none" w:pos="39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Amortizable Bond Premium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the extent a U.S. Holder’s initial tax basis in New Delaware Notes is greater than the stated redemption price at maturity of the New Delaware Notes, the U.S. Holder generally will be considered to have acquired the New Delaware Notes with amortizable bond premium (and the New Delaware Notes would not have any OID with respect to such U.S. Holder). Generally, a U.S. Holder that acquires a debt obligation at a premium may elect to amortize bond premium from the acquisition date to the debt’s maturity date under a constant yield method. Once made, this election applies to all debt obligations held or subsequently acquired by the U.S. Holder on or after the first day of the first taxable year to which the election applies and may not be revoked without the consent of the IRS. The amount amortized in any taxable year generally is treated as an offset to payments of qualified stated interest on the related debt obligation.</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 U.S. Holder’s initial adjusted tax basis in New Delaware Notes is less than the stated redemption price at maturity of the New Delaware Notes but greater than their issue price, the U.S. Holder generally will be considered to have acquisition premium with respect to the New Delaware Notes. In such case, the U.S. Holder may reduce the accrual of OID on the New Delaware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8" w:name="page269"/>
    <w:bookmarkEnd w:id="268"/>
    <w:p>
      <w:pPr>
        <w:ind w:right="260"/>
        <w:spacing w:after="0" w:line="277" w:lineRule="auto"/>
        <w:rPr>
          <w:sz w:val="20"/>
          <w:szCs w:val="20"/>
          <w:color w:val="auto"/>
        </w:rPr>
      </w:pPr>
      <w:r>
        <w:rPr>
          <w:rFonts w:ascii="Arial" w:cs="Arial" w:eastAsia="Arial" w:hAnsi="Arial"/>
          <w:sz w:val="18"/>
          <w:szCs w:val="18"/>
          <w:color w:val="auto"/>
        </w:rPr>
        <w:t>by a fraction the numerator of which is the excess of the U.S. Holder’s initial adjusted basis over the issue price and the denominator of which is the stated redemption price over such issue price.</w:t>
      </w:r>
    </w:p>
    <w:p>
      <w:pPr>
        <w:spacing w:after="0" w:line="170" w:lineRule="exact"/>
        <w:rPr>
          <w:sz w:val="20"/>
          <w:szCs w:val="20"/>
          <w:color w:val="auto"/>
        </w:rPr>
      </w:pPr>
    </w:p>
    <w:p>
      <w:pPr>
        <w:ind w:left="3900" w:hanging="651"/>
        <w:spacing w:after="0"/>
        <w:tabs>
          <w:tab w:leader="none" w:pos="39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U.S. Holder of New Delaware Notes will recognize gain or loss upon the sale, redemption, retirement or other taxable disposition of the New Delaware Notes equal to the difference between the amount realized upon the disposition (less a portion allocable to any accrued interest that has not yet been included in income by the U.S. Holder, which generally will be taxable as ordinary income) and the U.S. Holder’s adjusted tax basis in the New Delaware Notes. In general, a U.S. Holder’s adjusted tax basis in New Delaware Notes will be its initial tax basis in such New Delaware Notes, increased by any accrued OID previously included in the U.S. Holder’s income with respect to the New Delaware Notes and by market discount, if any, previously included in the U.S. Holder’s income with respect to the New Delaware Notes (pursuant to an election to include market discount in income currently as it accrues), and reduced (but not below zero) by any amortizable bond premium with respect to the New Delaware Notes that the U.S. Holder has previously amortized. Any gain or loss on the sale, redemption, retirement or other taxable disposition of the New Delaware Notes generally will be capital gain or loss, and generally will be long-term capital gain or loss if the U.S. Holder has held the New Delaware Notes for more than one year as of the date of disposition, except that any such gain will be treated as ordinary income to the extent of any accrued market discount carried over from the Prepetition Notes and any market discount accrued on the New Delaware Notes. As discussed below, the deductibility of capital losses is subject to significant limitations. Any such gain or loss will generally be U.S. source for foreign tax credit limitation purposes.</w:t>
      </w:r>
    </w:p>
    <w:p>
      <w:pPr>
        <w:spacing w:after="0" w:line="180" w:lineRule="exact"/>
        <w:rPr>
          <w:sz w:val="20"/>
          <w:szCs w:val="20"/>
          <w:color w:val="auto"/>
        </w:rPr>
      </w:pPr>
    </w:p>
    <w:p>
      <w:pPr>
        <w:ind w:left="3260" w:hanging="659"/>
        <w:spacing w:after="0"/>
        <w:tabs>
          <w:tab w:leader="none" w:pos="32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New Bermuda Notes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general, the U.S. federal income tax consequences to a U.S. Holder of owning and disposing of New Tranche B Unsecured Senior Notes issued by Weatherford Bermuda (“</w:t>
      </w:r>
      <w:r>
        <w:rPr>
          <w:rFonts w:ascii="Arial" w:cs="Arial" w:eastAsia="Arial" w:hAnsi="Arial"/>
          <w:sz w:val="17"/>
          <w:szCs w:val="17"/>
          <w:b w:val="1"/>
          <w:bCs w:val="1"/>
          <w:u w:val="single" w:color="auto"/>
          <w:color w:val="auto"/>
        </w:rPr>
        <w:t>New Bermuda Notes</w:t>
      </w:r>
      <w:r>
        <w:rPr>
          <w:rFonts w:ascii="Arial" w:cs="Arial" w:eastAsia="Arial" w:hAnsi="Arial"/>
          <w:sz w:val="17"/>
          <w:szCs w:val="17"/>
          <w:color w:val="auto"/>
        </w:rPr>
        <w:t>”) should be determined in the same manner as set forth above with regard to the ownership and disposition of New Delaware Notes except as set forth below. If any taxes are withheld and additional amounts are paid, such withholding tax and additional amounts will be included in the gross income of a U.S. Holder as additional interest income. In addition, qualified stated interest paid and OID, if any, accrued with respect to New Bermuda Notes will constitute foreign source income for foreign tax credit limitation purposes. The limitation on foreign taxes eligible for credit is calculated separately with respect to specific classes of income. For this purpose, interest paid by Weatherford Bermuda with respect to the New Bermuda Notes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79" w:lineRule="exact"/>
        <w:rPr>
          <w:sz w:val="20"/>
          <w:szCs w:val="20"/>
          <w:color w:val="auto"/>
        </w:rPr>
      </w:pPr>
    </w:p>
    <w:p>
      <w:pPr>
        <w:ind w:left="3260" w:hanging="659"/>
        <w:spacing w:after="0"/>
        <w:tabs>
          <w:tab w:leader="none" w:pos="32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Passive Foreign Investment Company Rules</w:t>
      </w:r>
    </w:p>
    <w:p>
      <w:pPr>
        <w:spacing w:after="0" w:line="221" w:lineRule="exact"/>
        <w:rPr>
          <w:sz w:val="20"/>
          <w:szCs w:val="20"/>
          <w:color w:val="auto"/>
        </w:rPr>
      </w:pPr>
    </w:p>
    <w:p>
      <w:pPr>
        <w:ind w:right="300" w:firstLine="648"/>
        <w:spacing w:after="0" w:line="313" w:lineRule="auto"/>
        <w:rPr>
          <w:sz w:val="20"/>
          <w:szCs w:val="20"/>
          <w:color w:val="auto"/>
        </w:rPr>
      </w:pPr>
      <w:r>
        <w:rPr>
          <w:rFonts w:ascii="Arial" w:cs="Arial" w:eastAsia="Arial" w:hAnsi="Arial"/>
          <w:sz w:val="17"/>
          <w:szCs w:val="17"/>
          <w:color w:val="auto"/>
        </w:rPr>
        <w:t>Weatherford Parent would be classified as a passive foreign investment company (a “</w:t>
      </w:r>
      <w:r>
        <w:rPr>
          <w:rFonts w:ascii="Arial" w:cs="Arial" w:eastAsia="Arial" w:hAnsi="Arial"/>
          <w:sz w:val="17"/>
          <w:szCs w:val="17"/>
          <w:b w:val="1"/>
          <w:bCs w:val="1"/>
          <w:u w:val="single" w:color="auto"/>
          <w:color w:val="auto"/>
        </w:rPr>
        <w:t>PFIC</w:t>
      </w:r>
      <w:r>
        <w:rPr>
          <w:rFonts w:ascii="Arial" w:cs="Arial" w:eastAsia="Arial" w:hAnsi="Arial"/>
          <w:sz w:val="17"/>
          <w:szCs w:val="17"/>
          <w:color w:val="auto"/>
        </w:rPr>
        <w:t>”), for any taxable year if either: (i) at least 75% of its gross income is “passive income” for purposes of the PFIC rules or (ii) at least 50% of the value of its assets (determined on the basis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69" w:name="page270"/>
    <w:bookmarkEnd w:id="269"/>
    <w:p>
      <w:pPr>
        <w:ind w:right="20"/>
        <w:spacing w:after="0" w:line="257" w:lineRule="auto"/>
        <w:rPr>
          <w:sz w:val="20"/>
          <w:szCs w:val="20"/>
          <w:color w:val="auto"/>
        </w:rPr>
      </w:pPr>
      <w:r>
        <w:rPr>
          <w:rFonts w:ascii="Arial" w:cs="Arial" w:eastAsia="Arial" w:hAnsi="Arial"/>
          <w:sz w:val="18"/>
          <w:szCs w:val="18"/>
          <w:color w:val="auto"/>
        </w:rPr>
        <w:t>a quarterly average) produce or are held for the production of passive income. For this purpose, Weatherford Parent is treated as owning its proportionate share of the assets and earning its proportionate share of the income of any other corporation in which it owns, directly or indirectly, 25% or more of the stock (by value). Under the PFIC rules, if Weatherford Parent were considered a PFIC at any time that a U.S. holder holds New Common Stock or New Warrants, Weatherford Ireland would continue to be treated as a PFIC with respect to such holder’s investment unless (a) it ceases to be a PFIC and (b) the U.S. holder made a “deemed sale” election under the PFIC rules.</w:t>
      </w:r>
    </w:p>
    <w:p>
      <w:pPr>
        <w:spacing w:after="0" w:line="18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Weatherford Parent believes it has not been a PFIC in prior taxable years, including its 2018 taxable year, and based on its current and projected methods of operation, does not expect to be treated as a PFIC for U.S. federal income tax purposes for the current taxable year or in the foreseeable future. This is a factual determination, however, that must be made annually after the close of each taxable year. Therefore, there can be no assurance that Weatherford Parent will not be classified as a PFIC for the current taxable year or for any future taxable year.</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Weatherford Parent is treated as a PFIC with respect to a U.S. Holder of New Common Stock or New Warrants for any taxable year, such holder generally would suffer adverse tax consequences, that may include having gains realized on the disposition of the New Common Stock or New Warrants treated as ordinary income rather than capital gain and being subject to punitive interest charges on the receipt of certain distributions and on the proceeds of the sale or other disposition of the New Common Stock or New Warrants. In addition, the U.S. Holder would be deemed to own shares in any of Weatherford Parent’s subsidiaries that are also PFICs and generally would be subject to the treatment described above with respect to any distribution on or disposition of such shares. If Weatherford Parent is considered a PFIC, a U.S. Holder of New Common Stock or New Warrants will also be subject to information reporting requirements on an annual basis. U.S. Holders should consult their tax advisors about the potential application of the PFIC rules to them. This discussion of certain U.S. federal income tax consequences of the Plan assumes that Weatherford Parent has never been and will not become a PFIC.</w:t>
      </w:r>
    </w:p>
    <w:p>
      <w:pPr>
        <w:spacing w:after="0" w:line="166" w:lineRule="exact"/>
        <w:rPr>
          <w:sz w:val="20"/>
          <w:szCs w:val="20"/>
          <w:color w:val="auto"/>
        </w:rPr>
      </w:pPr>
    </w:p>
    <w:p>
      <w:pPr>
        <w:ind w:left="3900" w:hanging="651"/>
        <w:spacing w:after="0"/>
        <w:tabs>
          <w:tab w:leader="none" w:pos="39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Distributions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gross amount of any distributions Weatherford Parent makes to U.S. Holders (including the amount of any tax withheld) with respect to New Common Stock generally will be includible in such holder’s gross income as dividend income on the date of receipt by the holder, but only to the extent the distribution is paid out of Weatherford Parent’s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Weatherford Parent’s current and accumulated earnings and profits (as determined under U.S. federal income tax principles), such excess amount will be treated first as a tax-free return of the U.S. Holder’s tax basis in its New Common Stock, and then, to the extent such excess amount exceeds its tax basis in its New Common Stock, as capital gain.</w:t>
      </w:r>
    </w:p>
    <w:p>
      <w:pPr>
        <w:spacing w:after="0" w:line="17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With respect to certain non-corporate U.S. Holders, including individual U.S. Holders, dividends may be taxed at the lower capital gain rates applicable to “qualified dividend income,” provided (i) the New Common Stock is readily tradable on an established securities market in the United States,</w:t>
      </w:r>
    </w:p>
    <w:p>
      <w:pPr>
        <w:ind w:left="5580" w:right="5300" w:hanging="5572"/>
        <w:spacing w:after="0" w:line="605" w:lineRule="auto"/>
        <w:tabs>
          <w:tab w:leader="none" w:pos="27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certain holding period requirements are met and (iii) the U.S. Holder is not under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an obligation to make related payments with respect to positions in substantially similar or related property.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dividends distributed by us with respect to New Common Stock will generally constitute “passive category income.” The rules relating to the determination of the foreign tax credit are complex, and you should consult your tax advisor regarding the availability of a foreign tax credit in your particular circumstances.</w:t>
      </w:r>
    </w:p>
    <w:p>
      <w:pPr>
        <w:spacing w:after="0" w:line="189" w:lineRule="exact"/>
        <w:rPr>
          <w:sz w:val="20"/>
          <w:szCs w:val="20"/>
          <w:color w:val="auto"/>
        </w:rPr>
      </w:pPr>
    </w:p>
    <w:p>
      <w:pPr>
        <w:ind w:left="3900" w:hanging="651"/>
        <w:spacing w:after="0"/>
        <w:tabs>
          <w:tab w:leader="none" w:pos="39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a sale or other taxable disposition of New Common Stock, a U.S. Holder will recognize a capital gain or loss for U.S. federal income tax purposes in an amount equal to the difference between the amount realized (generally, the sum of cash and the fair market value of other property received) and the U.S. Holder’s tax basis in such New Common Stock. Any such gain or loss generally will be U.S. source gain or loss and will be treated as long-term capital gain or loss if the U.S. Holder’s holding period in the New Common Stock exceeds one year at the time of the disposition. Non-corporate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92" w:lineRule="exact"/>
        <w:rPr>
          <w:sz w:val="20"/>
          <w:szCs w:val="20"/>
          <w:color w:val="auto"/>
        </w:rPr>
      </w:pPr>
    </w:p>
    <w:p>
      <w:pPr>
        <w:ind w:left="3260" w:hanging="659"/>
        <w:spacing w:after="0"/>
        <w:tabs>
          <w:tab w:leader="none" w:pos="32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Exercise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U.S. Holders generally will not recognize gain or loss for U.S. federal income tax purposes on the exercise of New Warrants. Shares of New Common Stock received by a U.S. Holder upon exercise of New Warrants will generally have a tax basis equal to the New Warrant’s exercise price plus the U.S. Holder’s basis in the exercised New Warrants. A U.S. Holder’s holding period in shares of New Common Stock received upon exercise of New Warrants generally will begin on the exercise date.</w:t>
      </w:r>
    </w:p>
    <w:p>
      <w:pPr>
        <w:spacing w:after="0" w:line="187" w:lineRule="exact"/>
        <w:rPr>
          <w:sz w:val="20"/>
          <w:szCs w:val="20"/>
          <w:color w:val="auto"/>
        </w:rPr>
      </w:pPr>
    </w:p>
    <w:p>
      <w:pPr>
        <w:ind w:left="3900" w:hanging="651"/>
        <w:spacing w:after="0"/>
        <w:tabs>
          <w:tab w:leader="none" w:pos="39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Sale or Other Taxable Disposition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Upon a sale or other taxable disposition of New Warrants, a U.S. Holder will recognize a capital gain or loss for U.S. federal income tax purposes in an amount equal to the difference between the amount realized (generally, the sum of cash and the fair market value of other property received) and the U.S. Holder’s tax basis in such New Warrants. Any such gain or loss generally will be U.S. source gain or loss and will be treated as long-term capital gain or loss if the U.S. Holder’s holding period in the New Warrants exceeds one year at the time of the disposition. Non-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1" w:name="page272"/>
    <w:bookmarkEnd w:id="271"/>
    <w:p>
      <w:pPr>
        <w:ind w:right="40"/>
        <w:spacing w:after="0" w:line="259" w:lineRule="auto"/>
        <w:rPr>
          <w:sz w:val="20"/>
          <w:szCs w:val="20"/>
          <w:color w:val="auto"/>
        </w:rPr>
      </w:pPr>
      <w:r>
        <w:rPr>
          <w:rFonts w:ascii="Arial" w:cs="Arial" w:eastAsia="Arial" w:hAnsi="Arial"/>
          <w:sz w:val="18"/>
          <w:szCs w:val="18"/>
          <w:color w:val="auto"/>
        </w:rPr>
        <w:t>corporate U.S. Holders (including individuals) generally will be subject to U.S. federal income tax on long-term capital gain at preferential rates. As discussed below, the deductibility of capital losses is subject to significant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w:t>
      </w:r>
    </w:p>
    <w:p>
      <w:pPr>
        <w:spacing w:after="0" w:line="187" w:lineRule="exact"/>
        <w:rPr>
          <w:sz w:val="20"/>
          <w:szCs w:val="20"/>
          <w:color w:val="auto"/>
        </w:rPr>
      </w:pPr>
    </w:p>
    <w:p>
      <w:pPr>
        <w:ind w:left="3260" w:hanging="659"/>
        <w:spacing w:after="0"/>
        <w:tabs>
          <w:tab w:leader="none" w:pos="32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Limitation on Use of Capital Losses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U.S. Holder who recognizes capital losses will be subject to limits on its use of capital losses. For a non-corporate U.S. Holder, capital losses may be used to offset any capital gains (without regard to holding periods) plus ordinary income to the extent of the lesser of (i) $3,000 ($1,500 for married individuals filing separate returns) or (ii) the excess of the capital losses over the capital gains. A non-corporate U.S. Holder may carry over unused capital losses and apply them to capital gains and a portion of their ordinary income for an unlimited number of years. For corporate U.S. Holders, losses from the sale or exchange of capital assets may only be used to offset capital gains. A corporate U.S. Holder that has more capital losses than can be used in a tax year may be allowed to carry over the excess capital losses for use in other tax years. Corporate U.S. Holders may only carry over unused capital losses for the five years following the capital loss year, but are allowed to carry back unused capital losses to the three years preceding the capital loss year.</w:t>
      </w:r>
    </w:p>
    <w:p>
      <w:pPr>
        <w:spacing w:after="0" w:line="163" w:lineRule="exact"/>
        <w:rPr>
          <w:sz w:val="20"/>
          <w:szCs w:val="20"/>
          <w:color w:val="auto"/>
        </w:rPr>
      </w:pPr>
    </w:p>
    <w:p>
      <w:pPr>
        <w:ind w:left="1300" w:hanging="644"/>
        <w:spacing w:after="0"/>
        <w:tabs>
          <w:tab w:leader="none" w:pos="130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Non-U.S. Holders</w:t>
      </w:r>
    </w:p>
    <w:p>
      <w:pPr>
        <w:spacing w:after="0" w:line="229" w:lineRule="exact"/>
        <w:rPr>
          <w:sz w:val="20"/>
          <w:szCs w:val="20"/>
          <w:color w:val="auto"/>
        </w:rPr>
      </w:pPr>
    </w:p>
    <w:p>
      <w:pPr>
        <w:ind w:left="1940" w:hanging="635"/>
        <w:spacing w:after="0"/>
        <w:tabs>
          <w:tab w:leader="none" w:pos="194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Definition of Non-U.S. Holder</w:t>
      </w:r>
    </w:p>
    <w:p>
      <w:pPr>
        <w:spacing w:after="0" w:line="221"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u w:val="single" w:color="auto"/>
          <w:color w:val="auto"/>
        </w:rPr>
        <w:t>Non-U.S. Holder</w:t>
      </w:r>
      <w:r>
        <w:rPr>
          <w:rFonts w:ascii="Arial" w:cs="Arial" w:eastAsia="Arial" w:hAnsi="Arial"/>
          <w:sz w:val="16"/>
          <w:szCs w:val="16"/>
          <w:color w:val="auto"/>
        </w:rPr>
        <w:t>” means a beneficial owner of Prepetition Notes or Existing Common Stock that is not a U.S. Holder and is, for U.S. federal income tax purposes, an individual, corporation (or other entity classified as a corporation for U.S. federal income tax purposes), estate or trust.</w:t>
      </w:r>
    </w:p>
    <w:p>
      <w:pPr>
        <w:spacing w:after="0" w:line="12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Prepetition Notes, Existing Common Stock, New Tranche B Senior Unsecured Notes, New Common Stock or New Warrants, the tax treatment of a partner in such partnership generally will depend upon the status of the partner and the activities of the partnership. Beneficial owners of the Prepetition Notes, Existing Common Stock, New Tranche B Senior Unsecured Notes, New Common Stock or New Warrants who are partners in a partnership holding any of such instruments should consult their tax advisors.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 than those described below.</w:t>
      </w:r>
    </w:p>
    <w:p>
      <w:pPr>
        <w:spacing w:after="0" w:line="170" w:lineRule="exact"/>
        <w:rPr>
          <w:sz w:val="20"/>
          <w:szCs w:val="20"/>
          <w:color w:val="auto"/>
        </w:rPr>
      </w:pPr>
    </w:p>
    <w:p>
      <w:pPr>
        <w:ind w:left="1960" w:hanging="655"/>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Gain Recognition</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Whether a Non-U.S. Holder realizes gain or loss on the exchange of Prepetition Notes issued by Weatherford Delaware for New Delaware Notes and New Common Stock, or upon the sale or other taxable disposition of the New Delaware Notes, New Common Stock or New Warrants received in the exchange, and the amount of such gain or loss should generally be determined in the same manner as set forth above in connection with U.S. Holders.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2" w:name="page273"/>
    <w:bookmarkEnd w:id="272"/>
    <w:p>
      <w:pPr>
        <w:jc w:val="both"/>
        <w:ind w:right="620" w:firstLine="648"/>
        <w:spacing w:after="0" w:line="286" w:lineRule="auto"/>
        <w:rPr>
          <w:sz w:val="20"/>
          <w:szCs w:val="20"/>
          <w:color w:val="auto"/>
        </w:rPr>
      </w:pPr>
      <w:r>
        <w:rPr>
          <w:rFonts w:ascii="Arial" w:cs="Arial" w:eastAsia="Arial" w:hAnsi="Arial"/>
          <w:sz w:val="17"/>
          <w:szCs w:val="17"/>
          <w:color w:val="auto"/>
        </w:rPr>
        <w:t>In the event any gain is recognized on the exchange of Prepetition Notes issued by Weatherford Delaware for New Delaware Notes and New Common Stock or upon the subsequent sale or other taxable disposition of New Delaware Notes, New Bermuda Notes, New Common Stock or New Warrants received in the exchange, a Non-U.S. Holder will generally not be subject to U.S. federal income tax unless:</w:t>
      </w:r>
    </w:p>
    <w:p>
      <w:pPr>
        <w:spacing w:after="0" w:line="166" w:lineRule="exact"/>
        <w:rPr>
          <w:sz w:val="20"/>
          <w:szCs w:val="20"/>
          <w:color w:val="auto"/>
        </w:rPr>
      </w:pPr>
    </w:p>
    <w:p>
      <w:pPr>
        <w:ind w:left="980" w:right="120" w:hanging="324"/>
        <w:spacing w:after="0" w:line="264" w:lineRule="auto"/>
        <w:tabs>
          <w:tab w:leader="none" w:pos="9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such United States to which gain is attributable); or</w:t>
      </w:r>
    </w:p>
    <w:p>
      <w:pPr>
        <w:spacing w:after="0" w:line="181"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Gain described in the first bullet point above generally will generally be subject to U.S. federal income tax on a net income basis at the regular graduated rates. A Non-U.S. Holder that is a foreign corporation also may be subject to a branch profits tax at a rate of 30% (or such lower rate specified by an applicable income tax treaty) on such effectively connected gain, as adjusted for certain items.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Gain recognized by a Non-U.S. Holder described in the second bullet point above will generally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960" w:hanging="655"/>
        <w:spacing w:after="0"/>
        <w:tabs>
          <w:tab w:leader="none" w:pos="196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Payments of Qualified Stated Interest on New Delaware Notes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Interest paid on New Delaware Notes to a Non-U.S.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181" w:lineRule="exact"/>
        <w:rPr>
          <w:sz w:val="20"/>
          <w:szCs w:val="20"/>
          <w:color w:val="auto"/>
        </w:rPr>
      </w:pPr>
    </w:p>
    <w:p>
      <w:pPr>
        <w:ind w:left="980" w:right="360" w:hanging="324"/>
        <w:spacing w:after="0" w:line="277" w:lineRule="auto"/>
        <w:tabs>
          <w:tab w:leader="none" w:pos="94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Weatherford Delaware voting stock;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related to Weatherford Delaware through actual or constructive stock ownership; and</w:t>
      </w:r>
    </w:p>
    <w:p>
      <w:pPr>
        <w:spacing w:after="0" w:line="248" w:lineRule="exact"/>
        <w:rPr>
          <w:rFonts w:ascii="Arial" w:cs="Arial" w:eastAsia="Arial" w:hAnsi="Arial"/>
          <w:sz w:val="16"/>
          <w:szCs w:val="16"/>
          <w:color w:val="auto"/>
        </w:rPr>
      </w:pPr>
    </w:p>
    <w:p>
      <w:pPr>
        <w:ind w:left="980" w:hanging="324"/>
        <w:spacing w:after="0" w:line="255" w:lineRule="auto"/>
        <w:tabs>
          <w:tab w:leader="none" w:pos="94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New Delaware Notes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3" w:name="page274"/>
    <w:bookmarkEnd w:id="273"/>
    <w:p>
      <w:pPr>
        <w:ind w:left="980" w:right="100"/>
        <w:spacing w:after="0" w:line="277" w:lineRule="auto"/>
        <w:rPr>
          <w:sz w:val="20"/>
          <w:szCs w:val="20"/>
          <w:color w:val="auto"/>
        </w:rPr>
      </w:pPr>
      <w:r>
        <w:rPr>
          <w:rFonts w:ascii="Arial" w:cs="Arial" w:eastAsia="Arial" w:hAnsi="Arial"/>
          <w:sz w:val="18"/>
          <w:szCs w:val="18"/>
          <w:color w:val="auto"/>
        </w:rPr>
        <w:t>agent; or (3) the Non-U.S. Holder holds the New Delaware Notes directly through a “qualified intermediary” (within the meaning of applicable Treasury Regulations) and certain conditions are satisfied.</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the New Delaware Notes is not subject to withholding tax because it is effectively connected with the conduct by the Non-U.S. Holder of a trade or business within the United States.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such effectively connected interest generally will be subject to U.S. federal income tax at the regular graduated rates. A Non-U.S. Holder that is a corporation also may be subject to a branch profits tax at a rate of 30% (or such lower rate specified by an applicable income tax treaty) on such effectively connected interest, as adjusted for certain items.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67" w:lineRule="exact"/>
        <w:rPr>
          <w:sz w:val="20"/>
          <w:szCs w:val="20"/>
          <w:color w:val="auto"/>
        </w:rPr>
      </w:pPr>
    </w:p>
    <w:p>
      <w:pPr>
        <w:ind w:left="1300" w:hanging="644"/>
        <w:spacing w:after="0"/>
        <w:tabs>
          <w:tab w:leader="none" w:pos="130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Accrued Interest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To the extent that a Holder of a Claim receives consideration that is attributable to unpaid accrued interest on the Claim, the Holder may be required to treat such consideration as a payment of interest. There is general uncertainty regarding the extent to which the receipt of cash or other property should be treated as attributable to unpaid accrued interest in the case of an exchange of debt claims with accrued interest in bankruptcy. While not free from doubt, for U.S. federal income tax purposes, the Debtors intend to take the position that distributions in full or partial satisfaction of Allowed Claims are allocated first to unpaid and accrued interest (as determined for U.S. federal income tax purposes) of Allowed Claims, with any excess allocated to the principal amount of such Claims. To the extent any property received pursuant to the Plan is considered attributable to unpaid accrued interest, a Holder will recognize ordinary income to the extent the value of the property exceeds the amount of unpaid accrued interest previously included in gross income by the Holder. A Holder’s tax basis in such property (other than cash) should be equal to the amount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right="60"/>
        <w:spacing w:after="0" w:line="264" w:lineRule="auto"/>
        <w:rPr>
          <w:sz w:val="20"/>
          <w:szCs w:val="20"/>
          <w:color w:val="auto"/>
        </w:rPr>
      </w:pPr>
      <w:r>
        <w:rPr>
          <w:rFonts w:ascii="Arial" w:cs="Arial" w:eastAsia="Arial" w:hAnsi="Arial"/>
          <w:sz w:val="18"/>
          <w:szCs w:val="18"/>
          <w:color w:val="auto"/>
        </w:rPr>
        <w:t>of interest income treated as satisfied by the receipt of the property, and its holding period in the property should begin on the day after the Effective Date. A Holder generally will be entitled to recognize a loss to the extent any accrued interest previously included in its gross income for U.S. federal income tax purposes is not paid in full.</w:t>
      </w:r>
    </w:p>
    <w:p>
      <w:pPr>
        <w:spacing w:after="0" w:line="177"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Debtors and applicable withholding agents will withhold all amounts required by law to be withheld from payments of interest and dividends, whether in connection with distributions under the Plan or in connection with payments made on account of consideration received pursuant to the Plan, and will comply with all applicable information reporting requirements. The IRS may make the information returns reporting such interest and dividends and withholding available to the tax authorities in the country in which a Non-U.S. Holder is resident. In general, information reporting requirements may apply to certain distributions or payments under the Plan. Additionally, under the backup withholding rules, a Holder may be subject to backup withholding with respect to distributions or payments made pursuant to the Plan unless that Holder: (a) comes within certain exempt categories (which generally include corporations) and, when required, demonstrates that fact; or (b) timely provides a correct taxpayer identification number and certifies under penalty of perjury that the taxpayer identification number is correct and that the Holder is not subject to backup withholding (generally in the form of a properly executed IRS Form W-9 for a U.S. Holder, and, for a Non-U.S. Holder, in the form of a properly executed applicable IRS Form W-8 (or otherwise establishes such Non-U.S. Holder’s eligibility for an exemption). Backup withholding is not an additional tax but is, instead, an advance payment that may be refunded to the extent it results in an overpayment of tax; provided that the required information is timely provided to the IRS.</w:t>
      </w:r>
    </w:p>
    <w:p>
      <w:pPr>
        <w:spacing w:after="0" w:line="173"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In addition, from an information reporting perspective, Treasury Regulations generally require disclosure by a taxpayer on its U.S. federal income tax return of certain types of transactions in which the taxpayer participated, including, among other types of transactions, certain transactions that result in the taxpayer’s claiming a loss in excess of specified thresholds. Holders are urged to consult their tax advisors regarding these regulations and whether the transactions contemplated by the Plan would be subject to these regulations and require disclosure on the Holders’ tax returns.</w:t>
      </w:r>
    </w:p>
    <w:p>
      <w:pPr>
        <w:spacing w:after="0" w:line="150" w:lineRule="exact"/>
        <w:rPr>
          <w:sz w:val="20"/>
          <w:szCs w:val="20"/>
          <w:color w:val="auto"/>
        </w:rPr>
      </w:pPr>
    </w:p>
    <w:p>
      <w:pPr>
        <w:ind w:left="1300" w:hanging="644"/>
        <w:spacing w:after="0"/>
        <w:tabs>
          <w:tab w:leader="none" w:pos="130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Withholding taxes may be imposed under IRC Sections 1471 to 1474 (such Sections commonly referred to as the Foreign Account Tax Compliance Act, or “</w:t>
      </w:r>
      <w:r>
        <w:rPr>
          <w:rFonts w:ascii="Arial" w:cs="Arial" w:eastAsia="Arial" w:hAnsi="Arial"/>
          <w:sz w:val="17"/>
          <w:szCs w:val="17"/>
          <w:b w:val="1"/>
          <w:bCs w:val="1"/>
          <w:u w:val="single" w:color="auto"/>
          <w:color w:val="auto"/>
        </w:rPr>
        <w:t>FATCA</w:t>
      </w:r>
      <w:r>
        <w:rPr>
          <w:rFonts w:ascii="Arial" w:cs="Arial" w:eastAsia="Arial" w:hAnsi="Arial"/>
          <w:sz w:val="17"/>
          <w:szCs w:val="17"/>
          <w:color w:val="auto"/>
        </w:rPr>
        <w:t>”) on certain types of U.S. source payments, including dividends, interest and certain foreign “passthru payments” made to a “foreign financial institution” or a “non-financial foreign entity” (each as defined in the IRC), unless (1) the foreign financial institution undertakes certain diligence, reporting and withholding obligations, (2) the non-financial foreign entity either certifies it does not have any “substantial United States owners” (as defined in the IRC)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5" w:name="page276"/>
    <w:bookmarkEnd w:id="275"/>
    <w:p>
      <w:pPr>
        <w:ind w:right="100"/>
        <w:spacing w:after="0" w:line="286" w:lineRule="auto"/>
        <w:rPr>
          <w:sz w:val="20"/>
          <w:szCs w:val="20"/>
          <w:color w:val="auto"/>
        </w:rPr>
      </w:pPr>
      <w:r>
        <w:rPr>
          <w:rFonts w:ascii="Arial" w:cs="Arial" w:eastAsia="Arial" w:hAnsi="Arial"/>
          <w:sz w:val="17"/>
          <w:szCs w:val="17"/>
          <w:color w:val="auto"/>
        </w:rPr>
        <w:t>persons” or “United States-owned foreign entities” (each as defined in the IRC),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Prior to the issuance of recently proposed Treasury Regulations, withholding under FATCA would have also applied to payments of gross proceeds from the sale or other disposition of property on or after January 1, 2019. However, the proposed Treasury Regulations eliminate FATCA withholding on payments of gross proceeds entirely. Taxpayers generally may rely on these proposed Treasury Regulations until final Treasury Regulations are issued.</w:t>
      </w:r>
    </w:p>
    <w:p>
      <w:pPr>
        <w:spacing w:after="0" w:line="14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THE FOREGOING DISCUSSION OF U.S. FEDERAL INCOME TAX CONSIDERATIONS IS FOR GENERAL INFORMATION PURPOSES ONLY AND IS NOT TAX ADVICE. EACH HOLDER SHOULD CONSULT ITS OWN TAX ADVISOR REGARDING THE FEDERAL, STATE, LOCAL AND FOREIGN TAX CONSEQUENCES OF THE PLAN DESCRIBED HEREIN. NEITHER THE DEBTORS NOR THEIR ADVISORS WILL HAVE ANY LIABILITY TO ANY PERSON OR HOLDER ARISING FROM OR RELATED TO THE FEDERAL, STATE, LOCAL AND FOREIGN TAX CONSEQUENCES OF THE PLAN OR THE FOREGOING DISCUSSION.</w:t>
      </w:r>
    </w:p>
    <w:p>
      <w:pPr>
        <w:spacing w:after="0" w:line="184"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IRISH TAX CONSEQUENCES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Introduction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is a summary of certain material Irish tax considerations for the Debtors and for the Non-Irish Holders (as defined below) as a result of the implementation of the Plan. The summary does not purport to be a comprehensive description of all of the tax considerations that may be relevant to the Debtors and each of the Non-Irish Holders. The summary relates only to the position of persons who are the absolute beneficial owners of the Prepetition Debt or the Existing Common Stock and may not apply to certain other classes of persons such as dealers in securities or shares.</w:t>
      </w:r>
    </w:p>
    <w:p>
      <w:pPr>
        <w:spacing w:after="0" w:line="17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summary is based upon Irish tax laws and the practice of the Irish Revenue Commissioners as at the date of the Plan and correspondence with the Irish Revenue Commissioners. Changes in law and/or administrative practice may result in alteration of the tax considerations described below.</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summary does not constitute tax advice and is intended only as a general guide. The summary is not exhaustive and Non-Irish Holders should consult their own tax advisors about the Irish tax consequences (and tax consequences under the laws of other relevant jurisdictions) of the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6" w:name="page277"/>
    <w:bookmarkEnd w:id="276"/>
    <w:p>
      <w:pPr>
        <w:ind w:left="1300" w:hanging="644"/>
        <w:spacing w:after="0"/>
        <w:tabs>
          <w:tab w:leader="none" w:pos="130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the Debtors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 result of the Irish Migration, Weatherford Parent will cease to be tax resident in Switzerland and will become Irish tax resident. The change of residence from Switzerland to Ireland does not trigger any Irish tax charge. A summary of some of the material Irish tax considerations for Weatherford Parent operating as an Irish resident company are set out below.</w:t>
      </w:r>
    </w:p>
    <w:p>
      <w:pPr>
        <w:spacing w:after="0" w:line="181" w:lineRule="exact"/>
        <w:rPr>
          <w:sz w:val="20"/>
          <w:szCs w:val="20"/>
          <w:color w:val="auto"/>
        </w:rPr>
      </w:pPr>
    </w:p>
    <w:p>
      <w:pPr>
        <w:ind w:left="3260" w:hanging="659"/>
        <w:spacing w:after="0"/>
        <w:tabs>
          <w:tab w:leader="none" w:pos="32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Taxation of Income and Capital Gains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Weatherford Parent will be liable to Irish corporation tax on trading profits at a rate of 12.5%. Dividends received will typically be exempt where received from an Irish resident subsidiary or taxable at 25% where received from subsidiaries outside Ireland. A tax credit is available for any foreign tax paid on the underlying profits out of which the dividend has been paid and any withholding tax that was incurred when the dividend was paid. Any interest income received by Weatherford Parent is subject to tax at 25%.</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Weatherford Parent will be liable to Irish capital gains tax at a rate of 33% on any chargeable gains accruing on the disposal of assets by Weatherford Parent. There is a capital gains tax exemption for companies on the disposal of substantial shareholdings in trading subsidiaries resident in the EU or double tax treaty partner jurisdictions provided certain conditions are met.</w:t>
      </w:r>
    </w:p>
    <w:p>
      <w:pPr>
        <w:spacing w:after="0" w:line="181" w:lineRule="exact"/>
        <w:rPr>
          <w:sz w:val="20"/>
          <w:szCs w:val="20"/>
          <w:color w:val="auto"/>
        </w:rPr>
      </w:pPr>
    </w:p>
    <w:p>
      <w:pPr>
        <w:ind w:left="3260" w:hanging="659"/>
        <w:spacing w:after="0"/>
        <w:tabs>
          <w:tab w:leader="none" w:pos="32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Withholding Taxes on Outbound Payments</w:t>
      </w:r>
    </w:p>
    <w:p>
      <w:pPr>
        <w:spacing w:after="0" w:line="221"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Dividends paid by Weatherford Parent may be subject to Irish dividend withholding tax (“</w:t>
      </w:r>
      <w:r>
        <w:rPr>
          <w:rFonts w:ascii="Arial" w:cs="Arial" w:eastAsia="Arial" w:hAnsi="Arial"/>
          <w:sz w:val="18"/>
          <w:szCs w:val="18"/>
          <w:b w:val="1"/>
          <w:bCs w:val="1"/>
          <w:u w:val="single" w:color="auto"/>
          <w:color w:val="auto"/>
        </w:rPr>
        <w:t>DWT</w:t>
      </w:r>
      <w:r>
        <w:rPr>
          <w:rFonts w:ascii="Arial" w:cs="Arial" w:eastAsia="Arial" w:hAnsi="Arial"/>
          <w:sz w:val="18"/>
          <w:szCs w:val="18"/>
          <w:color w:val="auto"/>
        </w:rPr>
        <w:t>”). DWT is applied at a rate of 20%. There are a number of exemptions that allow dividends to be paid without the deduction of DWT. See further details below under the caption “Consequences to Non-Irish Holders—Consequences of Owning and Disposing of New Tranche B Unsecured Notes, New Common Stock and New Warrants Received Pursuant to the Plan— New Common Stock—Dividend Withholding Tax.”</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Interest payments by Weatherford Parent may be subject to Irish interest withholding tax (“</w:t>
      </w:r>
      <w:r>
        <w:rPr>
          <w:rFonts w:ascii="Arial" w:cs="Arial" w:eastAsia="Arial" w:hAnsi="Arial"/>
          <w:sz w:val="18"/>
          <w:szCs w:val="18"/>
          <w:b w:val="1"/>
          <w:bCs w:val="1"/>
          <w:u w:val="single" w:color="auto"/>
          <w:color w:val="auto"/>
        </w:rPr>
        <w:t>IWT</w:t>
      </w:r>
      <w:r>
        <w:rPr>
          <w:rFonts w:ascii="Arial" w:cs="Arial" w:eastAsia="Arial" w:hAnsi="Arial"/>
          <w:sz w:val="18"/>
          <w:szCs w:val="18"/>
          <w:color w:val="auto"/>
        </w:rPr>
        <w:t>”). There are several exemptions to IWT that may apply on interest payments to lenders resident in double tax treaty partner countries.</w:t>
      </w:r>
    </w:p>
    <w:p>
      <w:pPr>
        <w:spacing w:after="0" w:line="166" w:lineRule="exact"/>
        <w:rPr>
          <w:sz w:val="20"/>
          <w:szCs w:val="20"/>
          <w:color w:val="auto"/>
        </w:rPr>
      </w:pPr>
    </w:p>
    <w:p>
      <w:pPr>
        <w:ind w:left="1960" w:hanging="655"/>
        <w:spacing w:after="0"/>
        <w:tabs>
          <w:tab w:leader="none" w:pos="196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Other Internal Reorganizations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other transactions occurring as part of the Internal Reorganizations are intended to be carried out in a manner such that they will not be subject to Irish corporation tax or capital gains tax.</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particular, Weatherford Parent is not subject to Irish capital gains tax on the disposal of shares while it remains tax resident in Switzerland (a country with which Ireland has a double tax treaty) and the shares transferred by Weatherford Parent as part of the Internal Reorganizations do not derive their value from Irish land, buildings, exploration or mineral rights.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Internal Reorganizations involve the issuance of shares in an Irish company. While there is no stamp duty or capital duty on the issuance of Irish shares, Irish stamp duty may arise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7" w:name="page278"/>
    <w:bookmarkEnd w:id="277"/>
    <w:p>
      <w:pPr>
        <w:ind w:right="360"/>
        <w:spacing w:after="0" w:line="277" w:lineRule="auto"/>
        <w:rPr>
          <w:sz w:val="20"/>
          <w:szCs w:val="20"/>
          <w:color w:val="auto"/>
        </w:rPr>
      </w:pPr>
      <w:r>
        <w:rPr>
          <w:rFonts w:ascii="Arial" w:cs="Arial" w:eastAsia="Arial" w:hAnsi="Arial"/>
          <w:sz w:val="18"/>
          <w:szCs w:val="18"/>
          <w:color w:val="auto"/>
        </w:rPr>
        <w:t>on the transfer of assets where the consideration for the transfer comprises the issuance of Irish shares. However, stamp duty reorganization relief should apply to the Internal Reorganizations to ensure no stamp duty arises.</w:t>
      </w:r>
    </w:p>
    <w:p>
      <w:pPr>
        <w:spacing w:after="0" w:line="166" w:lineRule="exact"/>
        <w:rPr>
          <w:sz w:val="20"/>
          <w:szCs w:val="20"/>
          <w:color w:val="auto"/>
        </w:rPr>
      </w:pPr>
    </w:p>
    <w:p>
      <w:pPr>
        <w:ind w:left="1300" w:hanging="644"/>
        <w:spacing w:after="0"/>
        <w:tabs>
          <w:tab w:leader="none" w:pos="130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to Non-Irish Holders</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Definition of Non-Irish Holder</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Non-Irish Holder means any Holder of Prepetition Notes Claim or Existing Common Stock that is not resident or ordinarily resident in Ireland for tax purposes and who does not hold their Prepetition Notes Claim or Existing Common Stock in connection with a trade or business carried on in Ireland.</w:t>
      </w:r>
    </w:p>
    <w:p>
      <w:pPr>
        <w:spacing w:after="0" w:line="124" w:lineRule="exact"/>
        <w:rPr>
          <w:sz w:val="20"/>
          <w:szCs w:val="20"/>
          <w:color w:val="auto"/>
        </w:rPr>
      </w:pPr>
    </w:p>
    <w:p>
      <w:pPr>
        <w:ind w:left="1960" w:hanging="655"/>
        <w:spacing w:after="0"/>
        <w:tabs>
          <w:tab w:leader="none" w:pos="196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The Irish Migration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There are no material Irish tax consequences to Non-Irish Holders of Prepetition Notes Claims arising from the Irish Migration. Once Weatherford Parent becomes an Irish tax resident company, Non-Irish Holders of Existing Common Stock will have the same Irish tax considerations as those described below under the caption “—Consequences of Owning and Disposing of New Common Stock.”</w:t>
      </w:r>
    </w:p>
    <w:p>
      <w:pPr>
        <w:spacing w:after="0" w:line="181" w:lineRule="exact"/>
        <w:rPr>
          <w:sz w:val="20"/>
          <w:szCs w:val="20"/>
          <w:color w:val="auto"/>
        </w:rPr>
      </w:pPr>
    </w:p>
    <w:p>
      <w:pPr>
        <w:ind w:left="1960" w:hanging="655"/>
        <w:spacing w:after="0"/>
        <w:tabs>
          <w:tab w:leader="none" w:pos="196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Satisfaction of Prepetition Notes Claims and Exchange of Existing Common Stock Pursuant to the Plan</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There should be no material Irish tax consequences to Non-Irish Holders arising from either the satisfaction of Prepetition Notes Claims by the issuance of New Tranche B Senior Unsecured Notes and New Common Stock or the issuance of New Common Stock and New Warrants in exchange for Existing Common Stock.</w:t>
      </w:r>
    </w:p>
    <w:p>
      <w:pPr>
        <w:spacing w:after="0" w:line="181" w:lineRule="exact"/>
        <w:rPr>
          <w:sz w:val="20"/>
          <w:szCs w:val="20"/>
          <w:color w:val="auto"/>
        </w:rPr>
      </w:pPr>
    </w:p>
    <w:p>
      <w:pPr>
        <w:ind w:left="1960" w:right="360" w:hanging="655"/>
        <w:spacing w:after="0" w:line="277" w:lineRule="auto"/>
        <w:tabs>
          <w:tab w:leader="none" w:pos="196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Consequences of Owning and Disposing of New Tranche B Senior Unsecured Notes, New Common Stock and New Warrants Received Pursuant to the Plan</w:t>
      </w:r>
    </w:p>
    <w:p>
      <w:pPr>
        <w:spacing w:after="0" w:line="170" w:lineRule="exact"/>
        <w:rPr>
          <w:rFonts w:ascii="Arial" w:cs="Arial" w:eastAsia="Arial" w:hAnsi="Arial"/>
          <w:sz w:val="18"/>
          <w:szCs w:val="18"/>
          <w:color w:val="auto"/>
        </w:rPr>
      </w:pPr>
    </w:p>
    <w:p>
      <w:pPr>
        <w:ind w:left="3260" w:hanging="659"/>
        <w:spacing w:after="0"/>
        <w:tabs>
          <w:tab w:leader="none" w:pos="326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New Tranche B Senior Unsecured Notes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2"/>
          <w:numId w:val="372"/>
        </w:numPr>
        <w:rPr>
          <w:rFonts w:ascii="Arial" w:cs="Arial" w:eastAsia="Arial" w:hAnsi="Arial"/>
          <w:sz w:val="18"/>
          <w:szCs w:val="18"/>
          <w:color w:val="auto"/>
        </w:rPr>
      </w:pPr>
      <w:r>
        <w:rPr>
          <w:rFonts w:ascii="Arial" w:cs="Arial" w:eastAsia="Arial" w:hAnsi="Arial"/>
          <w:sz w:val="18"/>
          <w:szCs w:val="18"/>
          <w:color w:val="auto"/>
        </w:rPr>
        <w:t>Interest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of interest by Weatherford Bermuda or Weatherford Delaware on New Tranche B Senior Unsecured Notes to Non-Irish Holders should not be subject to IWT.</w:t>
      </w:r>
    </w:p>
    <w:p>
      <w:pPr>
        <w:spacing w:after="0" w:line="170" w:lineRule="exact"/>
        <w:rPr>
          <w:sz w:val="20"/>
          <w:szCs w:val="20"/>
          <w:color w:val="auto"/>
        </w:rPr>
      </w:pPr>
    </w:p>
    <w:p>
      <w:pPr>
        <w:ind w:left="3900" w:hanging="651"/>
        <w:spacing w:after="0"/>
        <w:tabs>
          <w:tab w:leader="none" w:pos="39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Disposition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Dispositions of New Tranche B Senior Unsecured Notes by Non-Irish Holders should not be subject to Irish tax.</w:t>
      </w:r>
    </w:p>
    <w:p>
      <w:pPr>
        <w:spacing w:after="0" w:line="225" w:lineRule="exact"/>
        <w:rPr>
          <w:sz w:val="20"/>
          <w:szCs w:val="20"/>
          <w:color w:val="auto"/>
        </w:rPr>
      </w:pPr>
    </w:p>
    <w:p>
      <w:pPr>
        <w:ind w:left="3900" w:hanging="651"/>
        <w:spacing w:after="0"/>
        <w:tabs>
          <w:tab w:leader="none" w:pos="3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Encashment Tax</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Irish encashment tax may be required to be withheld at the standard rate (currently 20%) from any interest paid in respect of the New Tranche B Senior Unsecured Notes where such interest is paid or collected by a person in Ireland on behalf of any holder of the New Tranche B Senior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78" w:name="page279"/>
    <w:bookmarkEnd w:id="278"/>
    <w:p>
      <w:pPr>
        <w:ind w:right="40"/>
        <w:spacing w:after="0" w:line="259" w:lineRule="auto"/>
        <w:rPr>
          <w:sz w:val="20"/>
          <w:szCs w:val="20"/>
          <w:color w:val="auto"/>
        </w:rPr>
      </w:pPr>
      <w:r>
        <w:rPr>
          <w:rFonts w:ascii="Arial" w:cs="Arial" w:eastAsia="Arial" w:hAnsi="Arial"/>
          <w:sz w:val="18"/>
          <w:szCs w:val="18"/>
          <w:color w:val="auto"/>
        </w:rPr>
        <w:t>Unsecured Notes. Non-Irish Holders of the notes should therefore note that the appointment of an Irish collection agent or an Irish paying agent could result in the deduction of 20% encashment tax by such agent from interest payments on the New Tranche B Senior Unsecured Notes. A Non-Irish Holder of New Tranche B Senior Unsecured Notes that is not resident in Ireland for tax purposes may claim an exemption from this withholding tax by submitting an appropriate declaration of non-Irish tax residency to the Irish agent.</w:t>
      </w:r>
    </w:p>
    <w:p>
      <w:pPr>
        <w:spacing w:after="0" w:line="187" w:lineRule="exact"/>
        <w:rPr>
          <w:sz w:val="20"/>
          <w:szCs w:val="20"/>
          <w:color w:val="auto"/>
        </w:rPr>
      </w:pPr>
    </w:p>
    <w:p>
      <w:pPr>
        <w:ind w:left="3260" w:hanging="659"/>
        <w:spacing w:after="0"/>
        <w:tabs>
          <w:tab w:leader="none" w:pos="32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New Common Stock</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Capital Gains Tax</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Non-Irish Holders of New Common Stock should not be liable for Irish capital gains tax on gains realized on a subsequent disposal of their New Common Stock. The rate of capital gains tax in Ireland (where applicable) is typically 33%.</w:t>
      </w:r>
    </w:p>
    <w:p>
      <w:pPr>
        <w:spacing w:after="0" w:line="170" w:lineRule="exact"/>
        <w:rPr>
          <w:sz w:val="20"/>
          <w:szCs w:val="20"/>
          <w:color w:val="auto"/>
        </w:rPr>
      </w:pPr>
    </w:p>
    <w:p>
      <w:pPr>
        <w:ind w:left="3900" w:hanging="651"/>
        <w:spacing w:after="0"/>
        <w:tabs>
          <w:tab w:leader="none" w:pos="3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 Irish stamp duty may be payable in respect of transfers of New Common Stock depending on the manner in which the New Common Stock is held.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New Common Stock effected by means of the transfer of book-entry interests in DTC should not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Irish stamp duty. On the basis that most New Common Stock will be held through DTC most transfers of New Common Stock should be exempt from Irish stamp duty.</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New Common Stock where any party to the transfer holds such New</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outside of DTC may be subject to Irish stamp duty. Shareholders wishing to transfer their New Common Stock into (or out of) DTC may do so without giving rise to Irish stamp duty provided that:</w:t>
      </w:r>
    </w:p>
    <w:p>
      <w:pPr>
        <w:spacing w:after="0" w:line="181" w:lineRule="exact"/>
        <w:rPr>
          <w:sz w:val="20"/>
          <w:szCs w:val="20"/>
          <w:color w:val="auto"/>
        </w:rPr>
      </w:pPr>
    </w:p>
    <w:p>
      <w:pPr>
        <w:ind w:left="620" w:hanging="288"/>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New Common Stock as a result of the transfer;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transfer into (or out of) DTC is not effected in contemplation of a sale of such New Common Stock by a beneficial owner to a third party.</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registered New Common Stock holder may transfer New Common Stock into his or her own broker account (or vice versa) without giving rise to Irish stamp duty, provided that there is no change in the beneficial ownership of the New Common Stock as a result of the transfer and the transfer is not made in contemplation of a subsequent sale of the New Common Stock to a third party.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transfer of New Common Stock that is subject to Irish stamp duty will not be registered in the name of the transferee unless an instrument of transfer is duly stamped and provided to the transfer agent. Weatherford Parent, in its absolute discretion and insofar as the Irish Companies Act or any other applicable law permits, may, or may provide that a subsidiary of Weatherford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9" w:name="page280"/>
    <w:bookmarkEnd w:id="279"/>
    <w:p>
      <w:pPr>
        <w:spacing w:after="0" w:line="271" w:lineRule="auto"/>
        <w:rPr>
          <w:sz w:val="20"/>
          <w:szCs w:val="20"/>
          <w:color w:val="auto"/>
        </w:rPr>
      </w:pPr>
      <w:r>
        <w:rPr>
          <w:rFonts w:ascii="Arial" w:cs="Arial" w:eastAsia="Arial" w:hAnsi="Arial"/>
          <w:sz w:val="17"/>
          <w:szCs w:val="17"/>
          <w:color w:val="auto"/>
        </w:rPr>
        <w:t>Parent will, pay Irish stamp duty arising on a transfer of New Common Stock on behalf of the transferee of such New Common Stock. If stamp duty resulting from the transfer of New Common Stock that would otherwise be payable by the transferee is paid by Weatherford Parent or any of its subsidiaries on behalf of the transferee, then in those circumstances, Weatherford Parent will, on its behalf or on behalf of its subsidiary (as the case may be), be entitled to (i) seek reimbursement of the stamp duty from the transferee or the transferor (at its discretion), (ii) set-off the stamp duty against any dividends payable to the transferee of that New Common Stock and (iii) claim a first and permanent lien on the New Common Stock on which stamp duty has been paid by Weatherford Parent or its subsidiary for the amount of stamp duty paid. Weatherford Parent’s lien shall extend to all dividends paid on that New Common Stock. Parties to a share transfer may assume that any Irish stamp duty arising in respect of a transaction in Weatherford Parent’s New Common Stock has been paid unless one or both of such parties is otherwise notified by Weatherford Parent.</w:t>
      </w:r>
    </w:p>
    <w:p>
      <w:pPr>
        <w:spacing w:after="0" w:line="17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Due to the potential Irish stamp duty charge on transfers of New Common Stock held outside DTC, it is strongly recommended that shareholders who do not hold their shares through DTC (or through a broker who in turn holds such New Common Stock through DTC) should, upon the Plan being implemented, consider holding the New Common Stock received by them through DTC.</w:t>
      </w:r>
    </w:p>
    <w:p>
      <w:pPr>
        <w:spacing w:after="0" w:line="181" w:lineRule="exact"/>
        <w:rPr>
          <w:sz w:val="20"/>
          <w:szCs w:val="20"/>
          <w:color w:val="auto"/>
        </w:rPr>
      </w:pPr>
    </w:p>
    <w:p>
      <w:pPr>
        <w:ind w:left="3900" w:hanging="651"/>
        <w:spacing w:after="0"/>
        <w:tabs>
          <w:tab w:leader="none" w:pos="3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Dividend Withholding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Distributions made by Weatherford Parent should, in the absence of one of many exemptions, be subject to DWT at the rate of 20%.</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DWT purposes, a distribution includes any distribution that may be made by Weatherford Parent to its shareholders including cash dividends, non-cash dividends and additional stock taken in lieu of a cash dividend. Where an exemption does not apply in respect of a distribution made to a particular shareholder, Weatherford Parent is responsible for withholding DWT prior to making such distribution.</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Irish domestic law provides that a non-Irish resident shareholder should not be subject to DWT on dividends received from Weatherford Parent if such shareholder is beneficially entitled to the dividend and is either:</w:t>
      </w:r>
    </w:p>
    <w:p>
      <w:pPr>
        <w:spacing w:after="0" w:line="166" w:lineRule="exact"/>
        <w:rPr>
          <w:sz w:val="20"/>
          <w:szCs w:val="20"/>
          <w:color w:val="auto"/>
        </w:rPr>
      </w:pPr>
    </w:p>
    <w:p>
      <w:pPr>
        <w:ind w:left="660" w:right="60" w:hanging="328"/>
        <w:spacing w:after="0" w:line="266" w:lineRule="auto"/>
        <w:tabs>
          <w:tab w:leader="none" w:pos="6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territory with which Ireland has signed a double taxation agreement (a “</w:t>
      </w:r>
      <w:r>
        <w:rPr>
          <w:rFonts w:ascii="Arial" w:cs="Arial" w:eastAsia="Arial" w:hAnsi="Arial"/>
          <w:sz w:val="18"/>
          <w:szCs w:val="18"/>
          <w:b w:val="1"/>
          <w:bCs w:val="1"/>
          <w:u w:val="single" w:color="auto"/>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see https://www.revenue.ie/en/tax-professionals/tax-agreements/double-taxation-treaties/index.aspx) (including the United States)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resident nor ordinarily resident in Ireland;</w:t>
      </w:r>
    </w:p>
    <w:p>
      <w:pPr>
        <w:spacing w:after="0" w:line="18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ind w:left="660" w:right="160" w:hanging="328"/>
        <w:spacing w:after="0" w:line="342" w:lineRule="auto"/>
        <w:tabs>
          <w:tab w:leader="none" w:pos="62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provided, in all cases noted above (but subject to the discussion under the caption “—Shares held by U.S. resident shareholders” below), Weatherford Parent or, in respect of shares held through DTC, any qualifying intermediary appointed by Weatherford Parent, has received from the shareholder, where required, the relevant DWT Forms prior to the payment of the dividend. In practice, in order to ensure sufficient time to process the receipt of relevant DWT Forms, the shareholder where required should furnish the relevant DWT Forms to:</w:t>
      </w:r>
    </w:p>
    <w:p>
      <w:pPr>
        <w:spacing w:after="0" w:line="187" w:lineRule="exact"/>
        <w:rPr>
          <w:sz w:val="20"/>
          <w:szCs w:val="20"/>
          <w:color w:val="auto"/>
        </w:rPr>
      </w:pPr>
    </w:p>
    <w:p>
      <w:pPr>
        <w:ind w:left="660" w:right="40" w:hanging="328"/>
        <w:spacing w:after="0" w:line="264" w:lineRule="auto"/>
        <w:tabs>
          <w:tab w:leader="none" w:pos="6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its broker (and the relevant information is further transmitted to any qualifying intermediary appointed by Weatherford Parent) before the record date for the dividend (or such later date before the dividend payment date as may be notified to the shareholder by the broker) if its shares are held through DTC, or</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Weatherford Parent’s transfer agent at least seven business days before the record date for the dividend if its shares are held outside of DTC.</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Shareholders that are required to file DWT Forms in order to receive dividends free of DWT should note that such forms are generally valid, subject to a change in circumstances, until 31st December of the fifth year after the year in which such forms were completed.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Non-Irish Holders that cannot avail themselves of one of Ireland’s domestic law exemptions from DWT, it may be possible for such shareholders to rely on the provisions of a double tax treaty to which Ireland is party to reduce the rate of DWT.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list of the various DWT Forms can be found at https://www.revenue.ie/en/companies-and-charities/dividend-withholding-tax/exemptions-for-non-residents.aspx.</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U.S. Resident Shareholders</w:t>
      </w:r>
      <w:r>
        <w:rPr>
          <w:rFonts w:ascii="Arial" w:cs="Arial" w:eastAsia="Arial" w:hAnsi="Arial"/>
          <w:sz w:val="17"/>
          <w:szCs w:val="17"/>
          <w:color w:val="auto"/>
        </w:rPr>
        <w:t>. Dividends paid in respect of New Common Stock that are owned by a U.S. resident and held through DTC should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DWT provided the address of the beneficial owner of such New Common Stock in the records of the broker holding such New Common Stock is in the United States (and such broker has further transmitted the relevant information to a qualifying intermediary appointed by Weatherford Parent). It is strongly recommended that such shareholders ensure that their information is properly recorded by their brokers (so that such brokers can further transmit the relevant information to a qualifying intermediary appointed by Weatherford Parent).</w:t>
      </w:r>
    </w:p>
    <w:p>
      <w:pPr>
        <w:spacing w:after="0" w:line="173"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Dividends paid in respect of New Common Stock that are held outside of DTC should not be subject to DWT if the shareholder satisfies the conditions of one of the exemptions referred to above including the requirement to provide a valid DWT Form (together with a completed IRS issued Form 6166) to Weatherford Parent’s transfer agent at least seven business days before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1" w:name="page282"/>
    <w:bookmarkEnd w:id="281"/>
    <w:p>
      <w:pPr>
        <w:jc w:val="both"/>
        <w:spacing w:after="0" w:line="264" w:lineRule="auto"/>
        <w:rPr>
          <w:sz w:val="20"/>
          <w:szCs w:val="20"/>
          <w:color w:val="auto"/>
        </w:rPr>
      </w:pPr>
      <w:r>
        <w:rPr>
          <w:rFonts w:ascii="Arial" w:cs="Arial" w:eastAsia="Arial" w:hAnsi="Arial"/>
          <w:sz w:val="18"/>
          <w:szCs w:val="18"/>
          <w:color w:val="auto"/>
        </w:rPr>
        <w:t>record date for the dividend to confirm its U.S. residence and claim an exemption. It is strongly recommended that Non-Irish Holders of New Common Stock who are U.S. residents and who wish to hold their New Common Stock outside of DTC complete the appropriate DWT Form and IRS Form 6166 and provide them to Weatherford Parent’s transfer agent.</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If any Non-Irish Holder of New Common Stock that is resident in the United States receives a dividend from which DWT has been withheld, the Non-Irish Holder should generally be entitled to apply for a refund of such DWT from the Irish Revenue Commissioners, provided the Non-Irish Holder is beneficially entitled to the dividend.</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Residents of Other Relevant Territories</w:t>
      </w:r>
      <w:r>
        <w:rPr>
          <w:rFonts w:ascii="Arial" w:cs="Arial" w:eastAsia="Arial" w:hAnsi="Arial"/>
          <w:sz w:val="18"/>
          <w:szCs w:val="18"/>
          <w:color w:val="auto"/>
        </w:rPr>
        <w:t>. Non-Irish Holders of New Common Stock who are residents of Relevant Territories, other than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must satisfy the conditions of one of the exemptions referred to above including the requirement to furnish valid DWT Forms, in order to receive dividends without suffering DWT.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such Non-Irish Holders of New Common Stock hold their shares through DTC, they must provide the appropriate DWT Forms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such Non-Irish Holders of New Common Stock hold their New Common Stock outside of DTC, they must provide the appropriate DWT Forms to Weatherford Parent’s transfer agent at least seven business days before the record date for the dividend. It is strongly recommended that Non-Irish Holders who are residents of Relevant Territories other than the United States and receive New Common Stock pursuant to the Plan complete the appropriate DWT Forms and provide them to their brokers or Weatherford Parent’s transfer agent, as the case may be, as soon as possible after receiving their New Common Stock.</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Partnerships</w:t>
      </w:r>
      <w:r>
        <w:rPr>
          <w:rFonts w:ascii="Arial" w:cs="Arial" w:eastAsia="Arial" w:hAnsi="Arial"/>
          <w:sz w:val="16"/>
          <w:szCs w:val="16"/>
          <w:color w:val="auto"/>
        </w:rPr>
        <w:t>. Dividends paid in respect of New Common Stock held through DTC that are owned by a partnership formed under the laws of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Territory and where all the underlying partners are residents in a Relevant Territory should be entitled to exemption from DWT if all of the partners complete the appropriate DWT Forms and provide them to their brokers (so that such brokers can further transmit the relevant information to a qualifying intermediary appointed by Weatherford Parent) before the record date for the dividend (or such later date before the dividend payment date as may be notified to the shareholder by the broker). If any partner is not a resident of a Relevant Territory, no partner is entitled to exemption from DWT.</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Other Shareholders</w:t>
      </w:r>
      <w:r>
        <w:rPr>
          <w:rFonts w:ascii="Arial" w:cs="Arial" w:eastAsia="Arial" w:hAnsi="Arial"/>
          <w:sz w:val="18"/>
          <w:szCs w:val="18"/>
          <w:color w:val="auto"/>
        </w:rPr>
        <w:t>. Non-Irish Holders of New Common Stock that do not fall within any of the categories specifically referred to above may</w:t>
      </w:r>
      <w:r>
        <w:rPr>
          <w:rFonts w:ascii="Arial" w:cs="Arial" w:eastAsia="Arial" w:hAnsi="Arial"/>
          <w:sz w:val="18"/>
          <w:szCs w:val="18"/>
          <w:i w:val="1"/>
          <w:iCs w:val="1"/>
          <w:color w:val="auto"/>
        </w:rPr>
        <w:t xml:space="preserve"> </w:t>
      </w:r>
      <w:r>
        <w:rPr>
          <w:rFonts w:ascii="Arial" w:cs="Arial" w:eastAsia="Arial" w:hAnsi="Arial"/>
          <w:sz w:val="18"/>
          <w:szCs w:val="18"/>
          <w:color w:val="auto"/>
        </w:rPr>
        <w:t>nonetheless fall within other exemptions from DWT. If any Non-Irish Holders are exempt from DWT, but receive dividends subject to DWT, such Non-Irish Holders may apply for refunds of such DWT from the Irish Revenue Commissioners.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Weatherford Parent intends to put in place an agreement with an entity that is recognized by the Irish Revenue Commissioners as a “qualifying intermediary,” which will provide for certain arrangements relating to distributions in respect of shares of New Common Stock that are held through DTC, which are referred to as the “</w:t>
      </w:r>
      <w:r>
        <w:rPr>
          <w:rFonts w:ascii="Arial" w:cs="Arial" w:eastAsia="Arial" w:hAnsi="Arial"/>
          <w:sz w:val="18"/>
          <w:szCs w:val="18"/>
          <w:b w:val="1"/>
          <w:bCs w:val="1"/>
          <w:u w:val="single" w:color="auto"/>
          <w:color w:val="auto"/>
        </w:rPr>
        <w:t>Deposited Securities</w:t>
      </w:r>
      <w:r>
        <w:rPr>
          <w:rFonts w:ascii="Arial" w:cs="Arial" w:eastAsia="Arial" w:hAnsi="Arial"/>
          <w:sz w:val="18"/>
          <w:szCs w:val="18"/>
          <w:color w:val="auto"/>
        </w:rPr>
        <w:t>.” The agreement is expected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2" w:name="page283"/>
    <w:bookmarkEnd w:id="282"/>
    <w:p>
      <w:pPr>
        <w:ind w:right="160"/>
        <w:spacing w:after="0" w:line="264" w:lineRule="auto"/>
        <w:rPr>
          <w:sz w:val="20"/>
          <w:szCs w:val="20"/>
          <w:color w:val="auto"/>
        </w:rPr>
      </w:pPr>
      <w:r>
        <w:rPr>
          <w:rFonts w:ascii="Arial" w:cs="Arial" w:eastAsia="Arial" w:hAnsi="Arial"/>
          <w:sz w:val="18"/>
          <w:szCs w:val="18"/>
          <w:color w:val="auto"/>
        </w:rPr>
        <w:t>provide that the qualifying intermediary will distribute or otherwise make available to Cede &amp; Co., as nominee for DTC, any cash dividend or other cash distribution with respect to the Deposited Securities after Weatherford Parent delivers or causes to be delivered to the qualifying intermediary the cash to be distributed.</w:t>
      </w:r>
    </w:p>
    <w:p>
      <w:pPr>
        <w:spacing w:after="0" w:line="181" w:lineRule="exact"/>
        <w:rPr>
          <w:sz w:val="20"/>
          <w:szCs w:val="20"/>
          <w:color w:val="auto"/>
        </w:rPr>
      </w:pPr>
    </w:p>
    <w:p>
      <w:pPr>
        <w:ind w:left="3900" w:hanging="651"/>
        <w:spacing w:after="0"/>
        <w:tabs>
          <w:tab w:leader="none" w:pos="3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Irish Income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Irish income tax may arise for certain persons in respect of dividends received from Irish resident companies.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Non-Irish Holder of New Common Stock that is entitled to an exemption from DWT generally has no liability to Irish income tax on a dividend from Weatherford Parent. A Non-Irish Holder that is not entitled to an exemption from DWT generally has no additional Irish income tax liability. The DWT deducted by Weatherford Parent discharges the liability to income tax.</w:t>
      </w:r>
    </w:p>
    <w:p>
      <w:pPr>
        <w:spacing w:after="0" w:line="181" w:lineRule="exact"/>
        <w:rPr>
          <w:sz w:val="20"/>
          <w:szCs w:val="20"/>
          <w:color w:val="auto"/>
        </w:rPr>
      </w:pPr>
    </w:p>
    <w:p>
      <w:pPr>
        <w:ind w:left="3900" w:hanging="651"/>
        <w:spacing w:after="0"/>
        <w:tabs>
          <w:tab w:leader="none" w:pos="39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Capital Acquisitions Tax (“</w:t>
      </w:r>
      <w:r>
        <w:rPr>
          <w:rFonts w:ascii="Arial" w:cs="Arial" w:eastAsia="Arial" w:hAnsi="Arial"/>
          <w:sz w:val="18"/>
          <w:szCs w:val="18"/>
          <w:b w:val="1"/>
          <w:bCs w:val="1"/>
          <w:u w:val="single" w:color="auto"/>
          <w:color w:val="auto"/>
        </w:rPr>
        <w:t>CAT</w:t>
      </w:r>
      <w:r>
        <w:rPr>
          <w:rFonts w:ascii="Arial" w:cs="Arial" w:eastAsia="Arial" w:hAnsi="Arial"/>
          <w:sz w:val="18"/>
          <w:szCs w:val="18"/>
          <w:color w:val="auto"/>
        </w:rPr>
        <w:t>”) comprises principally gift tax and inheritance tax. CAT could apply to a gift or inheritance of New Common Stock irrespective of the place of residence, ordinary residence or domicile of the parties. This is because New Common Stock will be regarded as property situated in Ireland for Irish CAT purposes as the share register of Weatherford Parent must be held in Ireland. The person who receives the gift or inheritance has primary liability for CAT.</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Non-Irish Holders of New Common Stock should consult their own tax advisors as to whether CAT is creditable or deductible in computing any domestic tax liabilities.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124" w:lineRule="exact"/>
        <w:rPr>
          <w:sz w:val="20"/>
          <w:szCs w:val="20"/>
          <w:color w:val="auto"/>
        </w:rPr>
      </w:pPr>
    </w:p>
    <w:p>
      <w:pPr>
        <w:ind w:left="3260" w:hanging="659"/>
        <w:spacing w:after="0"/>
        <w:tabs>
          <w:tab w:leader="none" w:pos="32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New Warrants</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should no Irish tax consequences for Non-Irish Holders on the ownership or exercise of New Warrants. A transfer or disposal of New Warrants by a Non-Irish Holder should not be subject to Irish income tax or capital gains tax.</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83" w:name="page284"/>
    <w:bookmarkEnd w:id="283"/>
    <w:p>
      <w:pPr>
        <w:ind w:left="3900" w:hanging="651"/>
        <w:spacing w:after="0"/>
        <w:tabs>
          <w:tab w:leader="none" w:pos="3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Stamp Duty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disposal or assignment of New Warrants will be subject to Irish stamp duty at 1% on the higher of the price paid or market value of the New Warrant at the time of transfer. Stamp duty is payable by the transferee within 44 days of transfer.</w:t>
      </w:r>
    </w:p>
    <w:p>
      <w:pPr>
        <w:spacing w:after="0" w:line="170" w:lineRule="exact"/>
        <w:rPr>
          <w:sz w:val="20"/>
          <w:szCs w:val="20"/>
          <w:color w:val="auto"/>
        </w:rPr>
      </w:pPr>
    </w:p>
    <w:p>
      <w:pPr>
        <w:ind w:left="3900" w:hanging="651"/>
        <w:spacing w:after="0"/>
        <w:tabs>
          <w:tab w:leader="none" w:pos="3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Capital Acquisitions Tax</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New Warrants may be regarded as Irish property for CAT purposes. The discussion above on CAT in respect of the New Common Stock applies equally to the New Warrants. See the discussion above under the caption “Consequences to Non-Irish Holders—Consequences of Owning and Disposing of New Common Stock—Capital Acquisitions Tax”).</w:t>
      </w:r>
    </w:p>
    <w:p>
      <w:pPr>
        <w:spacing w:after="0" w:line="177"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CERTAIN SWISS TAX CONSEQUENCES OF THE PLAN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is a summary of certain Swiss tax consequences of the Internal Reorganizations to the Debtors and to Holders of Prepetition Notes Claims or Existing Common Stock who are tax resident outside of Switzerland and have neither a taxable presence in Switzerland nor a registration as a Swiss Securities Dealer as defined in Art. 13 of the Swiss Stamp Duty Law (“</w:t>
      </w:r>
      <w:r>
        <w:rPr>
          <w:rFonts w:ascii="Arial" w:cs="Arial" w:eastAsia="Arial" w:hAnsi="Arial"/>
          <w:sz w:val="17"/>
          <w:szCs w:val="17"/>
          <w:b w:val="1"/>
          <w:bCs w:val="1"/>
          <w:u w:val="single" w:color="auto"/>
          <w:color w:val="auto"/>
        </w:rPr>
        <w:t>Non-Swiss Holders</w:t>
      </w:r>
      <w:r>
        <w:rPr>
          <w:rFonts w:ascii="Arial" w:cs="Arial" w:eastAsia="Arial" w:hAnsi="Arial"/>
          <w:sz w:val="17"/>
          <w:szCs w:val="17"/>
          <w:color w:val="auto"/>
        </w:rPr>
        <w:t>”). This summary is based upon current Swiss tax laws, applicable court decisions and practices of the relevant Swiss tax administrations, which are subject to prospective or retroactive change. The summary does not constitute tax or legal advice and the comments below are of a general nature only.</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not expected to be any material Swiss tax consequences to the Debtors or to Non-Swiss Holders as a result of the Internal Reorganizations, including the Irish Migration, other than that Weatherford Parent will generally no longer be subject to taxation in Switzerland.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implementing the Plan, including the Internal Reorganizations, the Debtors intend to ensure that debt issuances by Swiss companies of the Weatherford group do not qualify as bond or bond-like instruments and/or that the proceeds of debt issuances by non-Swiss companies of the Weatherford group will be used in such a way that payments of interest, including periodic interest payments and other payments that are treated like interest payments for Swiss tax purposes, are not subject to Swiss withholding taxes. More specifically, the Debtors intend that none of such proceeds are used in a manner that would trigger a flow back of funds to Switzerland. Alternatively, the Debtors intend that such debt will not be treated as bonds or bond-like instruments under applicable Swiss tax law. The flow back of funds to Switzerland from the issuance of bonds or bond-like instruments by non-Swiss subsidiaries of Weatherford Parent would generally cause interest payments to be subject to Swiss withholding tax.</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Debtors intend to obtain rulings from Swiss tax authorities confirming, among other things, that no Swiss income or withholding tax or stamp duties will be due as a result of the Irish Migration, that following the Irish Migration Weatherford Parent will no longer being subject to taxation in Switzerland, and that either the Debtors’ intended use of proceeds from debt issued by Weatherford Parent’s non-Swiss Subsidiaries will not result in a flow back of funds to Switzerland or that the intended terms of such debt will not result in it being treated as bonds or bond-like instruments for Swiss tax purposes. No assurance can be given, however, that the Swiss tax authorities will provide such confirmations. Moreover, the Debtors have not obtained, nor do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4" w:name="page285"/>
    <w:bookmarkEnd w:id="284"/>
    <w:p>
      <w:pPr>
        <w:ind w:right="240"/>
        <w:spacing w:after="0" w:line="277" w:lineRule="auto"/>
        <w:rPr>
          <w:sz w:val="20"/>
          <w:szCs w:val="20"/>
          <w:color w:val="auto"/>
        </w:rPr>
      </w:pPr>
      <w:r>
        <w:rPr>
          <w:rFonts w:ascii="Arial" w:cs="Arial" w:eastAsia="Arial" w:hAnsi="Arial"/>
          <w:sz w:val="18"/>
          <w:szCs w:val="18"/>
          <w:color w:val="auto"/>
        </w:rPr>
        <w:t>Debtors intend to obtain, a legal opinion of counsel with respect to these conclusions. No assurance can be given that Swiss tax authorities will not assert different positions than those discussed herein.</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EXISTING AND PROSPECTIVE HOLDERS OF CLAIMS AND EQUITY INTERESTS ARE URGED TO CONSULT THEIR TAX ADVISORS ABOUT THE APPLICATION OF THE SWISS TAX RULES TO THEIR PARTICULAR CIRCUMSTANCES. THEY ARE IN PARTICULAR ADVISED TO REVIEW HOW THE SWISS FEDERAL AND CANTONAL/COMMUNAL TAX CONSEQUENCES OF THE RESTRUCTURING TRANSACTIONS AND THE IMPLEMENTATION OF THE PLAN APPLY TO THEM.</w:t>
      </w:r>
    </w:p>
    <w:p>
      <w:pPr>
        <w:spacing w:after="0" w:line="180"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CERTAIN BERMUDIAN TAX CONSEQUENCES OF THE PLAN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Holders of Prepetition Notes or New Tranche B Senior Unsecured Notes in respect of such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shares, debentures or other obligations except insofar as such tax applies to persons ordinarily resident in Bermuda or is payable by Weatherford Bermuda in respect of real property owned or leased by it in Bermuda.</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ALTERNATIVES TO CONFIRMATION AND CONSUMMATION OF THE PLAN</w:t>
      </w:r>
    </w:p>
    <w:p>
      <w:pPr>
        <w:spacing w:after="0" w:line="207"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UNDER CHAPTER 7 OF THE BANKRUPTCY CODE</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the Plan or an alternative chapter 11 plan of reorganization cannot be confirmed, the Chapter 11 Cases may be converted to cases under chapter 7 of the Bankruptcy Code in which case, a trustee would be elected or appointed to liquidate the Debtors’ assets. A discussion of the effect a chapter 7 liquidation would have on the recovery of Holders of Claims is set forth in Section VII.F herein, titled “Statutory Requirements for Confirmation of the Plan.” The Debtors believe that liquidation under chapter 7 would result in (i) smaller distributions being made to creditors entitled to a recovery than those provided for in the Plan based on the liquidation value of the Debtors’ assets and because of the additional administrative expenses involved in the appointment of a trustee and attorneys and other professionals to assist such trustee, (ii) additional expenses and claims, some of which would be entitled to priority, which would be generated during the liquidation and from the rejection of unexpired leases and executory contracts in connection with the cessation of the Debtors’ operations, and (iii) the failure to realize the greater, going-concern value of all of the Debtors’ assets.</w:t>
      </w:r>
    </w:p>
    <w:p>
      <w:pPr>
        <w:spacing w:after="0" w:line="162"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FILING OF AN ALTERNATIVE PLAN OF REORGANIZATION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the Plan is not confirmed, the Debtors or any other party in interest could attempt to formulate a different chapter 11 plan of reorganization. Such a plan might involve either a reorganization and continuation of the Debtors’ businesses or an orderly liquidation of the Debtors’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5" w:name="page286"/>
    <w:bookmarkEnd w:id="285"/>
    <w:p>
      <w:pPr>
        <w:ind w:right="120"/>
        <w:spacing w:after="0" w:line="277" w:lineRule="auto"/>
        <w:rPr>
          <w:sz w:val="20"/>
          <w:szCs w:val="20"/>
          <w:color w:val="auto"/>
        </w:rPr>
      </w:pPr>
      <w:r>
        <w:rPr>
          <w:rFonts w:ascii="Arial" w:cs="Arial" w:eastAsia="Arial" w:hAnsi="Arial"/>
          <w:sz w:val="18"/>
          <w:szCs w:val="18"/>
          <w:color w:val="auto"/>
        </w:rPr>
        <w:t>assets. As discussed above, during the negotiations prior to the filing of the Chapter 11 Cases and the Plan, the Debtors explored various alternatives to the Plan.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Debtors believe that the Plan, and the associated Exit Facility, Rights Offering, and Backstop Commitment Agreement enables the Debtors to emerge from chapter 11 successfully and expeditiously, preserving their businesses and allowing their creditors to realize the highest recoveries under the circumstances. In a liquidation under chapter 11 of the Bankruptcy Code, the assets of the Debtors would be sold in an orderly fashion over a more extended period of time than in a liquidation under chapter 7, and a trustee need not be appointed. Accordingly, creditors would receive greater recoveries than in a chapter 7 liquidation. Although a chapter 11 liquidation is preferable to a chapter 7 liquidation, the Debtors believe that a liquidation under chapter 11 is a much less attractive alternative to creditors than the Plan because the Plan provides for a greater return to creditors.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prolonged continuation of the Chapter 11 Cases is likely to adversely affect the Debtors’ businesses and operations. So long as the Chapter 11 Cases continue, senior management of the Debtors will be required to spend a significant amount of time and effort dealing with the Debtors’ reorganization instead of focusing exclusively on business operations. In addition, the longer the Chapter 11 Cases continue, the more likely it is that the Debtors’ vendors and service providers will lose confidence in the Debtors’ ability to reorganize their businesses successfully and will seek to establish alternative commercial relationships. Furthermore, so long as the Chapter 11 Cases continue, the Debtors will be required to incur substantial costs for professional fees and other expenses associated with the proceedings. The prolonged continuation of the Chapter 11 Cases may also result in the termination of the Restructuring Support Agreement which would be value destructive for all parties in interest. In addition, the Debtors may no longer be permitted to use cash collateral on a consensual basis. Under these circumstances, it is unlikely the Debtors could successfully reorganize without damage to their business operations and material decreases in recoveries for creditors.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u w:val="single" w:color="auto"/>
          <w:color w:val="auto"/>
        </w:rPr>
        <w:t>RECOMMENDATION</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 the opinion of the Debtors, the Plan is preferable to the alternatives described in this Disclosure Statement because it provides for a larger distribution to the Debtors’ creditors than would otherwise result in a liquidation under chapter 7 of the Bankruptcy Code. In addition, any alternative other than confirmation of the Plan could result in extensive delays and increased administrative expenses resulting in smaller distributions to Holders of Allowed Claims and Equity Interests than that which is proposed under the Plan. Accordingly, the Debtors recommend that Holders of Claims and Equity Interests entitled to vote on the Plan support confirmation of the Plan and vote to accept the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Respectfully submitted,</w:t>
            </w:r>
          </w:p>
        </w:tc>
        <w:tc>
          <w:tcPr>
            <w:tcW w:w="570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Weatherford International plc</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By: Christoph Bausch</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Dated: June 28, 2019</w:t>
            </w:r>
          </w:p>
        </w:tc>
      </w:tr>
      <w:tr>
        <w:trPr>
          <w:trHeight w:val="432"/>
        </w:trPr>
        <w:tc>
          <w:tcPr>
            <w:tcW w:w="5720" w:type="dxa"/>
            <w:vAlign w:val="bottom"/>
          </w:tcPr>
          <w:p>
            <w:pPr>
              <w:ind w:left="660"/>
              <w:spacing w:after="0"/>
              <w:rPr>
                <w:sz w:val="20"/>
                <w:szCs w:val="20"/>
                <w:color w:val="auto"/>
              </w:rPr>
            </w:pPr>
            <w:r>
              <w:rPr>
                <w:rFonts w:ascii="Arial" w:cs="Arial" w:eastAsia="Arial" w:hAnsi="Arial"/>
                <w:sz w:val="18"/>
                <w:szCs w:val="18"/>
                <w:color w:val="auto"/>
              </w:rPr>
              <w:t>Prepared by:</w:t>
            </w:r>
          </w:p>
        </w:tc>
        <w:tc>
          <w:tcPr>
            <w:tcW w:w="5700" w:type="dxa"/>
            <w:vAlign w:val="bottom"/>
          </w:tcPr>
          <w:p>
            <w:pPr>
              <w:spacing w:after="0"/>
              <w:rPr>
                <w:sz w:val="24"/>
                <w:szCs w:val="24"/>
                <w:color w:val="auto"/>
              </w:rPr>
            </w:pPr>
          </w:p>
        </w:tc>
      </w:tr>
      <w:tr>
        <w:trPr>
          <w:trHeight w:val="43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rPr>
              <w:t>HUNTON ANDREWS KURTH LLP</w:t>
            </w:r>
          </w:p>
        </w:tc>
        <w:tc>
          <w:tcPr>
            <w:tcW w:w="5700" w:type="dxa"/>
            <w:vAlign w:val="bottom"/>
          </w:tcPr>
          <w:p>
            <w:pPr>
              <w:jc w:val="center"/>
              <w:ind w:left="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color w:val="auto"/>
                <w:w w:val="94"/>
              </w:rPr>
              <w:t>Timothy A. (“Tad”) Davidson II (No. 240112503)</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2"/>
              </w:rPr>
              <w:t>Ashley L. Harper (No. 24065272)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90"/>
              </w:rPr>
              <w:t>600 Travis Street, Suite 4200</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Houston, Texas 77002</w:t>
            </w:r>
          </w:p>
        </w:tc>
        <w:tc>
          <w:tcPr>
            <w:tcW w:w="5700" w:type="dxa"/>
            <w:vAlign w:val="bottom"/>
          </w:tcPr>
          <w:p>
            <w:pPr>
              <w:jc w:val="center"/>
              <w:ind w:left="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color w:val="auto"/>
                <w:w w:val="89"/>
              </w:rPr>
              <w:t>Telephone: (713) 220-4200</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30"/>
        </w:trPr>
        <w:tc>
          <w:tcPr>
            <w:tcW w:w="5720" w:type="dxa"/>
            <w:vAlign w:val="bottom"/>
          </w:tcPr>
          <w:p>
            <w:pPr>
              <w:jc w:val="center"/>
              <w:spacing w:after="0"/>
              <w:rPr>
                <w:sz w:val="20"/>
                <w:szCs w:val="20"/>
                <w:color w:val="auto"/>
              </w:rPr>
            </w:pPr>
            <w:r>
              <w:rPr>
                <w:rFonts w:ascii="Arial" w:cs="Arial" w:eastAsia="Arial" w:hAnsi="Arial"/>
                <w:sz w:val="18"/>
                <w:szCs w:val="18"/>
                <w:color w:val="auto"/>
                <w:w w:val="91"/>
              </w:rPr>
              <w:t>Facsimile: (713) 220-4285</w:t>
            </w:r>
          </w:p>
        </w:tc>
        <w:tc>
          <w:tcPr>
            <w:tcW w:w="5700" w:type="dxa"/>
            <w:vAlign w:val="bottom"/>
          </w:tcPr>
          <w:p>
            <w:pPr>
              <w:jc w:val="center"/>
              <w:ind w:left="110"/>
              <w:spacing w:after="0"/>
              <w:rPr>
                <w:sz w:val="20"/>
                <w:szCs w:val="20"/>
                <w:color w:val="auto"/>
              </w:rPr>
            </w:pPr>
            <w:r>
              <w:rPr>
                <w:rFonts w:ascii="Arial" w:cs="Arial" w:eastAsia="Arial" w:hAnsi="Arial"/>
                <w:sz w:val="18"/>
                <w:szCs w:val="18"/>
                <w:color w:val="auto"/>
                <w:w w:val="91"/>
              </w:rPr>
              <w:t>885 Third Avenue</w:t>
            </w:r>
          </w:p>
        </w:tc>
      </w:tr>
    </w:tbl>
    <w:p>
      <w:pPr>
        <w:ind w:left="76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Telephone: (212) 906-1200</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Facsimile: (212) 751-4864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7" w:name="page288"/>
    <w:bookmarkEnd w:id="287"/>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Liquidation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u w:val="single" w:color="auto"/>
          <w:color w:val="auto"/>
        </w:rPr>
        <w:t>LIQUIDATION ANALYSIS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Often referred to as the “best interests of creditors” test, section 1129(a)(7) of the Bankruptcy Code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requires that a Bankruptcy Court find, as a condition to confirmation of a plan of reorganization, that each holder of a claim or interest in each impaired class either (i) has accepted the plan; or (ii) will receive or retain under the plan property of a value, as of the effective date of the confirmed plan, that is not less than the amount such holder would receive if the debtor was liquidated under chapter 7 of the Bankruptcy Code.</w:t>
      </w:r>
      <w:r>
        <w:rPr>
          <w:rFonts w:ascii="Arial" w:cs="Arial" w:eastAsia="Arial" w:hAnsi="Arial"/>
          <w:sz w:val="23"/>
          <w:szCs w:val="23"/>
          <w:color w:val="auto"/>
          <w:vertAlign w:val="superscript"/>
        </w:rPr>
        <w:t>(2)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conduct this Liquidation Analysis, the Debtors and their advisors have taken the following steps:</w:t>
      </w:r>
    </w:p>
    <w:p>
      <w:pPr>
        <w:spacing w:after="0" w:line="221" w:lineRule="exact"/>
        <w:rPr>
          <w:sz w:val="20"/>
          <w:szCs w:val="20"/>
          <w:color w:val="auto"/>
        </w:rPr>
      </w:pPr>
    </w:p>
    <w:p>
      <w:pPr>
        <w:ind w:left="720" w:right="20" w:hanging="334"/>
        <w:spacing w:after="0" w:line="282" w:lineRule="auto"/>
        <w:tabs>
          <w:tab w:leader="none" w:pos="73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estimated the cash proceeds that a chapter 7 trustee (a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would generate if each Debtor’s chapter 11 case was converted to a chapter 7 case on the Effective Date and the assets of such Debtor’s estate were liquidated (the “</w:t>
      </w:r>
      <w:r>
        <w:rPr>
          <w:rFonts w:ascii="Arial" w:cs="Arial" w:eastAsia="Arial" w:hAnsi="Arial"/>
          <w:sz w:val="18"/>
          <w:szCs w:val="18"/>
          <w:b w:val="1"/>
          <w:bCs w:val="1"/>
          <w:u w:val="single" w:color="auto"/>
          <w:color w:val="auto"/>
        </w:rPr>
        <w:t>Liquidation Proceeds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right="100" w:hanging="334"/>
        <w:spacing w:after="0" w:line="277" w:lineRule="auto"/>
        <w:tabs>
          <w:tab w:leader="none" w:pos="74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determined the distribution that each holder of a Claim or Interest would receive from the Liquidation Proceeds under the priority scheme set forth in chapter 7 (the “</w:t>
      </w:r>
      <w:r>
        <w:rPr>
          <w:rFonts w:ascii="Arial" w:cs="Arial" w:eastAsia="Arial" w:hAnsi="Arial"/>
          <w:sz w:val="18"/>
          <w:szCs w:val="18"/>
          <w:b w:val="1"/>
          <w:bCs w:val="1"/>
          <w:u w:val="single" w:color="auto"/>
          <w:color w:val="auto"/>
        </w:rPr>
        <w:t>Liquidation Distribution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720" w:right="140" w:hanging="334"/>
        <w:spacing w:after="0" w:line="277" w:lineRule="auto"/>
        <w:tabs>
          <w:tab w:leader="none" w:pos="75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compared each holder’s Liquidation Distribution to the distribution such holder would receive under the Debtors’ chapter 11 Plan if the Plan were confirmed and consummated (the “</w:t>
      </w:r>
      <w:r>
        <w:rPr>
          <w:rFonts w:ascii="Arial" w:cs="Arial" w:eastAsia="Arial" w:hAnsi="Arial"/>
          <w:sz w:val="18"/>
          <w:szCs w:val="18"/>
          <w:b w:val="1"/>
          <w:bCs w:val="1"/>
          <w:u w:val="single" w:color="auto"/>
          <w:color w:val="auto"/>
        </w:rPr>
        <w:t>Plan Distribution</w:t>
      </w:r>
      <w:r>
        <w:rPr>
          <w:rFonts w:ascii="Arial" w:cs="Arial" w:eastAsia="Arial" w:hAnsi="Arial"/>
          <w:sz w:val="18"/>
          <w:szCs w:val="18"/>
          <w:color w:val="auto"/>
        </w:rPr>
        <w: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Liquidation Analysis represents an estimate of cash distributions and recovery percentages based on a hypothetical chapter 7 liquidation of the Debtors’ assets. It is therefore a hypothetical analysis based on certain assumptions discussed herein and in the Disclosure Statement. As such, asset values and claims discussed herein may differ materially from amounts referred to in the Plan and Disclosure Statement. The Liquidation Analysis should be read in conjunction with the assumptions, qualifications, and explanations set forth in the Disclosure Statement and the Plan in their entirety, as well as the notes and assumptions set forth below.</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determination of the costs of, and proceeds from, the hypothetical liquidation of the Debtors’ assets in a chapter 7 case involves the use of estimates and assumptions that, although considered reasonable by the Debtors based on their business judgment and input from their advisors, are subject to significant business, economic, and competitive uncertainties and contingencies beyond the control of the Debtors, their management and their advisors. The Liquidation Analysis was prepared for the sole purpose of generating a reasonable, good faith estimate of the proceeds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0"/>
          <w:szCs w:val="20"/>
          <w:color w:val="auto"/>
        </w:rPr>
      </w:pPr>
    </w:p>
    <w:p>
      <w:pPr>
        <w:ind w:right="160" w:firstLine="8"/>
        <w:spacing w:after="0" w:line="242" w:lineRule="auto"/>
        <w:tabs>
          <w:tab w:leader="none" w:pos="141" w:val="left"/>
        </w:tabs>
        <w:numPr>
          <w:ilvl w:val="0"/>
          <w:numId w:val="392"/>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this Liquidation Analysis is attached as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w:t>
      </w:r>
    </w:p>
    <w:p>
      <w:pPr>
        <w:spacing w:after="0" w:line="113" w:lineRule="exact"/>
        <w:rPr>
          <w:rFonts w:ascii="Arial" w:cs="Arial" w:eastAsia="Arial" w:hAnsi="Arial"/>
          <w:sz w:val="16"/>
          <w:szCs w:val="16"/>
          <w:color w:val="auto"/>
          <w:vertAlign w:val="superscript"/>
        </w:rPr>
      </w:pPr>
    </w:p>
    <w:p>
      <w:pPr>
        <w:ind w:right="160" w:firstLine="8"/>
        <w:spacing w:after="0" w:line="263" w:lineRule="auto"/>
        <w:tabs>
          <w:tab w:leader="none" w:pos="133" w:val="left"/>
        </w:tabs>
        <w:numPr>
          <w:ilvl w:val="0"/>
          <w:numId w:val="392"/>
        </w:numPr>
        <w:rPr>
          <w:rFonts w:ascii="Arial" w:cs="Arial" w:eastAsia="Arial" w:hAnsi="Arial"/>
          <w:sz w:val="15"/>
          <w:szCs w:val="15"/>
          <w:color w:val="auto"/>
          <w:vertAlign w:val="superscript"/>
        </w:rPr>
      </w:pPr>
      <w:r>
        <w:rPr>
          <w:rFonts w:ascii="Arial" w:cs="Arial" w:eastAsia="Arial" w:hAnsi="Arial"/>
          <w:sz w:val="12"/>
          <w:szCs w:val="12"/>
          <w:color w:val="auto"/>
        </w:rPr>
        <w:t>Additional references to chapter 7 throughout this exhibit assumed to encompass similar insolvency proceedings in non-US jurisdictions. Local / jurisdictional laws and/or rules governing liquidation priorities outside the US are assumed to be generally consistent with those set forth in chapter 7 of the Bankruptcy Code. Any deviations of such laws and/or rules would not materially impact the conclusions of this analysis.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9" w:name="page290"/>
    <w:bookmarkEnd w:id="289"/>
    <w:p>
      <w:pPr>
        <w:ind w:right="280"/>
        <w:spacing w:after="0" w:line="277" w:lineRule="auto"/>
        <w:rPr>
          <w:sz w:val="20"/>
          <w:szCs w:val="20"/>
          <w:color w:val="auto"/>
        </w:rPr>
      </w:pPr>
      <w:r>
        <w:rPr>
          <w:rFonts w:ascii="Arial" w:cs="Arial" w:eastAsia="Arial" w:hAnsi="Arial"/>
          <w:sz w:val="18"/>
          <w:szCs w:val="18"/>
          <w:color w:val="auto"/>
        </w:rPr>
        <w:t>would be generated if the Debtors’ assets were liquidated in accordance with chapter 7 of the Bankruptcy Code. The Liquidation Analysis is not intended, and should not be used, for any other purpose.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the limitations and risk factors set forth in the Disclosure Statement are applicable to this Liquidation Analysis and are incorporated by reference herein. The underlying financial information in the Liquidation Analysis was prepared using policies that are generally consistent with those applied in historical financial statements but was not compiled or examined by independent accountants and was not prepared to comply with GAAP or SEC reporting requirements.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DEBTORS AND THEIR ADVISORS MAKE NO REPRESENTATIONS OR WARRANTIES REGARDING THE ACCURACY OF THE ESTIMATES CONTAINED HEREIN OR A CHAPTER 7 TRUSTEE’S ABILITY TO ACHIEVE FORECASTED RESULTS. IN THE EVENT THESE CHAPTER 11 CASES ARE CONVERTED TO A CHAPTER 7 LIQUIDATION, ACTUAL RESULTS COULD VARY FROM THE ESTIMATES SET FORTH IN THIS LIQUIDATION ANALYSIS.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Liquidation Analysis has been prepared assuming that the Debtors’ chapter 7 liquidation commences on or about September 30, 2019 (the “</w:t>
      </w:r>
      <w:r>
        <w:rPr>
          <w:rFonts w:ascii="Arial" w:cs="Arial" w:eastAsia="Arial" w:hAnsi="Arial"/>
          <w:sz w:val="18"/>
          <w:szCs w:val="18"/>
          <w:b w:val="1"/>
          <w:bCs w:val="1"/>
          <w:color w:val="auto"/>
        </w:rPr>
        <w:t>Liquidation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pro forma values referenced herein are projected as of the Liquidation Date and utilize the March 31, 2019 balance sheet and projected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cash flow over the projection period to the assumed Liquidation Date. The Debtors have assumed that the Liquidation Date is a reasonable proxy for the anticipated Effective Date. The Liquidation Analysis was prepared on a legal entity basis for each Debtor (and non-debtor) and, for presentation purposes, summarized into a consolidated report.</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preparing the Liquidation Analysis, the Debtors estimated Allowed Claims based on a review of the Debtors’ financial statements and projected results of operations and cash flow over the projection period to account for estimated liabilities, as necessary. The cessation of business in a liquidation is likely to trigger certain claims and funding requirements that would otherwise not exist under the Plan absent a liquidation. Such claims could include chapter 7 administrative expense claims, including, wind down costs, trustee fees, and professional fees, among other claims. Some of these claims and funding obligations could be significant and would be entitled to administrative or priority status in payment from liquidation proceeds. The Debtors’ estimates of Allowed Claims set forth in the Liquidation Analysis should not be relied on for the purpose of determining the value of any distribution to be made on account of Allowed Claims or Interests under the Plan.</w:t>
      </w:r>
    </w:p>
    <w:p>
      <w:pPr>
        <w:spacing w:after="0" w:line="18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NOTHING CONTAINED IN THE LIQUIDATION ANALYSIS IS INTENDED TO BE, OR CONSTITUTES, A CONCESSION, ADMISSION, OR ALLOWANCE OF ANY CLAIM BY THE DEBTORS. THE ACTUAL AMOUNT OR PRIORITY OF ALLOWED CLAIMS IN THE CHAPTER 11 CASES COULD MATERIALLY DIFFER FROM THE ESTIMATED AMOUNTS SET FORTH AND USED IN THE LIQUIDATION ANALYSIS. THE DEBTORS RESERVE ALL RIGHTS TO SUPPLEMENT, MODIFY, OR AMEND THE ANALYSIS SET FORTH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0" w:name="page291"/>
    <w:bookmarkEnd w:id="290"/>
    <w:p>
      <w:pPr>
        <w:ind w:right="20"/>
        <w:spacing w:after="0" w:line="259" w:lineRule="auto"/>
        <w:rPr>
          <w:sz w:val="20"/>
          <w:szCs w:val="20"/>
          <w:color w:val="auto"/>
        </w:rPr>
      </w:pPr>
      <w:r>
        <w:rPr>
          <w:rFonts w:ascii="Arial" w:cs="Arial" w:eastAsia="Arial" w:hAnsi="Arial"/>
          <w:sz w:val="18"/>
          <w:szCs w:val="18"/>
          <w:color w:val="auto"/>
        </w:rPr>
        <w:t>Chapter 7 administrative expense claims that arise in a liquidation scenario would be paid in full from the Liquidation Proceeds prior to proceeds being made available for distribution to holders of Allowed Claims. Under the “absolute priority rule,” no junior creditor may receive any distributions until all senior creditors are paid in full, and no equity holder may receive any distribution until all creditors are paid in full. The assumed distributions to creditors as reflected in the Liquidation Analysis are estimated in accordance with the absolute priority rule.</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Liquidation Analysis does not include any recoveries or related litigation costs resulting from any potential preference, fraudulent transfer, or other litigation or avoidance actions that may be available under the Bankruptcy Code because of the cost of such litigation, the uncertainty of the outcome, and potential disputes regarding these matters. In addition, the Liquidation Analysis assumes all customer contracts are terminated on the Liquidation Date. Rejection damages claims have not, however, been estimated for purposes of this analysis, though such claims could be material. Finally, the Liquidation Analysis does not include estimates for the tax consequences that may be triggered upon the liquidation and sale of assets in the manner described above. Such tax consequences could be material.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LIQUIDATION PROCESS</w:t>
      </w:r>
    </w:p>
    <w:p>
      <w:pPr>
        <w:spacing w:after="0" w:line="229" w:lineRule="exact"/>
        <w:rPr>
          <w:sz w:val="20"/>
          <w:szCs w:val="20"/>
          <w:color w:val="auto"/>
        </w:rPr>
      </w:pPr>
    </w:p>
    <w:p>
      <w:pPr>
        <w:jc w:val="both"/>
        <w:ind w:right="220"/>
        <w:spacing w:after="0" w:line="273" w:lineRule="auto"/>
        <w:rPr>
          <w:sz w:val="20"/>
          <w:szCs w:val="20"/>
          <w:color w:val="auto"/>
        </w:rPr>
      </w:pPr>
      <w:r>
        <w:rPr>
          <w:rFonts w:ascii="Arial" w:cs="Arial" w:eastAsia="Arial" w:hAnsi="Arial"/>
          <w:sz w:val="18"/>
          <w:szCs w:val="18"/>
          <w:color w:val="auto"/>
        </w:rPr>
        <w:t>The Debtors’ liquidation would be conducted pursuant to chapter 7 of the Bankruptcy Code. The Debtors have assumed that their liquidation would occur over approximately six months during which the Trustee would efficiently and effectively monetize substantially all the assets on the consolidated balance sheet and administer and wind-down the estates.</w:t>
      </w:r>
      <w:r>
        <w:rPr>
          <w:rFonts w:ascii="Arial" w:cs="Arial" w:eastAsia="Arial" w:hAnsi="Arial"/>
          <w:sz w:val="23"/>
          <w:szCs w:val="23"/>
          <w:color w:val="auto"/>
          <w:vertAlign w:val="superscript"/>
        </w:rPr>
        <w:t>(3)</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the Trustee’s liquidation process, the initial step would be to develop a liquidation plan designed to generate proceeds from the sale of assets that it would then distribute to creditors. This liquidation process would have three major components:</w:t>
      </w:r>
    </w:p>
    <w:p>
      <w:pPr>
        <w:spacing w:after="0" w:line="166" w:lineRule="exact"/>
        <w:rPr>
          <w:sz w:val="20"/>
          <w:szCs w:val="20"/>
          <w:color w:val="auto"/>
        </w:rPr>
      </w:pPr>
    </w:p>
    <w:p>
      <w:pPr>
        <w:ind w:left="720" w:hanging="334"/>
        <w:spacing w:after="0"/>
        <w:tabs>
          <w:tab w:leader="none" w:pos="72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Cash proceeds from asset sales (“</w:t>
      </w:r>
      <w:r>
        <w:rPr>
          <w:rFonts w:ascii="Arial" w:cs="Arial" w:eastAsia="Arial" w:hAnsi="Arial"/>
          <w:sz w:val="18"/>
          <w:szCs w:val="18"/>
          <w:b w:val="1"/>
          <w:bCs w:val="1"/>
          <w:u w:val="single" w:color="auto"/>
          <w:color w:val="auto"/>
        </w:rPr>
        <w:t>Gross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Costs to liquidate the business and administer the estates under chapter 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Liquidation Adjustments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Remaining proceeds available for distribution to claimants (“</w:t>
      </w:r>
      <w:r>
        <w:rPr>
          <w:rFonts w:ascii="Arial" w:cs="Arial" w:eastAsia="Arial" w:hAnsi="Arial"/>
          <w:sz w:val="18"/>
          <w:szCs w:val="18"/>
          <w:b w:val="1"/>
          <w:bCs w:val="1"/>
          <w:u w:val="single" w:color="auto"/>
          <w:color w:val="auto"/>
        </w:rPr>
        <w:t>Net Distribution Proceeds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Gross Distribution Proceeds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Gross Distribution Proceeds reflect the proceeds the Trustee would generate from a hypothetical chapter 7 liquidation. Under section 704 of the Bankruptcy Code, a Trustee must, among other duties, collect and convert property of the Estates as expeditiously as is compatible with the best interests of parties in interest, which could result in potentially distressed recoveries. This Liquidation Analysis assumes the Trustee will market the assets on an accelerated timeline and consummate the sale transactions within six months from the Liquidation Date. Asset values in the liquidation process will likely be materially reduced due to, among other things,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firstLine="8"/>
        <w:spacing w:after="0"/>
        <w:tabs>
          <w:tab w:leader="none" w:pos="133" w:val="left"/>
        </w:tabs>
        <w:numPr>
          <w:ilvl w:val="0"/>
          <w:numId w:val="395"/>
        </w:numPr>
        <w:rPr>
          <w:rFonts w:ascii="Arial" w:cs="Arial" w:eastAsia="Arial" w:hAnsi="Arial"/>
          <w:sz w:val="15"/>
          <w:szCs w:val="15"/>
          <w:color w:val="auto"/>
          <w:vertAlign w:val="superscript"/>
        </w:rPr>
      </w:pPr>
      <w:r>
        <w:rPr>
          <w:rFonts w:ascii="Arial" w:cs="Arial" w:eastAsia="Arial" w:hAnsi="Arial"/>
          <w:sz w:val="12"/>
          <w:szCs w:val="12"/>
          <w:color w:val="auto"/>
        </w:rPr>
        <w:t>Although the Liquidation Analysis assumes the liquidation process would occur over a six-month period, it is possible the disposition and recovery from certain assets could take shorter or longer to realize.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color w:val="auto"/>
        </w:rPr>
        <w:t>accelerated time frame in which the assets are marketed and sold; (ii) negative vendor / customer reaction; and (iii) the generally forced nature of the sale.</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Debtors have assumed the Trustee will retain lawyers, financial advisors, and investment bankers to support the sale and transition of assets over the six-month liquidation period.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The Liquidation Adjustments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Liquidation Adjustments reflect the costs the Trustee would incur to monetize the assets and wind down the estates in chapter 7 and include the following:</w:t>
      </w:r>
    </w:p>
    <w:p>
      <w:pPr>
        <w:spacing w:after="0" w:line="166" w:lineRule="exact"/>
        <w:rPr>
          <w:sz w:val="20"/>
          <w:szCs w:val="20"/>
          <w:color w:val="auto"/>
        </w:rPr>
      </w:pPr>
    </w:p>
    <w:p>
      <w:pPr>
        <w:ind w:left="940" w:hanging="284"/>
        <w:spacing w:after="0"/>
        <w:tabs>
          <w:tab w:leader="none" w:pos="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Expenses necessary to efficiently and effectively monetize the assets (the “</w:t>
      </w:r>
      <w:r>
        <w:rPr>
          <w:rFonts w:ascii="Arial" w:cs="Arial" w:eastAsia="Arial" w:hAnsi="Arial"/>
          <w:sz w:val="18"/>
          <w:szCs w:val="18"/>
          <w:b w:val="1"/>
          <w:bCs w:val="1"/>
          <w:color w:val="auto"/>
        </w:rPr>
        <w:t>Wind Down Budget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Chapter 7 professional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Chapter 7 Trustee fees;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Employee severance paid pursuant to local laws.</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Net Distribution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Distribution Proceeds reflect amounts available to Holders of Claims after the Liquidation Adjustments are netted against the Gross Distribution Proceeds. Under this analysis, the Liquidation Proceeds are distributed to Holders of Claims against, and Equity Interests in, the Debtors in accordance with the Bankruptcy Code’s priority scheme:</w:t>
      </w:r>
    </w:p>
    <w:p>
      <w:pPr>
        <w:spacing w:after="0" w:line="181" w:lineRule="exact"/>
        <w:rPr>
          <w:sz w:val="20"/>
          <w:szCs w:val="20"/>
          <w:color w:val="auto"/>
        </w:rPr>
      </w:pPr>
    </w:p>
    <w:p>
      <w:pPr>
        <w:ind w:left="980" w:right="22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Superpriority Carve-Out Claims</w:t>
      </w:r>
      <w:r>
        <w:rPr>
          <w:rFonts w:ascii="Arial" w:cs="Arial" w:eastAsia="Arial" w:hAnsi="Arial"/>
          <w:sz w:val="18"/>
          <w:szCs w:val="18"/>
          <w:color w:val="auto"/>
        </w:rPr>
        <w:t xml:space="preserve"> — Claims attributed to accrued and unpaid fees for the U.S. Trustee and Clerk of the Bankruptcy Court, and certain professionals;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44"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Superpriority DIP Claims</w:t>
      </w:r>
      <w:r>
        <w:rPr>
          <w:rFonts w:ascii="Arial" w:cs="Arial" w:eastAsia="Arial" w:hAnsi="Arial"/>
          <w:sz w:val="18"/>
          <w:szCs w:val="18"/>
          <w:color w:val="auto"/>
        </w:rPr>
        <w:t xml:space="preserve"> — Claims attributed to the DIP Credit Agreement, including accrued and unpaid principal and interest as of the Liquidation Date;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r>
        <w:rPr>
          <w:rFonts w:ascii="Arial" w:cs="Arial" w:eastAsia="Arial" w:hAnsi="Arial"/>
          <w:sz w:val="18"/>
          <w:szCs w:val="18"/>
          <w:color w:val="auto"/>
        </w:rPr>
        <w:t xml:space="preserve"> — there are no assumed Other Priority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r>
        <w:rPr>
          <w:rFonts w:ascii="Arial" w:cs="Arial" w:eastAsia="Arial" w:hAnsi="Arial"/>
          <w:sz w:val="18"/>
          <w:szCs w:val="18"/>
          <w:color w:val="auto"/>
        </w:rPr>
        <w:t xml:space="preserve"> — there are no assumed Other Secured Claims for purposes of the Liquidation Analysis;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r>
        <w:rPr>
          <w:rFonts w:ascii="Arial" w:cs="Arial" w:eastAsia="Arial" w:hAnsi="Arial"/>
          <w:sz w:val="18"/>
          <w:szCs w:val="18"/>
          <w:color w:val="auto"/>
        </w:rPr>
        <w:t xml:space="preserve"> — Claims attributed to accrued and unpaid income, sales and use, franchise, property, VAT and other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Prepetition Revolving Credit Claims</w:t>
      </w:r>
      <w:r>
        <w:rPr>
          <w:rFonts w:ascii="Arial" w:cs="Arial" w:eastAsia="Arial" w:hAnsi="Arial"/>
          <w:sz w:val="16"/>
          <w:szCs w:val="16"/>
          <w:color w:val="auto"/>
        </w:rPr>
        <w:t xml:space="preserve"> — There are no assumed Prepetition Revolving Credit Claims for purposes of the Liquidation Analysis;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r>
        <w:rPr>
          <w:rFonts w:ascii="Arial" w:cs="Arial" w:eastAsia="Arial" w:hAnsi="Arial"/>
          <w:sz w:val="18"/>
          <w:szCs w:val="18"/>
          <w:color w:val="auto"/>
        </w:rPr>
        <w:t xml:space="preserve"> — There are no assumed Prepetition Term Loan Claims for purposes of the Liquidation Analysis;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92" w:name="page293"/>
    <w:bookmarkEnd w:id="292"/>
    <w:p>
      <w:pPr>
        <w:ind w:left="980" w:right="240" w:hanging="324"/>
        <w:spacing w:after="0" w:line="264" w:lineRule="auto"/>
        <w:tabs>
          <w:tab w:leader="none" w:pos="944"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r>
        <w:rPr>
          <w:rFonts w:ascii="Arial" w:cs="Arial" w:eastAsia="Arial" w:hAnsi="Arial"/>
          <w:sz w:val="18"/>
          <w:szCs w:val="18"/>
          <w:color w:val="auto"/>
        </w:rPr>
        <w:t xml:space="preserve"> — Claims for post-petition accounts payable, post-petition intercompany claims, post-petition accrued expenses, claims arising under section 503(b)(9) of the Bankruptcy Code, and certain unsecured claims entitled to priority under section 507 of the Bankruptcy Code;</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r>
        <w:rPr>
          <w:rFonts w:ascii="Arial" w:cs="Arial" w:eastAsia="Arial" w:hAnsi="Arial"/>
          <w:sz w:val="18"/>
          <w:szCs w:val="18"/>
          <w:color w:val="auto"/>
        </w:rPr>
        <w:t xml:space="preserve"> — Claims arising from the unsecured senior revolving credit agreement;</w:t>
      </w:r>
    </w:p>
    <w:p>
      <w:pPr>
        <w:spacing w:after="0" w:line="221" w:lineRule="exact"/>
        <w:rPr>
          <w:rFonts w:ascii="Arial" w:cs="Arial" w:eastAsia="Arial" w:hAnsi="Arial"/>
          <w:sz w:val="18"/>
          <w:szCs w:val="18"/>
          <w:color w:val="auto"/>
        </w:rPr>
      </w:pPr>
    </w:p>
    <w:p>
      <w:pPr>
        <w:ind w:left="940" w:hanging="284"/>
        <w:spacing w:after="0"/>
        <w:tabs>
          <w:tab w:leader="none" w:pos="9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r>
        <w:rPr>
          <w:rFonts w:ascii="Arial" w:cs="Arial" w:eastAsia="Arial" w:hAnsi="Arial"/>
          <w:sz w:val="18"/>
          <w:szCs w:val="18"/>
          <w:color w:val="auto"/>
        </w:rPr>
        <w:t xml:space="preserve"> — Claims arising from unsecured senior notes, including (collectively, the “</w:t>
      </w:r>
      <w:r>
        <w:rPr>
          <w:rFonts w:ascii="Arial" w:cs="Arial" w:eastAsia="Arial" w:hAnsi="Arial"/>
          <w:sz w:val="18"/>
          <w:szCs w:val="18"/>
          <w:b w:val="1"/>
          <w:bCs w:val="1"/>
          <w:u w:val="single" w:color="auto"/>
          <w:color w:val="auto"/>
        </w:rPr>
        <w:t>Prepetition Notes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5.125% Senior Notes due 2020</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5.875%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7.75% Senior Notes due 2021</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4.50% Senior Notes due 2022</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8.25% Senior Notes due 2023</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9.875% Senior Notes due 2024</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9.875% Senior Notes due 2025</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6.50% Senior Notes due 2036</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6.80% Senior Notes due 2037</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7.00% Senior Notes due 2038</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9.875% Senior Notes due 2039</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6.75% Senior Notes due 2040</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5.95% Senior Notes due 2042</w:t>
      </w:r>
    </w:p>
    <w:p>
      <w:pPr>
        <w:spacing w:after="0" w:line="21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r>
        <w:rPr>
          <w:rFonts w:ascii="Arial" w:cs="Arial" w:eastAsia="Arial" w:hAnsi="Arial"/>
          <w:sz w:val="18"/>
          <w:szCs w:val="18"/>
          <w:color w:val="auto"/>
        </w:rPr>
        <w:t xml:space="preserve"> — Claims arising from non-priority debt, including certain pre-petition liabilities not subject to first-day relief and various other unsecured liabilities;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r>
        <w:rPr>
          <w:rFonts w:ascii="Arial" w:cs="Arial" w:eastAsia="Arial" w:hAnsi="Arial"/>
          <w:sz w:val="18"/>
          <w:szCs w:val="18"/>
          <w:color w:val="auto"/>
        </w:rPr>
        <w:t xml:space="preserve"> — Claims arising from amounts the Debtors owe to other Debtors and/or non-debtor entities;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r>
        <w:rPr>
          <w:rFonts w:ascii="Arial" w:cs="Arial" w:eastAsia="Arial" w:hAnsi="Arial"/>
          <w:sz w:val="18"/>
          <w:szCs w:val="18"/>
          <w:color w:val="auto"/>
        </w:rPr>
        <w:t xml:space="preserve"> — Claims arising from common equity interests in Weatherford International plc resulting from the issuance of common stock;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r>
        <w:rPr>
          <w:rFonts w:ascii="Arial" w:cs="Arial" w:eastAsia="Arial" w:hAnsi="Arial"/>
          <w:sz w:val="18"/>
          <w:szCs w:val="18"/>
          <w:color w:val="auto"/>
        </w:rPr>
        <w:t xml:space="preserve"> — Claims arising from equity interests in other Debtors and non-debtor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Debtors have determined, as summarized in the table below, on the Effective Date, that the Plan will provide all Holders of Allowed Claims and Interests with a recovery that is not less than what they would otherwise receive pursuant to a liquidation of the Debtors’ assets under chapter 7 of the Bankruptcy Code. Accordingly, the Plan satisfies the requirement of 1129(a)(7) of the Bankruptcy Code.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51145" cy="19983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Liquidation Analysis should be reviewed with the accompanying “Specific Notes to the Liquidation Analysis” set forth on the following pages.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below tables reflect the consolidation of the standalone liquidation analyses for each Debtor and non-debtor.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94" w:name="page295"/>
    <w:bookmarkEnd w:id="2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74740" cy="55568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6" w:name="page297"/>
    <w:bookmarkEnd w:id="296"/>
    <w:p>
      <w:pPr>
        <w:ind w:left="3500"/>
        <w:spacing w:after="0"/>
        <w:rPr>
          <w:sz w:val="20"/>
          <w:szCs w:val="20"/>
          <w:color w:val="auto"/>
        </w:rPr>
      </w:pPr>
      <w:r>
        <w:rPr>
          <w:rFonts w:ascii="Arial" w:cs="Arial" w:eastAsia="Arial" w:hAnsi="Arial"/>
          <w:sz w:val="18"/>
          <w:szCs w:val="18"/>
          <w:b w:val="1"/>
          <w:bCs w:val="1"/>
          <w:color w:val="auto"/>
        </w:rPr>
        <w:t>SPECIFIC NOTES TO THE LIQUIDATION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Gross Liquidation Proceeds from External Assets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below table summarizes asset recoverability percentages for the Debtors’ and non-debtors’ assets. Net Distribution Proceeds on the sale of non-debtor assets are recovered by the Debtors via settlement of intercompany receivables and/or equity distributions factoring the priority of claims that reside at each non-debtor (reference Value Redistribution section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20" w:type="dxa"/>
            <w:vAlign w:val="bottom"/>
            <w:vMerge w:val="restart"/>
          </w:tcPr>
          <w:p>
            <w:pPr>
              <w:jc w:val="center"/>
              <w:ind w:left="988"/>
              <w:spacing w:after="0"/>
              <w:rPr>
                <w:sz w:val="20"/>
                <w:szCs w:val="20"/>
                <w:color w:val="auto"/>
              </w:rPr>
            </w:pPr>
            <w:r>
              <w:rPr>
                <w:rFonts w:ascii="Arial" w:cs="Arial" w:eastAsia="Arial" w:hAnsi="Arial"/>
                <w:sz w:val="14"/>
                <w:szCs w:val="14"/>
                <w:b w:val="1"/>
                <w:bCs w:val="1"/>
                <w:color w:val="auto"/>
                <w:w w:val="95"/>
              </w:rPr>
              <w:t>Debtors’</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Note</w:t>
            </w:r>
          </w:p>
        </w:tc>
        <w:tc>
          <w:tcPr>
            <w:tcW w:w="496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Asset Type / Assumptions</w:t>
            </w:r>
          </w:p>
        </w:tc>
        <w:tc>
          <w:tcPr>
            <w:tcW w:w="2720" w:type="dxa"/>
            <w:vAlign w:val="bottom"/>
            <w:vMerge w:val="continue"/>
          </w:tcPr>
          <w:p>
            <w:pPr>
              <w:spacing w:after="0"/>
              <w:rPr>
                <w:sz w:val="12"/>
                <w:szCs w:val="12"/>
                <w:color w:val="auto"/>
              </w:rPr>
            </w:pPr>
          </w:p>
        </w:tc>
        <w:tc>
          <w:tcPr>
            <w:tcW w:w="110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4960" w:type="dxa"/>
            <w:vAlign w:val="bottom"/>
            <w:vMerge w:val="continue"/>
          </w:tcPr>
          <w:p>
            <w:pPr>
              <w:spacing w:after="0"/>
              <w:rPr>
                <w:sz w:val="16"/>
                <w:szCs w:val="16"/>
                <w:color w:val="auto"/>
              </w:rPr>
            </w:pPr>
          </w:p>
        </w:tc>
        <w:tc>
          <w:tcPr>
            <w:tcW w:w="2720" w:type="dxa"/>
            <w:vAlign w:val="bottom"/>
          </w:tcPr>
          <w:p>
            <w:pPr>
              <w:jc w:val="center"/>
              <w:ind w:left="988"/>
              <w:spacing w:after="0"/>
              <w:rPr>
                <w:sz w:val="20"/>
                <w:szCs w:val="20"/>
                <w:color w:val="auto"/>
              </w:rPr>
            </w:pPr>
            <w:r>
              <w:rPr>
                <w:rFonts w:ascii="Arial" w:cs="Arial" w:eastAsia="Arial" w:hAnsi="Arial"/>
                <w:sz w:val="14"/>
                <w:szCs w:val="14"/>
                <w:b w:val="1"/>
                <w:bCs w:val="1"/>
                <w:color w:val="auto"/>
                <w:w w:val="91"/>
              </w:rPr>
              <w:t>Recovery</w:t>
            </w:r>
          </w:p>
        </w:tc>
        <w:tc>
          <w:tcPr>
            <w:tcW w:w="11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5575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1360" w:right="3600" w:hanging="883"/>
        <w:spacing w:after="0" w:line="281" w:lineRule="auto"/>
        <w:tabs>
          <w:tab w:leader="none" w:pos="13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Unrestricted cash consist of all cash and liquid investments, if applicable, with maturities of three months or less in bank accounts, and restricted cash consist of cash collateralizing letters of credit. The Liquidation Analysis assumes cash collateralized letters of credit are</w:t>
      </w: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drawn on the Liquidation Date and are not recoverable.</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r>
      <w:tr>
        <w:trPr>
          <w:trHeight w:val="202"/>
        </w:trPr>
        <w:tc>
          <w:tcPr>
            <w:tcW w:w="98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B</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Accounts Receivable consist of trade amounts owed for equipment and services provided</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oil &amp; natural gas exploration and production customers. The analysis assumes that</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customers would terminate contracts at the Liquidation Date and offset the costs associated</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with switching to a new provider against amounts owed. The interruption of business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caused by the liquidation could further impact the ability of the Trustee to collect on these</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amounts.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C</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Inventory consist of a wide variety of raw materials as well as parts and components made</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by other manufacturers and suppliers used as part of manufacturing operations.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Additionally, Inventory includes items that are sold to outside customers, or used as spares,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consumables, or replacement parts to support oilfield services provided to customers on a</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contract service or rental basis.</w:t>
            </w:r>
          </w:p>
        </w:tc>
        <w:tc>
          <w:tcPr>
            <w:tcW w:w="17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D</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Current Assets consist of prepaid (1) customs and duties fees, insurance, rent, taxes</w:t>
            </w: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other miscellaneous prepaid items; (2) supplier, customer and other miscellaneous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deposits; (3) deferred charges; and (4) deferred tax assets. Prepaid expenses are assumed to</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 recoverable to the extent such amounts can be refunded or used to offset expenses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included in the Wind Down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r>
      <w:tr>
        <w:trPr>
          <w:trHeight w:val="648"/>
        </w:trPr>
        <w:tc>
          <w:tcPr>
            <w:tcW w:w="980" w:type="dxa"/>
            <w:vAlign w:val="bottom"/>
          </w:tcPr>
          <w:p>
            <w:pPr>
              <w:spacing w:after="0"/>
              <w:rPr>
                <w:sz w:val="24"/>
                <w:szCs w:val="24"/>
                <w:color w:val="auto"/>
              </w:rPr>
            </w:pPr>
          </w:p>
        </w:tc>
        <w:tc>
          <w:tcPr>
            <w:tcW w:w="7660" w:type="dxa"/>
            <w:vAlign w:val="bottom"/>
          </w:tcPr>
          <w:p>
            <w:pPr>
              <w:ind w:left="4640"/>
              <w:spacing w:after="0"/>
              <w:rPr>
                <w:sz w:val="20"/>
                <w:szCs w:val="20"/>
                <w:color w:val="auto"/>
              </w:rPr>
            </w:pPr>
            <w:r>
              <w:rPr>
                <w:rFonts w:ascii="Arial" w:cs="Arial" w:eastAsia="Arial" w:hAnsi="Arial"/>
                <w:sz w:val="18"/>
                <w:szCs w:val="18"/>
                <w:color w:val="auto"/>
              </w:rPr>
              <w:t>10</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766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Debtors’</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688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Asset Type / Assumptions</w:t>
            </w:r>
          </w:p>
        </w:tc>
        <w:tc>
          <w:tcPr>
            <w:tcW w:w="166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debtors’</w:t>
            </w:r>
          </w:p>
        </w:tc>
        <w:tc>
          <w:tcPr>
            <w:tcW w:w="0" w:type="dxa"/>
            <w:vAlign w:val="bottom"/>
          </w:tcPr>
          <w:p>
            <w:pPr>
              <w:spacing w:after="0"/>
              <w:rPr>
                <w:sz w:val="1"/>
                <w:szCs w:val="1"/>
                <w:color w:val="auto"/>
              </w:rPr>
            </w:pPr>
          </w:p>
        </w:tc>
      </w:tr>
      <w:tr>
        <w:trPr>
          <w:trHeight w:val="171"/>
        </w:trPr>
        <w:tc>
          <w:tcPr>
            <w:tcW w:w="1360" w:type="dxa"/>
            <w:vAlign w:val="bottom"/>
            <w:gridSpan w:val="2"/>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Recovery</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Recovery</w:t>
            </w: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Budget. Additionally, Other Current Assets include rig assets currently marketed for sale.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3460" w:hanging="874"/>
        <w:spacing w:after="0" w:line="285" w:lineRule="auto"/>
        <w:tabs>
          <w:tab w:leader="none" w:pos="13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Property, Plant &amp; Equipment (“PP&amp;E”) includes drilling tools, manufacturing equipment, service equipment and rental equipment used in providing services across four primary offerings: (1) Production, (2) Completions, (3) Drilling and Evaluation and (4) Well Construction. Additionally, PP&amp;E includes domestic and international owned real estate, as well as other miscellaneous assets (automobiles, FF&amp;E, leasehold improvements, etc.).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0979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980" w:type="dxa"/>
            <w:vAlign w:val="bottom"/>
          </w:tcPr>
          <w:p>
            <w:pPr>
              <w:spacing w:after="0"/>
              <w:rPr>
                <w:sz w:val="17"/>
                <w:szCs w:val="17"/>
                <w:color w:val="auto"/>
              </w:rPr>
            </w:pPr>
          </w:p>
        </w:tc>
        <w:tc>
          <w:tcPr>
            <w:tcW w:w="7700" w:type="dxa"/>
            <w:vAlign w:val="bottom"/>
          </w:tcPr>
          <w:p>
            <w:pPr>
              <w:ind w:left="380"/>
              <w:spacing w:after="0" w:line="204" w:lineRule="exact"/>
              <w:rPr>
                <w:sz w:val="20"/>
                <w:szCs w:val="20"/>
                <w:color w:val="auto"/>
              </w:rPr>
            </w:pPr>
            <w:r>
              <w:rPr>
                <w:rFonts w:ascii="Arial" w:cs="Arial" w:eastAsia="Arial" w:hAnsi="Arial"/>
                <w:sz w:val="18"/>
                <w:szCs w:val="18"/>
                <w:color w:val="auto"/>
              </w:rPr>
              <w:t>Liquidation Analysis assumes all active customer contracts are terminated upon conversion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to a chapter 7 but the Debtors have not quantified respective rejection damages claims for</w:t>
            </w: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purposes of the Liquidation Analysis. Such claims could be material.</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F</w:t>
            </w:r>
          </w:p>
        </w:tc>
        <w:tc>
          <w:tcPr>
            <w:tcW w:w="77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Goodwill represents the excess of consideration paid over the fair value of net tangible and</w:t>
            </w:r>
          </w:p>
        </w:tc>
        <w:tc>
          <w:tcPr>
            <w:tcW w:w="1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980" w:type="dxa"/>
            <w:vAlign w:val="bottom"/>
            <w:shd w:val="clear" w:color="auto" w:fill="CCEEFF"/>
          </w:tcPr>
          <w:p>
            <w:pPr>
              <w:spacing w:after="0"/>
              <w:rPr>
                <w:sz w:val="20"/>
                <w:szCs w:val="20"/>
                <w:color w:val="auto"/>
              </w:rPr>
            </w:pPr>
          </w:p>
        </w:tc>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identifiable intangible assets acquired in business combinations.</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360" w:right="3740" w:hanging="883"/>
        <w:spacing w:after="0" w:line="291" w:lineRule="auto"/>
        <w:tabs>
          <w:tab w:leader="none" w:pos="13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Intangible Assets, excluding goodwill, consist of acquired technology, licenses, patents, customer relationships and other identifiable intangible assets. Intangible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685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980" w:type="dxa"/>
            <w:vAlign w:val="bottom"/>
          </w:tcPr>
          <w:p>
            <w:pPr>
              <w:spacing w:after="0"/>
              <w:rPr>
                <w:sz w:val="17"/>
                <w:szCs w:val="17"/>
                <w:color w:val="auto"/>
              </w:rPr>
            </w:pPr>
          </w:p>
        </w:tc>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amortized over their estimated economic lives generally ranging from two to 20 years,</w:t>
            </w: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except for intangible assets with indefinite lives, which are not amortized, but tested for</w:t>
            </w: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9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H</w:t>
            </w:r>
          </w:p>
        </w:tc>
        <w:tc>
          <w:tcPr>
            <w:tcW w:w="76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Other Long-Term Assets consist of (1) capitalized debt issuance costs; (2) deferred</w:t>
            </w:r>
          </w:p>
        </w:tc>
        <w:tc>
          <w:tcPr>
            <w:tcW w:w="1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charges/deposits; and (3) deferred tax assets. Certain deposits are assumed to be</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recoverable to the extent such amounts can be refunded or used to offset expenses included</w:t>
            </w:r>
          </w:p>
        </w:tc>
        <w:tc>
          <w:tcPr>
            <w:tcW w:w="1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980" w:type="dxa"/>
            <w:vAlign w:val="bottom"/>
            <w:shd w:val="clear" w:color="auto" w:fill="CCEEFF"/>
          </w:tcPr>
          <w:p>
            <w:pPr>
              <w:spacing w:after="0"/>
              <w:rPr>
                <w:sz w:val="20"/>
                <w:szCs w:val="20"/>
                <w:color w:val="auto"/>
              </w:rPr>
            </w:pPr>
          </w:p>
        </w:tc>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 the Wind Down Budget.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Liquidation Adjustments</w:t>
      </w:r>
    </w:p>
    <w:p>
      <w:pPr>
        <w:spacing w:after="0" w:line="225" w:lineRule="exact"/>
        <w:rPr>
          <w:sz w:val="20"/>
          <w:szCs w:val="20"/>
          <w:color w:val="auto"/>
        </w:rPr>
      </w:pPr>
    </w:p>
    <w:p>
      <w:pPr>
        <w:ind w:left="320" w:hanging="312"/>
        <w:spacing w:after="0"/>
        <w:tabs>
          <w:tab w:leader="none" w:pos="32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Wind Down Budget</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4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Wind Down Budget includes the expenses the Trustee will incur to efficiently and effectively monetize the assets over the six-month liquidation period. These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298" w:name="page299"/>
    <w:bookmarkEnd w:id="298"/>
    <w:p>
      <w:pPr>
        <w:jc w:val="both"/>
        <w:ind w:left="980" w:right="160"/>
        <w:spacing w:after="0" w:line="264" w:lineRule="auto"/>
        <w:rPr>
          <w:sz w:val="20"/>
          <w:szCs w:val="20"/>
          <w:color w:val="auto"/>
        </w:rPr>
      </w:pPr>
      <w:r>
        <w:rPr>
          <w:rFonts w:ascii="Arial" w:cs="Arial" w:eastAsia="Arial" w:hAnsi="Arial"/>
          <w:sz w:val="18"/>
          <w:szCs w:val="18"/>
          <w:color w:val="auto"/>
        </w:rPr>
        <w:t>relate to labor, building rent, warehouses and facilities expenses, transportation expense, insurance, health and safety expenses, and taxes. The Liquidation Analysis assumes total wind down costs of approximately $47 million for the Debtors and non-debtors over the six-month period following the Liquidation Date.</w:t>
      </w:r>
    </w:p>
    <w:p>
      <w:pPr>
        <w:spacing w:after="0" w:line="181" w:lineRule="exact"/>
        <w:rPr>
          <w:sz w:val="20"/>
          <w:szCs w:val="20"/>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Professional Fees</w:t>
      </w:r>
    </w:p>
    <w:p>
      <w:pPr>
        <w:spacing w:after="0" w:line="225" w:lineRule="exact"/>
        <w:rPr>
          <w:rFonts w:ascii="Arial" w:cs="Arial" w:eastAsia="Arial" w:hAnsi="Arial"/>
          <w:sz w:val="18"/>
          <w:szCs w:val="18"/>
          <w:color w:val="auto"/>
        </w:rPr>
      </w:pPr>
    </w:p>
    <w:p>
      <w:pPr>
        <w:ind w:left="980" w:hanging="324"/>
        <w:spacing w:after="0" w:line="257" w:lineRule="auto"/>
        <w:tabs>
          <w:tab w:leader="none" w:pos="94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post-conversion Professional Fees include estimates for certain professionals that will provide assistance and services during the wind down period. The Liquidation Analysis assumes the Trustee will retain lawyers, financial advisors, and investment bankers to assist in the liquidation. These advisors will assist in marketing the Debtors’ assets, litigating claims and resolving tax litigation matters, and resolving other matters relating to the wind down of the Debtors’ estates. The Liquidation Analysis estimates Professional Fees at a range of 1% to 2% of Gross Liquidation Proceeds from External Assets.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Trustee Fees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1"/>
          <w:numId w:val="403"/>
        </w:numPr>
        <w:rPr>
          <w:rFonts w:ascii="Arial" w:cs="Arial" w:eastAsia="Arial" w:hAnsi="Arial"/>
          <w:sz w:val="17"/>
          <w:szCs w:val="17"/>
          <w:color w:val="auto"/>
        </w:rPr>
      </w:pPr>
      <w:r>
        <w:rPr>
          <w:rFonts w:ascii="Arial" w:cs="Arial" w:eastAsia="Arial" w:hAnsi="Arial"/>
          <w:sz w:val="17"/>
          <w:szCs w:val="17"/>
          <w:color w:val="auto"/>
        </w:rPr>
        <w:t xml:space="preserve">Section 326(a) of the Bankruptcy Code provides that Trustee Fees may not exceed 3% of distributable proceeds </w:t>
      </w:r>
      <w:r>
        <w:rPr>
          <w:rFonts w:ascii="Arial" w:cs="Arial" w:eastAsia="Arial" w:hAnsi="Arial"/>
          <w:sz w:val="17"/>
          <w:szCs w:val="17"/>
          <w:i w:val="1"/>
          <w:iCs w:val="1"/>
          <w:color w:val="auto"/>
        </w:rPr>
        <w:t>in excess</w:t>
      </w:r>
      <w:r>
        <w:rPr>
          <w:rFonts w:ascii="Arial" w:cs="Arial" w:eastAsia="Arial" w:hAnsi="Arial"/>
          <w:sz w:val="17"/>
          <w:szCs w:val="17"/>
          <w:color w:val="auto"/>
        </w:rPr>
        <w:t xml:space="preserve"> of $1 million. The Liquidation Analysis assumes the Trustee Fees would be 1% of Gross Liquidation Proceeds from External Assets.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Severance Costs</w:t>
      </w:r>
    </w:p>
    <w:p>
      <w:pPr>
        <w:spacing w:after="0" w:line="225" w:lineRule="exact"/>
        <w:rPr>
          <w:rFonts w:ascii="Arial" w:cs="Arial" w:eastAsia="Arial" w:hAnsi="Arial"/>
          <w:sz w:val="18"/>
          <w:szCs w:val="18"/>
          <w:color w:val="auto"/>
        </w:rPr>
      </w:pPr>
    </w:p>
    <w:p>
      <w:pPr>
        <w:ind w:left="980" w:right="40" w:hanging="324"/>
        <w:spacing w:after="0" w:line="264" w:lineRule="auto"/>
        <w:tabs>
          <w:tab w:leader="none" w:pos="94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 certain locations, local laws require the accrual of eventual separation payments that will be due upon the termination of employees regardless of the reason for separation. The Liquidation Analysis assumes total severance payments for the Debtors and non-debtors of approximately $70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Value Redistribution</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For purposes of determining the recoverability of (i) intercompany receivables owed to the Debtors from non-debtor entities and (ii) the Debtors’ equity interests in non-debtor subsidiaries, individual liquidation analyses were performed on each Debtor and non-debtor entity on a standalone basis. The recoverability of the Debtors’ intercompany receivables and investments in subsidiaries was calculated prior to determining the proceeds available for distribution to the Debtors’ claimants.</w:t>
      </w:r>
    </w:p>
    <w:p>
      <w:pPr>
        <w:spacing w:after="0" w:line="187" w:lineRule="exact"/>
        <w:rPr>
          <w:sz w:val="20"/>
          <w:szCs w:val="20"/>
          <w:color w:val="auto"/>
        </w:rPr>
      </w:pPr>
    </w:p>
    <w:p>
      <w:pPr>
        <w:ind w:left="340" w:hanging="332"/>
        <w:spacing w:after="0"/>
        <w:tabs>
          <w:tab w:leader="none" w:pos="34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Intercompany Receivables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Historically, the Debtors and their subsidiaries created intercompany loans on an as-needed basis pursuant to various transactions related to intercompany trade debt, note agreements, overhead and expense allocations, and other intercompany charges. In addition, there are several entities that act as cash poolers for the organization. Intercompany loan agreements reflect arm’s length interest rates in effect at the commencement of the loans. The recoverability of Intercompany Receivables owed to the Debtors is assumed to be approximately 3%, or $404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9" w:name="page300"/>
    <w:bookmarkEnd w:id="299"/>
    <w:p>
      <w:pPr>
        <w:ind w:left="340" w:hanging="332"/>
        <w:spacing w:after="0"/>
        <w:tabs>
          <w:tab w:leader="none" w:pos="34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Investments in Subsidiaries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Debtors’ Investments in Subsidiaries include the Debtors’ equity interests in debtor and non-debtor subsidiaries. The Liquidation Analysis assumes de minimis recoveries on the Debtors’ equity interests in non-debtor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Liquidation Proceeds Available for Distribution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on the Liquidation Analysis, the Net Liquidation Proceeds Available for Distribution to the Debtors’ claimants range from approximately $455 million to $654 million. As discussed below, these proceeds are divided between proceeds encumbered by secured claims and proceeds unencumbered by secured claims.</w:t>
      </w:r>
    </w:p>
    <w:p>
      <w:pPr>
        <w:spacing w:after="0" w:line="181" w:lineRule="exact"/>
        <w:rPr>
          <w:sz w:val="20"/>
          <w:szCs w:val="20"/>
          <w:color w:val="auto"/>
        </w:rPr>
      </w:pPr>
    </w:p>
    <w:p>
      <w:pPr>
        <w:ind w:left="340" w:hanging="332"/>
        <w:spacing w:after="0"/>
        <w:tabs>
          <w:tab w:leader="none" w:pos="34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Proceeds 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Liquidation Analysis assumes a range of approximately $455 million to $654 million in proceeds encumbered by secured claims at the Debtors.</w:t>
      </w:r>
    </w:p>
    <w:p>
      <w:pPr>
        <w:spacing w:after="0" w:line="237" w:lineRule="exact"/>
        <w:rPr>
          <w:sz w:val="20"/>
          <w:szCs w:val="20"/>
          <w:color w:val="auto"/>
        </w:rPr>
      </w:pPr>
    </w:p>
    <w:p>
      <w:pPr>
        <w:ind w:left="320" w:hanging="312"/>
        <w:spacing w:after="0"/>
        <w:tabs>
          <w:tab w:leader="none" w:pos="32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are no proceeds unencumbered by secured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Claims</w:t>
      </w:r>
    </w:p>
    <w:p>
      <w:pPr>
        <w:spacing w:after="0" w:line="225" w:lineRule="exact"/>
        <w:rPr>
          <w:sz w:val="20"/>
          <w:szCs w:val="20"/>
          <w:color w:val="auto"/>
        </w:rPr>
      </w:pPr>
    </w:p>
    <w:p>
      <w:pPr>
        <w:ind w:left="340" w:hanging="332"/>
        <w:spacing w:after="0"/>
        <w:tabs>
          <w:tab w:leader="none" w:pos="34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DIP Claims and DIP Carveout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DIP Claims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Bankruptcy Code grants superpriority status to claims made pursuant to the Debtors’ DIP Credit Agreement. The Liquidation Analysis assumes DIP Claims outstanding as of the Liquidation Date include unpaid principal and interest in the amount of approximately $1,744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Carve-Out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proposed DIP Order grants superpriority status to chapter 11 Professional Persons for fees incurred </w:t>
      </w:r>
      <w:r>
        <w:rPr>
          <w:rFonts w:ascii="Arial" w:cs="Arial" w:eastAsia="Arial" w:hAnsi="Arial"/>
          <w:sz w:val="18"/>
          <w:szCs w:val="18"/>
          <w:i w:val="1"/>
          <w:iCs w:val="1"/>
          <w:color w:val="auto"/>
        </w:rPr>
        <w:t>prior</w:t>
      </w:r>
      <w:r>
        <w:rPr>
          <w:rFonts w:ascii="Arial" w:cs="Arial" w:eastAsia="Arial" w:hAnsi="Arial"/>
          <w:sz w:val="18"/>
          <w:szCs w:val="18"/>
          <w:color w:val="auto"/>
        </w:rPr>
        <w:t xml:space="preserve"> to notice of conversion to a chapter 7 liquidation, allowed by the Bankruptcy Court, and payable under the Bankruptcy Code. Additionally, the proposed DIP Order provides for payment of fees to chapter 11 Professionals, subject to the Post Carve-Out Trigger Notice Cap (as defined in the proposed DIP Order), incurred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date the DIP Agent issues a default notice (assumed conversion to a chapter 7 liquidation thereafter).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DIP Credit Agreement is guaranteed by certain non-debtor entities. Claims at guarantor non-debtor entities are treated as secured claims (classified as Other Secured Claims at non-debtors). The Liquidation Analysis assumes the Liquidation Proceeds (from Debtors and non-debtor guarantors, in the aggregate) would be sufficient to satisfy 100% of the DIP Claims and DIP Carve-Out Claims.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0" w:name="page301"/>
    <w:bookmarkEnd w:id="300"/>
    <w:p>
      <w:pPr>
        <w:ind w:left="340" w:hanging="332"/>
        <w:spacing w:after="0"/>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Other Priority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Other Priority Claims as of the Liquidation Date.</w:t>
      </w:r>
    </w:p>
    <w:p>
      <w:pPr>
        <w:spacing w:after="0" w:line="225" w:lineRule="exact"/>
        <w:rPr>
          <w:sz w:val="20"/>
          <w:szCs w:val="20"/>
          <w:color w:val="auto"/>
        </w:rPr>
      </w:pPr>
    </w:p>
    <w:p>
      <w:pPr>
        <w:ind w:left="340" w:hanging="332"/>
        <w:spacing w:after="0"/>
        <w:tabs>
          <w:tab w:leader="none" w:pos="34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Other Secured Claims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Liquidation Analysis assumes there will be no Other Secured Claims at the Debtors as of the Liquidation Date. Reference above treatment for claims arising from the DIP credit Agreement for non-debtor guarantors.</w:t>
      </w:r>
    </w:p>
    <w:p>
      <w:pPr>
        <w:spacing w:after="0" w:line="170" w:lineRule="exact"/>
        <w:rPr>
          <w:sz w:val="20"/>
          <w:szCs w:val="20"/>
          <w:color w:val="auto"/>
        </w:rPr>
      </w:pPr>
    </w:p>
    <w:p>
      <w:pPr>
        <w:ind w:left="320" w:hanging="312"/>
        <w:spacing w:after="0"/>
        <w:tabs>
          <w:tab w:leader="none" w:pos="3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Secured Tax Claims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Secured Tax Claims consist of accrued and unpaid income, sales and use, franchise, property, VAT and other taxes owed at the Debtors and non-debtors. The Liquidation Analysis assumes the Liquidation Proceeds would be sufficient to satisfy approximately 100% and 96% of the Secured Tax Claims at the Debtors and non-debtors, respectively.</w:t>
      </w:r>
    </w:p>
    <w:p>
      <w:pPr>
        <w:spacing w:after="0" w:line="181" w:lineRule="exact"/>
        <w:rPr>
          <w:sz w:val="20"/>
          <w:szCs w:val="20"/>
          <w:color w:val="auto"/>
        </w:rPr>
      </w:pPr>
    </w:p>
    <w:p>
      <w:pPr>
        <w:ind w:left="340" w:hanging="332"/>
        <w:spacing w:after="0"/>
        <w:tabs>
          <w:tab w:leader="none" w:pos="34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Prepetition Revolving Credit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Prepetition Term Loan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Liquidation Analysis assumes there will be no Prepetition Revolving Claims at the Debtors as of the Liquidation Date.</w:t>
      </w:r>
    </w:p>
    <w:p>
      <w:pPr>
        <w:spacing w:after="0" w:line="225" w:lineRule="exact"/>
        <w:rPr>
          <w:sz w:val="20"/>
          <w:szCs w:val="20"/>
          <w:color w:val="auto"/>
        </w:rPr>
      </w:pPr>
    </w:p>
    <w:p>
      <w:pPr>
        <w:ind w:left="320" w:hanging="312"/>
        <w:spacing w:after="0"/>
        <w:tabs>
          <w:tab w:leader="none" w:pos="32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Chapter 11 Administrative Expense &amp; Priority Claims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Chapter 11 Administrative Expense &amp; Priority Claims consist of estimated post-petition accrued operating expenditures and other administrative and professional services. The Liquidation Analysis assumes approximately $1 million in Chapter 11 Administrative Expense &amp; Priority Claims at the Liquidation Date. The Liquidation Analysis further assumes the Liquidation Proceeds would be sufficient to satisfy approximately 100% of the Chapter 11 Administrative Expense &amp; Priority Claims.</w:t>
      </w:r>
    </w:p>
    <w:p>
      <w:pPr>
        <w:spacing w:after="0" w:line="187" w:lineRule="exact"/>
        <w:rPr>
          <w:sz w:val="20"/>
          <w:szCs w:val="20"/>
          <w:color w:val="auto"/>
        </w:rPr>
      </w:pPr>
    </w:p>
    <w:p>
      <w:pPr>
        <w:ind w:left="340" w:hanging="332"/>
        <w:spacing w:after="0"/>
        <w:tabs>
          <w:tab w:leader="none" w:pos="34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Prepetition A&amp;R Claims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Prepetition A&amp;R Claims consist of claims arising from the unsecured senior revolving credit agreement for accrued and unpaid principal, interest and fees through June 30, 2019. The Prepetition A&amp;R Claims are guaranteed by certain non-debtor entities. The Liquidation Analysis assumes approximately $307 million in Prepetition A&amp;R Claims at the Liquidation Date. The Liquidation Analysis further assumes the Liquidation Proceeds (at the Debtors and non-debtor guarantors) would be sufficient to satisfy approximately 100% of the Prepetition A&amp;R Claims.</w:t>
      </w:r>
    </w:p>
    <w:p>
      <w:pPr>
        <w:spacing w:after="0" w:line="171" w:lineRule="exact"/>
        <w:rPr>
          <w:sz w:val="20"/>
          <w:szCs w:val="20"/>
          <w:color w:val="auto"/>
        </w:rPr>
      </w:pPr>
    </w:p>
    <w:p>
      <w:pPr>
        <w:ind w:left="320" w:hanging="312"/>
        <w:spacing w:after="0"/>
        <w:tabs>
          <w:tab w:leader="none" w:pos="32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Prepetition Notes Claims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Prepetition Note Claims consist of claims arising Claims arising from the Senior unsecured Notes for accrued and unpaid principal, interest and fees through June 30, 2019. The Liquidation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1" w:name="page302"/>
    <w:bookmarkEnd w:id="301"/>
    <w:p>
      <w:pPr>
        <w:spacing w:after="0" w:line="277" w:lineRule="auto"/>
        <w:rPr>
          <w:sz w:val="20"/>
          <w:szCs w:val="20"/>
          <w:color w:val="auto"/>
        </w:rPr>
      </w:pPr>
      <w:r>
        <w:rPr>
          <w:rFonts w:ascii="Arial" w:cs="Arial" w:eastAsia="Arial" w:hAnsi="Arial"/>
          <w:sz w:val="18"/>
          <w:szCs w:val="18"/>
          <w:color w:val="auto"/>
        </w:rPr>
        <w:t>Analysis assumes approximately $7,620 million in Prepetition Note Claims at the Liquidation Date. The Liquidation Analysis further assumes the Liquidation Proceeds would be sufficient to satisfy approximately 4% of the Prepetition Note Claims.</w:t>
      </w:r>
    </w:p>
    <w:p>
      <w:pPr>
        <w:spacing w:after="0" w:line="170" w:lineRule="exact"/>
        <w:rPr>
          <w:sz w:val="20"/>
          <w:szCs w:val="20"/>
          <w:color w:val="auto"/>
        </w:rPr>
      </w:pPr>
    </w:p>
    <w:p>
      <w:pPr>
        <w:ind w:left="340" w:hanging="332"/>
        <w:spacing w:after="0"/>
        <w:tabs>
          <w:tab w:leader="none" w:pos="34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General Unsecured Claims consist certain pre-petition liabilities not subject to first-day relief (applicable to Debtors), and other accrued and unpaid operating, administrative and professional services-related expenditures at non-debtors outstanding on the Liquidation Date. The actual amount of General Unsecured Claims could vary materially from these estimates. No order has been entered by the Bankruptcy Court estimating or otherwise fixing the amount of General Unsecured Claims at the Debtors. The Liquidation Analysis assumes approximately $7 million and $1,225 million in General Unsecured Claims at the Liquidation Date at the Debtors and non-debtors, respectively. The Liquidation Analysis further assumes the Liquidation Proceeds would be sufficient to satisfy approximately 2% and 32% of the General Unsecured Claims at the Debtors and non-debtors, respectively.</w:t>
      </w:r>
    </w:p>
    <w:p>
      <w:pPr>
        <w:spacing w:after="0" w:line="165" w:lineRule="exact"/>
        <w:rPr>
          <w:sz w:val="20"/>
          <w:szCs w:val="20"/>
          <w:color w:val="auto"/>
        </w:rPr>
      </w:pPr>
    </w:p>
    <w:p>
      <w:pPr>
        <w:ind w:left="360" w:hanging="352"/>
        <w:spacing w:after="0"/>
        <w:tabs>
          <w:tab w:leader="none" w:pos="36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Intercompany Claims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Intercompany Claims consist of amounts owed by and between the Debtors and/or non-debtor entities for pre-petition intercompany activity. The Liquidation Analysis assumes approximately $19,274 million in Intercompany Claims owed by the Debtors to non-debtors at the Liquidation Date. The Liquidation Analysis further assumes there would be no recovery on these Claims. See Value Redistribution section above for further detail on recoverability of amounts owed by the non-debtors to the Debtors.</w:t>
      </w:r>
    </w:p>
    <w:p>
      <w:pPr>
        <w:spacing w:after="0" w:line="187" w:lineRule="exact"/>
        <w:rPr>
          <w:sz w:val="20"/>
          <w:szCs w:val="20"/>
          <w:color w:val="auto"/>
        </w:rPr>
      </w:pPr>
    </w:p>
    <w:p>
      <w:pPr>
        <w:ind w:left="340" w:hanging="332"/>
        <w:spacing w:after="0"/>
        <w:tabs>
          <w:tab w:leader="none" w:pos="34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Existing Common Stock</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Existing Common Stock consist of common equity interests in Weatherford International arising from the issuance of common stock. The Liquidation Analysis assumes there would be no recovery on these Interests.</w:t>
      </w:r>
    </w:p>
    <w:p>
      <w:pPr>
        <w:spacing w:after="0" w:line="170" w:lineRule="exact"/>
        <w:rPr>
          <w:sz w:val="20"/>
          <w:szCs w:val="20"/>
          <w:color w:val="auto"/>
        </w:rPr>
      </w:pPr>
    </w:p>
    <w:p>
      <w:pPr>
        <w:ind w:left="340" w:hanging="332"/>
        <w:spacing w:after="0"/>
        <w:tabs>
          <w:tab w:leader="none" w:pos="3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Intercompany Interests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Intercompany Interests consist of the Debtors’ equity interests held by other Debtors and non-debtor subsidiaries. The Liquidation Analysis assumes there would be no recovery on these Interests. See Value Redistribution section above for further detail on the recoverability of the Debtors’ equity interests in non-debtor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8"/>
          <w:szCs w:val="18"/>
          <w:b w:val="1"/>
          <w:bCs w:val="1"/>
          <w:u w:val="single" w:color="auto"/>
          <w:color w:val="auto"/>
        </w:rPr>
        <w:t>Financial Projections</w:t>
      </w:r>
    </w:p>
    <w:p>
      <w:pPr>
        <w:spacing w:after="0" w:line="229" w:lineRule="exact"/>
        <w:rPr>
          <w:sz w:val="20"/>
          <w:szCs w:val="20"/>
          <w:color w:val="auto"/>
        </w:rPr>
      </w:pPr>
    </w:p>
    <w:p>
      <w:pPr>
        <w:ind w:right="80" w:firstLine="662"/>
        <w:spacing w:after="0" w:line="254" w:lineRule="auto"/>
        <w:rPr>
          <w:sz w:val="20"/>
          <w:szCs w:val="20"/>
          <w:color w:val="auto"/>
        </w:rPr>
      </w:pPr>
      <w:r>
        <w:rPr>
          <w:rFonts w:ascii="Arial" w:cs="Arial" w:eastAsia="Arial" w:hAnsi="Arial"/>
          <w:sz w:val="17"/>
          <w:szCs w:val="17"/>
          <w:color w:val="auto"/>
        </w:rPr>
        <w:t>The Debtors believe that the Plan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meets the feasibility requirement set forth in section 1129(a)(11) of the Bankruptcy Code, as confirmation is not likely to be followed by liquidation or the need for further financial reorganization of the Debtors or any successor under the Plan. In connection with the planning and development of a plan of reorganization and for the purposes of determining whether such plan would satisfy this feasibility standard, the Debtors analyzed their ability to satisfy their financial obligations while maintaining sufficient liquidity and capital resources.</w:t>
      </w:r>
    </w:p>
    <w:p>
      <w:pPr>
        <w:spacing w:after="0" w:line="192" w:lineRule="exact"/>
        <w:rPr>
          <w:sz w:val="20"/>
          <w:szCs w:val="20"/>
          <w:color w:val="auto"/>
        </w:rPr>
      </w:pPr>
    </w:p>
    <w:p>
      <w:pPr>
        <w:jc w:val="both"/>
        <w:ind w:right="260" w:firstLine="662"/>
        <w:spacing w:after="0" w:line="279" w:lineRule="auto"/>
        <w:rPr>
          <w:sz w:val="20"/>
          <w:szCs w:val="20"/>
          <w:color w:val="auto"/>
        </w:rPr>
      </w:pPr>
      <w:r>
        <w:rPr>
          <w:rFonts w:ascii="Arial" w:cs="Arial" w:eastAsia="Arial" w:hAnsi="Arial"/>
          <w:sz w:val="17"/>
          <w:szCs w:val="17"/>
          <w:color w:val="auto"/>
        </w:rPr>
        <w:t>The Debtors do not, as a matter of course, publish their business plans or strategies, projections or anticipated financial position. Accordingly, the Debtors do not anticipate that they will, and disclaim any obligation to, furnish updated business plans or the Financial Projections to holders of Claims or other parties in interest going forward, or to include such information in documents required to be filed with the SEC or otherwise make such information public, unless required to do so by the SEC or other regulatory bodies pursuant to the provisions of the Plan.</w:t>
      </w:r>
    </w:p>
    <w:p>
      <w:pPr>
        <w:spacing w:after="0" w:line="167" w:lineRule="exact"/>
        <w:rPr>
          <w:sz w:val="20"/>
          <w:szCs w:val="20"/>
          <w:color w:val="auto"/>
        </w:rPr>
      </w:pPr>
    </w:p>
    <w:p>
      <w:pPr>
        <w:ind w:firstLine="662"/>
        <w:spacing w:after="0" w:line="266" w:lineRule="auto"/>
        <w:rPr>
          <w:sz w:val="20"/>
          <w:szCs w:val="20"/>
          <w:color w:val="auto"/>
        </w:rPr>
      </w:pPr>
      <w:r>
        <w:rPr>
          <w:rFonts w:ascii="Arial" w:cs="Arial" w:eastAsia="Arial" w:hAnsi="Arial"/>
          <w:sz w:val="18"/>
          <w:szCs w:val="18"/>
          <w:color w:val="auto"/>
        </w:rPr>
        <w:t>In connection with the Disclosure Statement, the Debtors’ management team (“</w:t>
      </w:r>
      <w:r>
        <w:rPr>
          <w:rFonts w:ascii="Arial" w:cs="Arial" w:eastAsia="Arial" w:hAnsi="Arial"/>
          <w:sz w:val="18"/>
          <w:szCs w:val="18"/>
          <w:b w:val="1"/>
          <w:bCs w:val="1"/>
          <w:u w:val="single" w:color="auto"/>
          <w:color w:val="auto"/>
        </w:rPr>
        <w:t>Management</w:t>
      </w:r>
      <w:r>
        <w:rPr>
          <w:rFonts w:ascii="Arial" w:cs="Arial" w:eastAsia="Arial" w:hAnsi="Arial"/>
          <w:sz w:val="18"/>
          <w:szCs w:val="18"/>
          <w:color w:val="auto"/>
        </w:rPr>
        <w:t>”) prepared the Financial Projections for the years 2019 through 2022 (the “</w:t>
      </w:r>
      <w:r>
        <w:rPr>
          <w:rFonts w:ascii="Arial" w:cs="Arial" w:eastAsia="Arial" w:hAnsi="Arial"/>
          <w:sz w:val="18"/>
          <w:szCs w:val="18"/>
          <w:b w:val="1"/>
          <w:bCs w:val="1"/>
          <w:u w:val="single" w:color="auto"/>
          <w:color w:val="auto"/>
        </w:rPr>
        <w:t>Projection Period</w:t>
      </w:r>
      <w:r>
        <w:rPr>
          <w:rFonts w:ascii="Arial" w:cs="Arial" w:eastAsia="Arial" w:hAnsi="Arial"/>
          <w:sz w:val="18"/>
          <w:szCs w:val="18"/>
          <w:color w:val="auto"/>
        </w:rPr>
        <w:t>”). The Financial Projections were prepared by Management and are based on several assumptions made by Management with respect to the future performance of the Reorganized Debtors’ operations.</w:t>
      </w:r>
    </w:p>
    <w:p>
      <w:pPr>
        <w:spacing w:after="0" w:line="180"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The Debtors have prepared the Financial Projections based on information available to them, including information derived from public sources that have not been independently verified. No representation or warranty, expressed or implied, is provided in relation to fairness, accuracy, correctness, completeness, or reliability of the information, opinions, or conclusions expressed herein.</w:t>
      </w:r>
    </w:p>
    <w:p>
      <w:pPr>
        <w:spacing w:after="0" w:line="18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color w:val="auto"/>
        </w:rPr>
        <w:t>THESE FINANCIAL PROJECTIONS WERE NOT PREPARED WITH A VIEW TOWARD COMPLIANCE WITH PUBLISHED GUIDELINES OF THE SEC OR GUIDELINES ESTABLISHED BY THE AMERICAN INSTITUTE OF CERTIFIED PUBLIC ACCOUNTANTS FOR PREPARATION AND PRESENTATION OF PROSPECTIVE FINANCIAL INFORMATION.</w:t>
      </w:r>
    </w:p>
    <w:p>
      <w:pPr>
        <w:spacing w:after="0" w:line="181" w:lineRule="exact"/>
        <w:rPr>
          <w:sz w:val="20"/>
          <w:szCs w:val="20"/>
          <w:color w:val="auto"/>
        </w:rPr>
      </w:pPr>
    </w:p>
    <w:p>
      <w:pPr>
        <w:ind w:right="40" w:firstLine="662"/>
        <w:spacing w:after="0" w:line="276" w:lineRule="auto"/>
        <w:rPr>
          <w:sz w:val="20"/>
          <w:szCs w:val="20"/>
          <w:color w:val="auto"/>
        </w:rPr>
      </w:pPr>
      <w:r>
        <w:rPr>
          <w:rFonts w:ascii="Arial" w:cs="Arial" w:eastAsia="Arial" w:hAnsi="Arial"/>
          <w:sz w:val="17"/>
          <w:szCs w:val="17"/>
          <w:color w:val="auto"/>
        </w:rPr>
        <w:t>ALTHOUGH MANAGEMENT HAS PREPARED THE FINANCIAL PROJECTIONS IN GOOD FAITH AND BELIEVES THE ASSUMPTIONS TO BE REASONABLE, IT IS IMPORTANT TO NOTE THAT NEITHER THE DEBTORS NOR THE REORGANIZED DEBTORS CAN PROVIDE ANY ASSURANCE THAT SUCH ASSUMPTIONS WILL BE REALIZED. AS DESCRIBED IN DETAIL IN THE DISCLOSURE STATEMENT, A VARIETY OF RISK FACTORS COULD AFFECT THE REORGANIZED DEBTORS’ FINANCIAL RESULTS AND MUST BE CONSIDERED. ACCORDINGLY, THE FINANCIAL PROJECTIONS SHOULD BE REVIEWED IN CONJUNCTION WITH A REVIEW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8268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8" w:lineRule="exact"/>
        <w:rPr>
          <w:sz w:val="20"/>
          <w:szCs w:val="20"/>
          <w:color w:val="auto"/>
        </w:rPr>
      </w:pPr>
    </w:p>
    <w:p>
      <w:pPr>
        <w:ind w:right="20" w:firstLine="8"/>
        <w:spacing w:after="0" w:line="238" w:lineRule="auto"/>
        <w:tabs>
          <w:tab w:leader="none" w:pos="141" w:val="left"/>
        </w:tabs>
        <w:numPr>
          <w:ilvl w:val="0"/>
          <w:numId w:val="421"/>
        </w:numPr>
        <w:rPr>
          <w:rFonts w:ascii="Arial" w:cs="Arial" w:eastAsia="Arial" w:hAnsi="Arial"/>
          <w:sz w:val="16"/>
          <w:szCs w:val="16"/>
          <w:color w:val="auto"/>
          <w:vertAlign w:val="superscript"/>
        </w:rPr>
      </w:pPr>
      <w:r>
        <w:rPr>
          <w:rFonts w:ascii="Arial" w:cs="Arial" w:eastAsia="Arial" w:hAnsi="Arial"/>
          <w:sz w:val="13"/>
          <w:szCs w:val="13"/>
          <w:color w:val="auto"/>
        </w:rPr>
        <w:t xml:space="preserve">Capitalized terms used but not otherwise defined herein have the meanings ascribed to them in the Disclosure Statement, to which these Financial Projections are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or the Plan attached to the Disclosure Statement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04" w:name="page305"/>
    <w:bookmarkEnd w:id="304"/>
    <w:p>
      <w:pPr>
        <w:ind w:right="900"/>
        <w:spacing w:after="0" w:line="277" w:lineRule="auto"/>
        <w:rPr>
          <w:sz w:val="20"/>
          <w:szCs w:val="20"/>
          <w:color w:val="auto"/>
        </w:rPr>
      </w:pPr>
      <w:r>
        <w:rPr>
          <w:rFonts w:ascii="Arial" w:cs="Arial" w:eastAsia="Arial" w:hAnsi="Arial"/>
          <w:sz w:val="18"/>
          <w:szCs w:val="18"/>
          <w:color w:val="auto"/>
        </w:rPr>
        <w:t>DISCLOSURE STATEMENT AND THE ASSUMPTIONS DESCRIBED HEREIN, INCLUDING ALL RELEVANT QUALIFICATIONS AND FOOTNOTES.</w:t>
      </w:r>
    </w:p>
    <w:p>
      <w:pPr>
        <w:spacing w:after="0" w:line="170" w:lineRule="exact"/>
        <w:rPr>
          <w:sz w:val="20"/>
          <w:szCs w:val="20"/>
          <w:color w:val="auto"/>
        </w:rPr>
      </w:pPr>
    </w:p>
    <w:p>
      <w:pPr>
        <w:ind w:right="40" w:firstLine="662"/>
        <w:spacing w:after="0" w:line="270" w:lineRule="auto"/>
        <w:rPr>
          <w:sz w:val="20"/>
          <w:szCs w:val="20"/>
          <w:color w:val="auto"/>
        </w:rPr>
      </w:pPr>
      <w:r>
        <w:rPr>
          <w:rFonts w:ascii="Arial" w:cs="Arial" w:eastAsia="Arial" w:hAnsi="Arial"/>
          <w:sz w:val="17"/>
          <w:szCs w:val="17"/>
          <w:color w:val="auto"/>
        </w:rPr>
        <w:t>The Financial Projections contain certain forward-looking statements, all of which are based on various estimates and assumptions. Such forward looking statements are subject to inherent uncertainties and to a wide variety of significant business, economic, and competitive risks, including those summarized herein. When used in the Financial Projections, the words, “anticipate,” “believe,” “estimate,” “will,” “may,” “intend,” “expect,” and similar expressions should be generally identified as forward-looking statements. Although the Debtors believe that their plans, intentions, and expectations reflected in the forward-looking statements are reasonable, they cannot be sure that they will be achieved. These statements are only predictions and are not guarantees of future performance or results. Forward-looking statements are subject to risks and uncertainties that could cause actual results to differ materially from those contemplated by a forward-looking statement. All forward-looking statements attributable to the Debtors or Persons or Entities acting on their behalf are expressly qualified in their entirety by the cautionary statements set forth herein. Forward-looking statements speak only as of the date on which they are made. Except as required by law, the Debtors expressly disclaim any obligation to update any forward-looking statement, whether because of new information, future events, or otherwise.</w:t>
      </w:r>
    </w:p>
    <w:p>
      <w:pPr>
        <w:spacing w:after="0" w:line="178"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The financial projections should be read in conjunction with the assumptions, qualifications, and explanations set forth in the Disclosure Statement and the Plan in their entirety as well as the notes and assumptions set forth below.</w:t>
      </w:r>
    </w:p>
    <w:p>
      <w:pPr>
        <w:spacing w:after="0" w:line="170"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The Financial Projections are subject to inherent risks and uncertainties, most of which are difficult to predict and many of which are beyond Management’s control. Although Management believes these assumptions are reasonable under the circumstances, such assumptions are subject to significant uncertainties, including, but not limited to, (a) changes in capital spending on oil field services in various end markets; (b) oil, natural gas, and other commodity pricing; (c) applicable laws and regulations; (d) interest rates and inflation; (e) business combinations among the Debtors’ competitors, suppliers and customers; (f) severe or unseasonable weather; and (g) availability and cost of steel, fuel and other raw materials. Additional information regarding these uncertainties are described in Article V of the Disclosure Statement. Should one or more of the risks or uncertainties referenced in the Disclosure Statement occur, or should underlying assumptions prove incorrect, actual results and plans could differ materially from those expressed in the Financial Projections. Further, new factors could cause actual results to differ materially from those described in the Financial Projections, and it is not possible to predict all such factors, or to the extent to which any such factor or combination of factors may cause actual results to differ from those contained in the Financial Projections. The Financial Projections herein are not, and must not be viewed as, a representation of fact, prediction or guaranty of the reorganized Debtors’ future performance.</w:t>
      </w:r>
    </w:p>
    <w:p>
      <w:pPr>
        <w:spacing w:after="0" w:line="179" w:lineRule="exact"/>
        <w:rPr>
          <w:sz w:val="20"/>
          <w:szCs w:val="20"/>
          <w:color w:val="auto"/>
        </w:rPr>
      </w:pPr>
    </w:p>
    <w:p>
      <w:pPr>
        <w:ind w:left="340" w:right="9420" w:hanging="332"/>
        <w:spacing w:after="0" w:line="604" w:lineRule="auto"/>
        <w:tabs>
          <w:tab w:leader="none" w:pos="341" w:val="left"/>
        </w:tabs>
        <w:numPr>
          <w:ilvl w:val="0"/>
          <w:numId w:val="422"/>
        </w:numPr>
        <w:rPr>
          <w:rFonts w:ascii="Arial" w:cs="Arial" w:eastAsia="Arial" w:hAnsi="Arial"/>
          <w:sz w:val="15"/>
          <w:szCs w:val="15"/>
          <w:b w:val="1"/>
          <w:bCs w:val="1"/>
          <w:color w:val="auto"/>
        </w:rPr>
      </w:pPr>
      <w:r>
        <w:rPr>
          <w:rFonts w:ascii="Arial" w:cs="Arial" w:eastAsia="Arial" w:hAnsi="Arial"/>
          <w:sz w:val="15"/>
          <w:szCs w:val="15"/>
          <w:b w:val="1"/>
          <w:bCs w:val="1"/>
          <w:color w:val="auto"/>
        </w:rPr>
        <w:t>General Assumptions A. Overview</w:t>
      </w:r>
    </w:p>
    <w:p>
      <w:pPr>
        <w:ind w:right="760" w:firstLine="662"/>
        <w:spacing w:after="0" w:line="342" w:lineRule="auto"/>
        <w:rPr>
          <w:sz w:val="20"/>
          <w:szCs w:val="20"/>
          <w:color w:val="auto"/>
        </w:rPr>
      </w:pPr>
      <w:r>
        <w:rPr>
          <w:rFonts w:ascii="Arial" w:cs="Arial" w:eastAsia="Arial" w:hAnsi="Arial"/>
          <w:sz w:val="16"/>
          <w:szCs w:val="16"/>
          <w:color w:val="auto"/>
        </w:rPr>
        <w:t>The Debtors and their consolidated subsidiaries are a leading provider of equipment and services to the oil and natural gas exploration and production industry. The Debtors principal business is to provide equipment and services to the oil and natural gas exploration and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5" w:name="page306"/>
    <w:bookmarkEnd w:id="305"/>
    <w:p>
      <w:pPr>
        <w:spacing w:after="0" w:line="271" w:lineRule="auto"/>
        <w:rPr>
          <w:sz w:val="20"/>
          <w:szCs w:val="20"/>
          <w:color w:val="auto"/>
        </w:rPr>
      </w:pPr>
      <w:r>
        <w:rPr>
          <w:rFonts w:ascii="Arial" w:cs="Arial" w:eastAsia="Arial" w:hAnsi="Arial"/>
          <w:sz w:val="17"/>
          <w:szCs w:val="17"/>
          <w:color w:val="auto"/>
        </w:rPr>
        <w:t>industry, both onshore and offshore. Product and services include: (1) Production, (2) Completions, (3) Drilling and Evaluation and (4) Well Construction. Demand for the Debtors services and products depends upon commodity prices for oil and gas, the number of oil and natural gas wells drilled, the depth and drilling conditions of wells, the number of well completions, the depletion and age of existing wells and the level of workover activity worldwide. 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The Debtors have invested a substantial amount of our time and resources into building our technology offerings, which helps us to provide our clients with more efficient tools to find and produce oil and natural gas. Products and services are provided worldwide and in a variety of distinct segments with various other competitors and suppliers.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The Financial Projections are presented on a basis of accounting consistent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GAAP requires that majority-owned subsidiaries be reported under the consolidation method of accounting. As a result, the Company has shown the results of all consolidated entities within the Financial Projections presented herein.</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Accounting Policies</w:t>
      </w:r>
    </w:p>
    <w:p>
      <w:pPr>
        <w:spacing w:after="0" w:line="229"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 xml:space="preserve">The Financial Projections have been prepared using accounting policies that are materially consistent with those applied in the Company’s historical financial statements. The Financial Projections do not reflect the formal implementation of reorganization accounting pursuant to FASB Accounting Standards Codification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852</w:t>
      </w:r>
      <w:r>
        <w:rPr>
          <w:rFonts w:ascii="Arial" w:cs="Arial" w:eastAsia="Arial" w:hAnsi="Arial"/>
          <w:sz w:val="18"/>
          <w:szCs w:val="18"/>
          <w:color w:val="auto"/>
        </w:rPr>
        <w:t>”). Overall, the implementation of ASC 852 is not anticipated to have a material impact on the underlying economics of the Plan.</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Methodology</w:t>
      </w:r>
    </w:p>
    <w:p>
      <w:pPr>
        <w:spacing w:after="0" w:line="229"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In developing the Financial Projections, Management reviewed current utilization of products and services by region and segment, as well as backlog of firm orders. Management evaluates customer activity in relevant markets and their capital spending outlook to assess whether contracts are likely to be renewed. Depending on the service line, customer and location, contracts vary in their terms and provisions.</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Market Forecast</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The Financial Projections were prepared based on the level of spending in the energy industry, which is heavily influenced by the current and expected future prices of oil and natural gas. Changes in expenditures result in an increased or decreased demand for products and services. Rig activity is an indicator of the level of spending for the exploration and production of oil and natural gas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6" w:name="page307"/>
    <w:bookmarkEnd w:id="306"/>
    <w:p>
      <w:pPr>
        <w:ind w:left="660" w:hanging="328"/>
        <w:spacing w:after="0"/>
        <w:tabs>
          <w:tab w:leader="none" w:pos="660"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Plan Consummation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Financial Projections assume that the Plan will be consummated on or around September 30, 2019.</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Cash Flow Statement</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1"/>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projected results of operations and cash flows over the projected period to the assumed emergence date of September 30, 2019.</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1"/>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Working capital assumptions are based on movements in accounts receivable, accounts payable, and other accrued current assets and liabilities. Projected balances are based on the historical cash conversion cycle of the Company’s specific business units. Prospective working capital assumptions were supplemented by Management as deemed appropriate.</w:t>
      </w:r>
    </w:p>
    <w:p>
      <w:pPr>
        <w:spacing w:after="0" w:line="17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reorganized Company’s estimated post-emergence capital structure is assumed to be effective beginning October 1, 2019 or shortly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Projections assume the following key assumptions at emergence:</w:t>
      </w:r>
    </w:p>
    <w:p>
      <w:pPr>
        <w:spacing w:after="0" w:line="211" w:lineRule="exact"/>
        <w:rPr>
          <w:sz w:val="20"/>
          <w:szCs w:val="20"/>
          <w:color w:val="auto"/>
        </w:rPr>
      </w:pPr>
    </w:p>
    <w:p>
      <w:pPr>
        <w:ind w:left="720" w:right="80" w:hanging="334"/>
        <w:spacing w:after="0" w:line="279" w:lineRule="auto"/>
        <w:tabs>
          <w:tab w:leader="none" w:pos="684" w:val="left"/>
        </w:tabs>
        <w:numPr>
          <w:ilvl w:val="1"/>
          <w:numId w:val="425"/>
        </w:numPr>
        <w:rPr>
          <w:rFonts w:ascii="Arial" w:cs="Arial" w:eastAsia="Arial" w:hAnsi="Arial"/>
          <w:sz w:val="17"/>
          <w:szCs w:val="17"/>
          <w:color w:val="auto"/>
        </w:rPr>
      </w:pPr>
      <w:r>
        <w:rPr>
          <w:rFonts w:ascii="Arial" w:cs="Arial" w:eastAsia="Arial" w:hAnsi="Arial"/>
          <w:sz w:val="17"/>
          <w:szCs w:val="17"/>
          <w:color w:val="auto"/>
        </w:rPr>
        <w:t>A first lien secured Exit RCF Facility maturing 2024, with $1.0 billion in commitments and a $500 million LC Sub-Facility. The Exit Facility is assumed to have no amounts drawn as of the effective date and $415 million of letters of credit under the LC Sub-facility, reducing the Company’s availability by that amount as of the Effective Date. The Exit Facility bears cash interest at an annual rate of LIBOR plus 300 basis points, an unused commitment fee of 50 basis points, and fees on outstanding letters of credit at an annual rate of 200 basis points.</w:t>
      </w:r>
    </w:p>
    <w:p>
      <w:pPr>
        <w:spacing w:after="0" w:line="171" w:lineRule="exact"/>
        <w:rPr>
          <w:rFonts w:ascii="Arial" w:cs="Arial" w:eastAsia="Arial" w:hAnsi="Arial"/>
          <w:sz w:val="17"/>
          <w:szCs w:val="17"/>
          <w:color w:val="auto"/>
        </w:rPr>
      </w:pPr>
    </w:p>
    <w:p>
      <w:pPr>
        <w:ind w:left="720" w:right="380" w:hanging="334"/>
        <w:spacing w:after="0" w:line="342" w:lineRule="auto"/>
        <w:tabs>
          <w:tab w:leader="none" w:pos="684" w:val="left"/>
        </w:tabs>
        <w:numPr>
          <w:ilvl w:val="1"/>
          <w:numId w:val="425"/>
        </w:numPr>
        <w:rPr>
          <w:rFonts w:ascii="Arial" w:cs="Arial" w:eastAsia="Arial" w:hAnsi="Arial"/>
          <w:sz w:val="16"/>
          <w:szCs w:val="16"/>
          <w:color w:val="auto"/>
        </w:rPr>
      </w:pPr>
      <w:r>
        <w:rPr>
          <w:rFonts w:ascii="Arial" w:cs="Arial" w:eastAsia="Arial" w:hAnsi="Arial"/>
          <w:sz w:val="16"/>
          <w:szCs w:val="16"/>
          <w:color w:val="auto"/>
        </w:rPr>
        <w:t>$1.25 billion of Tranche A Exit Senior Notes maturing in 2024. $500 million of the Tranche A Exit Senior Notes are callable at the Company’s option prior to maturity at 103% of par. The Tranche A Exit Senior Notes accrue cash interest at an annual rate of 9%, payable semi-annually.</w:t>
      </w:r>
    </w:p>
    <w:p>
      <w:pPr>
        <w:spacing w:after="0" w:line="123" w:lineRule="exact"/>
        <w:rPr>
          <w:rFonts w:ascii="Arial" w:cs="Arial" w:eastAsia="Arial" w:hAnsi="Arial"/>
          <w:sz w:val="16"/>
          <w:szCs w:val="16"/>
          <w:color w:val="auto"/>
        </w:rPr>
      </w:pPr>
    </w:p>
    <w:p>
      <w:pPr>
        <w:ind w:left="720" w:hanging="334"/>
        <w:spacing w:after="0" w:line="264" w:lineRule="auto"/>
        <w:tabs>
          <w:tab w:leader="none" w:pos="684" w:val="left"/>
        </w:tabs>
        <w:numPr>
          <w:ilvl w:val="1"/>
          <w:numId w:val="425"/>
        </w:numPr>
        <w:rPr>
          <w:rFonts w:ascii="Arial" w:cs="Arial" w:eastAsia="Arial" w:hAnsi="Arial"/>
          <w:sz w:val="18"/>
          <w:szCs w:val="18"/>
          <w:color w:val="auto"/>
        </w:rPr>
      </w:pPr>
      <w:r>
        <w:rPr>
          <w:rFonts w:ascii="Arial" w:cs="Arial" w:eastAsia="Arial" w:hAnsi="Arial"/>
          <w:sz w:val="18"/>
          <w:szCs w:val="18"/>
          <w:color w:val="auto"/>
        </w:rPr>
        <w:t>$1.25 billion of Tranche B Exit Senior Notes maturing in 2026. $500 million of the Tranche B Exit Senior Notes can be converted into equity at the option of the Unsecured Noteholders prior to emergence at the midpoint of the Plan equity value. The Tranche B Exit Senior Notes accrue cash interest at an annual rate of 8%, payable semi-annually.</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with Respect to the Projected Income Statement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ind w:right="480" w:firstLine="662"/>
        <w:spacing w:after="0" w:line="342" w:lineRule="auto"/>
        <w:rPr>
          <w:sz w:val="20"/>
          <w:szCs w:val="20"/>
          <w:color w:val="auto"/>
        </w:rPr>
      </w:pPr>
      <w:r>
        <w:rPr>
          <w:rFonts w:ascii="Arial" w:cs="Arial" w:eastAsia="Arial" w:hAnsi="Arial"/>
          <w:sz w:val="16"/>
          <w:szCs w:val="16"/>
          <w:color w:val="auto"/>
        </w:rPr>
        <w:t>The Financial Projections include revenue generated by product and services sales, either separately or bundled together to provide integrated solutions up to, and including, integrated well construction where the Company is responsible for the entire process of drilling, constructing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307" w:name="page308"/>
    <w:bookmarkEnd w:id="307"/>
    <w:p>
      <w:pPr>
        <w:ind w:right="340"/>
        <w:spacing w:after="0" w:line="277" w:lineRule="auto"/>
        <w:rPr>
          <w:sz w:val="20"/>
          <w:szCs w:val="20"/>
          <w:color w:val="auto"/>
        </w:rPr>
      </w:pPr>
      <w:r>
        <w:rPr>
          <w:rFonts w:ascii="Arial" w:cs="Arial" w:eastAsia="Arial" w:hAnsi="Arial"/>
          <w:sz w:val="18"/>
          <w:szCs w:val="18"/>
          <w:color w:val="auto"/>
        </w:rPr>
        <w:t>completing a well. Higher or lower activity and productivity related to the increase in rig count, and utilization in the Company’s product lines, are major factors in revenue generation.</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Operating Expenses</w:t>
      </w:r>
    </w:p>
    <w:p>
      <w:pPr>
        <w:spacing w:after="0" w:line="225" w:lineRule="exact"/>
        <w:rPr>
          <w:sz w:val="20"/>
          <w:szCs w:val="20"/>
          <w:color w:val="auto"/>
        </w:rPr>
      </w:pPr>
    </w:p>
    <w:p>
      <w:pPr>
        <w:ind w:right="180" w:firstLine="662"/>
        <w:spacing w:after="0" w:line="261" w:lineRule="auto"/>
        <w:rPr>
          <w:sz w:val="20"/>
          <w:szCs w:val="20"/>
          <w:color w:val="auto"/>
        </w:rPr>
      </w:pPr>
      <w:r>
        <w:rPr>
          <w:rFonts w:ascii="Arial" w:cs="Arial" w:eastAsia="Arial" w:hAnsi="Arial"/>
          <w:sz w:val="18"/>
          <w:szCs w:val="18"/>
          <w:color w:val="auto"/>
        </w:rPr>
        <w:t>Operating costs (“</w:t>
      </w:r>
      <w:r>
        <w:rPr>
          <w:rFonts w:ascii="Arial" w:cs="Arial" w:eastAsia="Arial" w:hAnsi="Arial"/>
          <w:sz w:val="18"/>
          <w:szCs w:val="18"/>
          <w:b w:val="1"/>
          <w:bCs w:val="1"/>
          <w:u w:val="single" w:color="auto"/>
          <w:color w:val="auto"/>
        </w:rPr>
        <w:t>OpEx</w:t>
      </w:r>
      <w:r>
        <w:rPr>
          <w:rFonts w:ascii="Arial" w:cs="Arial" w:eastAsia="Arial" w:hAnsi="Arial"/>
          <w:sz w:val="18"/>
          <w:szCs w:val="18"/>
          <w:color w:val="auto"/>
        </w:rPr>
        <w:t>”) are based on the Company’s ability to manage the workforce, supply chain and business processes, information technology systems and technological innovation and commercialization, including the impact of restructuring, business enhancements, and transformation efforts. OpEx is projected based on historical operating costs and expected utilization of products and services currently under contract and expectations regarding future contracts. OpEx is projected by segment and region.</w:t>
      </w:r>
    </w:p>
    <w:p>
      <w:pPr>
        <w:spacing w:after="0" w:line="184" w:lineRule="exact"/>
        <w:rPr>
          <w:sz w:val="20"/>
          <w:szCs w:val="20"/>
          <w:color w:val="auto"/>
        </w:rPr>
      </w:pPr>
    </w:p>
    <w:p>
      <w:pPr>
        <w:ind w:right="20" w:firstLine="662"/>
        <w:spacing w:after="0" w:line="308" w:lineRule="auto"/>
        <w:rPr>
          <w:sz w:val="20"/>
          <w:szCs w:val="20"/>
          <w:color w:val="auto"/>
        </w:rPr>
      </w:pPr>
      <w:r>
        <w:rPr>
          <w:rFonts w:ascii="Arial" w:cs="Arial" w:eastAsia="Arial" w:hAnsi="Arial"/>
          <w:sz w:val="17"/>
          <w:szCs w:val="17"/>
          <w:color w:val="auto"/>
        </w:rPr>
        <w:t>Furthermore, through the Company’s transformation program, Management continue to see improvements in operating efficiency, ongoing lowering of non-productive time, improvements in collaboration with customers and continuing progress towards transformation targets.</w:t>
      </w:r>
    </w:p>
    <w:p>
      <w:pPr>
        <w:spacing w:after="0" w:line="14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General and Administrative Expenses</w:t>
      </w:r>
    </w:p>
    <w:p>
      <w:pPr>
        <w:spacing w:after="0" w:line="225" w:lineRule="exact"/>
        <w:rPr>
          <w:sz w:val="20"/>
          <w:szCs w:val="20"/>
          <w:color w:val="auto"/>
        </w:rPr>
      </w:pPr>
    </w:p>
    <w:p>
      <w:pPr>
        <w:ind w:right="260" w:firstLine="662"/>
        <w:spacing w:after="0" w:line="266" w:lineRule="auto"/>
        <w:rPr>
          <w:sz w:val="20"/>
          <w:szCs w:val="20"/>
          <w:color w:val="auto"/>
        </w:rPr>
      </w:pPr>
      <w:r>
        <w:rPr>
          <w:rFonts w:ascii="Arial" w:cs="Arial" w:eastAsia="Arial" w:hAnsi="Arial"/>
          <w:sz w:val="18"/>
          <w:szCs w:val="18"/>
          <w:color w:val="auto"/>
        </w:rPr>
        <w:t>General and Administrative Costs (“</w:t>
      </w:r>
      <w:r>
        <w:rPr>
          <w:rFonts w:ascii="Arial" w:cs="Arial" w:eastAsia="Arial" w:hAnsi="Arial"/>
          <w:sz w:val="18"/>
          <w:szCs w:val="18"/>
          <w:b w:val="1"/>
          <w:bCs w:val="1"/>
          <w:u w:val="single" w:color="auto"/>
          <w:color w:val="auto"/>
        </w:rPr>
        <w:t>G&amp;A</w:t>
      </w:r>
      <w:r>
        <w:rPr>
          <w:rFonts w:ascii="Arial" w:cs="Arial" w:eastAsia="Arial" w:hAnsi="Arial"/>
          <w:sz w:val="18"/>
          <w:szCs w:val="18"/>
          <w:color w:val="auto"/>
        </w:rPr>
        <w:t>”) are primarily comprised of labor costs, legal expenses, and other expenses associated with corporate overhead. Projected G&amp;A is based primarily on historical G&amp;A costs, adjusted for recent cost reduction efforts. Annual G&amp;A is projected to be approximately $30 million in 2019 with annual increases of 2% to 4% through the projection period.</w:t>
      </w:r>
    </w:p>
    <w:p>
      <w:pPr>
        <w:spacing w:after="0" w:line="176" w:lineRule="exact"/>
        <w:rPr>
          <w:sz w:val="20"/>
          <w:szCs w:val="20"/>
          <w:color w:val="auto"/>
        </w:rPr>
      </w:pPr>
    </w:p>
    <w:p>
      <w:pPr>
        <w:ind w:left="660" w:hanging="328"/>
        <w:spacing w:after="0"/>
        <w:tabs>
          <w:tab w:leader="none" w:pos="6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and Amortization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Depreciation and amortization reflects the anticipated book expenses based on the carrying asset values.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Post-emergence interest expense is forecasted based on the Company’s pro forma capital structure as more fully described in the Capital Structure section included herein and the Plan and the exhibits thereto.</w:t>
      </w:r>
    </w:p>
    <w:p>
      <w:pPr>
        <w:spacing w:after="0" w:line="166"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Income Tax (Expense) Benefit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expenses are forecasted based on the projected earnings and tax rates by jurisdiction where the Company’s earnings are generated.</w:t>
      </w: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Capital Expenditures</w:t>
      </w:r>
    </w:p>
    <w:p>
      <w:pPr>
        <w:spacing w:after="0" w:line="229" w:lineRule="exact"/>
        <w:rPr>
          <w:sz w:val="20"/>
          <w:szCs w:val="20"/>
          <w:color w:val="auto"/>
        </w:rPr>
      </w:pPr>
    </w:p>
    <w:p>
      <w:pPr>
        <w:jc w:val="both"/>
        <w:ind w:firstLine="662"/>
        <w:spacing w:after="0" w:line="312" w:lineRule="auto"/>
        <w:rPr>
          <w:sz w:val="20"/>
          <w:szCs w:val="20"/>
          <w:color w:val="auto"/>
        </w:rPr>
      </w:pPr>
      <w:r>
        <w:rPr>
          <w:rFonts w:ascii="Arial" w:cs="Arial" w:eastAsia="Arial" w:hAnsi="Arial"/>
          <w:sz w:val="16"/>
          <w:szCs w:val="16"/>
          <w:color w:val="auto"/>
        </w:rPr>
        <w:t>Forecasted capital expenditures were prepared with consideration for the needs of the Company’s fixed assets. Capital expenditures primarily relate to maintaining and continuing to invest in the Company’s worldwide drill pipe and rental equipment inventory, sustaining its drilling rig fleet by keeping each rig in proper working condition, as well as capital outlays required for customer-related rig upgrades. Capital expenditures also include capitalized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t>expenditures, such as expenditures required to maintain the Company’s information technology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35693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356933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09" w:name="page310"/>
    <w:bookmarkEnd w:id="309"/>
    <w:p>
      <w:pPr>
        <w:jc w:val="center"/>
        <w:ind w:right="-2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Valuation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b w:val="1"/>
          <w:bCs w:val="1"/>
          <w:u w:val="single" w:color="auto"/>
          <w:color w:val="auto"/>
        </w:rPr>
        <w:t>Valuation Analysis of Reorganized Weatherford</w:t>
      </w:r>
    </w:p>
    <w:p>
      <w:pPr>
        <w:spacing w:after="0" w:line="22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THE INFORMATION CONTAINED HEREIN IS NOT A PREDICTION OR GUARANTEE OF THE ACTUAL MARKET VALUE THAT MAY BE REALIZED THROUGH THE SALE OF ANY SECURITIES TO BE ISSUED PURSUANT TO THE PLAN. THE INFORMATION IS PRESENTED SOLELY FOR THE PURPOSE OF PROVIDING ADEQUATE INFORMATION UNDER SECTION 1125 OF THE BANKRUPTCY CODE TO ENABLE THE HOLDERS OF CLAIMS ENTITLED TO VOTE TO ACCEPT OR REJECT THE PLAN TO MAKE AN INFORMED JUDGMENT ABOUT THE PLAN AND SHOULD NOT BE USED OR RELIED UPON FOR ANY OTHER PURPOSE, INCLUDING THE PURCHASE OR SALE OF CLAIMS AGAINST THE DEBTORS OR ANY OF THEIR AFFILIATES.</w:t>
      </w:r>
      <w:r>
        <w:rPr>
          <w:rFonts w:ascii="Arial" w:cs="Arial" w:eastAsia="Arial" w:hAnsi="Arial"/>
          <w:sz w:val="23"/>
          <w:szCs w:val="23"/>
          <w:color w:val="auto"/>
          <w:vertAlign w:val="superscript"/>
        </w:rPr>
        <w:t>(1)</w:t>
      </w:r>
    </w:p>
    <w:p>
      <w:pPr>
        <w:spacing w:after="0" w:line="101" w:lineRule="exact"/>
        <w:rPr>
          <w:sz w:val="20"/>
          <w:szCs w:val="20"/>
          <w:color w:val="auto"/>
        </w:rPr>
      </w:pPr>
    </w:p>
    <w:p>
      <w:pPr>
        <w:ind w:left="660" w:hanging="328"/>
        <w:spacing w:after="0"/>
        <w:tabs>
          <w:tab w:leader="none" w:pos="660"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Estimated Valuation</w:t>
      </w:r>
    </w:p>
    <w:p>
      <w:pPr>
        <w:spacing w:after="0" w:line="225"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Solely for the purposes of the Plan and the Disclosure Statement, Lazard Frères &amp; Co. LLC (“</w:t>
      </w:r>
      <w:r>
        <w:rPr>
          <w:rFonts w:ascii="Arial" w:cs="Arial" w:eastAsia="Arial" w:hAnsi="Arial"/>
          <w:sz w:val="18"/>
          <w:szCs w:val="18"/>
          <w:b w:val="1"/>
          <w:bCs w:val="1"/>
          <w:u w:val="single" w:color="auto"/>
          <w:color w:val="auto"/>
        </w:rPr>
        <w:t>Lazard</w:t>
      </w:r>
      <w:r>
        <w:rPr>
          <w:rFonts w:ascii="Arial" w:cs="Arial" w:eastAsia="Arial" w:hAnsi="Arial"/>
          <w:sz w:val="18"/>
          <w:szCs w:val="18"/>
          <w:color w:val="auto"/>
        </w:rPr>
        <w:t>”), as investment banker to the Debtors, has estimated a range of total enterprise value (“</w:t>
      </w:r>
      <w:r>
        <w:rPr>
          <w:rFonts w:ascii="Arial" w:cs="Arial" w:eastAsia="Arial" w:hAnsi="Arial"/>
          <w:sz w:val="18"/>
          <w:szCs w:val="18"/>
          <w:b w:val="1"/>
          <w:bCs w:val="1"/>
          <w:u w:val="single" w:color="auto"/>
          <w:color w:val="auto"/>
        </w:rPr>
        <w:t>Enterprise Value</w:t>
      </w:r>
      <w:r>
        <w:rPr>
          <w:rFonts w:ascii="Arial" w:cs="Arial" w:eastAsia="Arial" w:hAnsi="Arial"/>
          <w:sz w:val="18"/>
          <w:szCs w:val="18"/>
          <w:color w:val="auto"/>
        </w:rPr>
        <w:t>”) for Reorganized Weatherford on a consolidated going-concern basis and pro forma for the transactions contemplated by the Plan (the “</w:t>
      </w:r>
      <w:r>
        <w:rPr>
          <w:rFonts w:ascii="Arial" w:cs="Arial" w:eastAsia="Arial" w:hAnsi="Arial"/>
          <w:sz w:val="18"/>
          <w:szCs w:val="18"/>
          <w:b w:val="1"/>
          <w:bCs w:val="1"/>
          <w:u w:val="single" w:color="auto"/>
          <w:color w:val="auto"/>
        </w:rPr>
        <w:t>Valuation Analysis</w:t>
      </w:r>
      <w:r>
        <w:rPr>
          <w:rFonts w:ascii="Arial" w:cs="Arial" w:eastAsia="Arial" w:hAnsi="Arial"/>
          <w:sz w:val="18"/>
          <w:szCs w:val="18"/>
          <w:color w:val="auto"/>
        </w:rPr>
        <w:t xml:space="preserve">”). The Valuation Analysis is based on financial information and projections provided by the Debtors’ management, including the Financial Projections attached to the Disclosure Statement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(collectively the “</w:t>
      </w:r>
      <w:r>
        <w:rPr>
          <w:rFonts w:ascii="Arial" w:cs="Arial" w:eastAsia="Arial" w:hAnsi="Arial"/>
          <w:sz w:val="18"/>
          <w:szCs w:val="18"/>
          <w:b w:val="1"/>
          <w:bCs w:val="1"/>
          <w:u w:val="single" w:color="auto"/>
          <w:color w:val="auto"/>
        </w:rPr>
        <w:t>Projections</w:t>
      </w:r>
      <w:r>
        <w:rPr>
          <w:rFonts w:ascii="Arial" w:cs="Arial" w:eastAsia="Arial" w:hAnsi="Arial"/>
          <w:sz w:val="18"/>
          <w:szCs w:val="18"/>
          <w:color w:val="auto"/>
        </w:rPr>
        <w:t>”), and information provided by other sources. The Valuation Analysis assumes that the Effective Date will occur on September 30, 2019. The valuation estimates set forth herein represent valuation analyses of Reorganized Weatherford generally based on the application of customary valuation techniques deemed appropriate by Lazard.</w:t>
      </w:r>
    </w:p>
    <w:p>
      <w:pPr>
        <w:spacing w:after="0" w:line="19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Based on the Projections and solely for the purposes of the Plan, Lazard estimates that the potential range of Reorganized Weatherford’s operations on a going concern basis (the “</w:t>
      </w:r>
      <w:r>
        <w:rPr>
          <w:rFonts w:ascii="Arial" w:cs="Arial" w:eastAsia="Arial" w:hAnsi="Arial"/>
          <w:sz w:val="16"/>
          <w:szCs w:val="16"/>
          <w:b w:val="1"/>
          <w:bCs w:val="1"/>
          <w:u w:val="single" w:color="auto"/>
          <w:color w:val="auto"/>
        </w:rPr>
        <w:t>Enterprise Value</w:t>
      </w:r>
      <w:r>
        <w:rPr>
          <w:rFonts w:ascii="Arial" w:cs="Arial" w:eastAsia="Arial" w:hAnsi="Arial"/>
          <w:sz w:val="16"/>
          <w:szCs w:val="16"/>
          <w:color w:val="auto"/>
        </w:rPr>
        <w:t>”) is approximately $4.80 to $6.80 billion. Based on the potential range of Enterprise Value and assumed net cash of $320 million as of the Effective Date, Lazard estimates an imputed range of potential equity value of $2.62 to $4.62 billion, following the issuance of the $1.25 billion of Tranche A Exit Notes and $1.25 billion of Tranche B Exit Notes. For purposes of the Valuation Analysis, Lazard assumed that, between the date of filing of the Disclosure Statement and the assumed Effective Date, no material changes that would affect estimated valuation will occur. Reorganized Weatherford’s assumed net cash is the sum of (i) $1,158 million of balance sheet cash as of the Effective Date (including restricted cash) and</w:t>
      </w:r>
    </w:p>
    <w:p>
      <w:pPr>
        <w:spacing w:after="0" w:line="5" w:lineRule="exact"/>
        <w:rPr>
          <w:sz w:val="20"/>
          <w:szCs w:val="20"/>
          <w:color w:val="auto"/>
        </w:rPr>
      </w:pPr>
    </w:p>
    <w:p>
      <w:pPr>
        <w:ind w:left="280" w:hanging="272"/>
        <w:spacing w:after="0"/>
        <w:tabs>
          <w:tab w:leader="none" w:pos="28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$ 1.25 billion of Tranche A Exit Notes proceeds, less the sum of (i) $1.0 billion of DIP Term Loan repayment, (ii) $715 million of DIP RCF repayment,</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$307 million of Unsecured RCFs repayment, and (iv) $67 million of exit costs.</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value of the New Warrants has been estimated using a Black-Scholes valuation model and reflecting the estimated range of Reorganized Weatherford’s equity value above. Based on that analysis, the value of the New Warrants is estimated at $3.8 million to $38.9 million, with a midpoint of $15.5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right="120" w:firstLine="8"/>
        <w:spacing w:after="0" w:line="275" w:lineRule="auto"/>
        <w:tabs>
          <w:tab w:leader="none" w:pos="133" w:val="left"/>
        </w:tabs>
        <w:numPr>
          <w:ilvl w:val="0"/>
          <w:numId w:val="429"/>
        </w:numPr>
        <w:rPr>
          <w:rFonts w:ascii="Arial" w:cs="Arial" w:eastAsia="Arial" w:hAnsi="Arial"/>
          <w:sz w:val="15"/>
          <w:szCs w:val="15"/>
          <w:color w:val="auto"/>
          <w:vertAlign w:val="superscript"/>
        </w:rPr>
      </w:pPr>
      <w:r>
        <w:rPr>
          <w:rFonts w:ascii="Arial" w:cs="Arial" w:eastAsia="Arial" w:hAnsi="Arial"/>
          <w:sz w:val="12"/>
          <w:szCs w:val="12"/>
          <w:color w:val="auto"/>
        </w:rPr>
        <w:t xml:space="preserve">All capitalized terms used but not otherwise defined herein shall have the meanings ascribed to them in the </w:t>
      </w:r>
      <w:r>
        <w:rPr>
          <w:rFonts w:ascii="Arial" w:cs="Arial" w:eastAsia="Arial" w:hAnsi="Arial"/>
          <w:sz w:val="12"/>
          <w:szCs w:val="12"/>
          <w:i w:val="1"/>
          <w:iCs w:val="1"/>
          <w:color w:val="auto"/>
        </w:rPr>
        <w:t>Disclosure Statement for the Joint Chapter 11 Plan of Reorganization for Weatherford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Its Debtor Affiliates </w:t>
      </w:r>
      <w:r>
        <w:rPr>
          <w:rFonts w:ascii="Arial" w:cs="Arial" w:eastAsia="Arial" w:hAnsi="Arial"/>
          <w:sz w:val="12"/>
          <w:szCs w:val="12"/>
          <w:color w:val="auto"/>
        </w:rPr>
        <w:t>(the “</w:t>
      </w:r>
      <w:r>
        <w:rPr>
          <w:rFonts w:ascii="Arial" w:cs="Arial" w:eastAsia="Arial" w:hAnsi="Arial"/>
          <w:sz w:val="12"/>
          <w:szCs w:val="12"/>
          <w:b w:val="1"/>
          <w:bCs w:val="1"/>
          <w:u w:val="single" w:color="auto"/>
          <w:color w:val="auto"/>
        </w:rPr>
        <w:t>Disclosure Statement</w:t>
      </w:r>
      <w:r>
        <w:rPr>
          <w:rFonts w:ascii="Arial" w:cs="Arial" w:eastAsia="Arial" w:hAnsi="Arial"/>
          <w:sz w:val="12"/>
          <w:szCs w:val="12"/>
          <w:color w:val="auto"/>
        </w:rPr>
        <w:t>”), to which this Valuation Analysis is attached as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Exhibit E</w:t>
      </w:r>
      <w:r>
        <w:rPr>
          <w:rFonts w:ascii="Arial" w:cs="Arial" w:eastAsia="Arial" w:hAnsi="Arial"/>
          <w:sz w:val="12"/>
          <w:szCs w:val="12"/>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1" w:name="page312"/>
    <w:bookmarkEnd w:id="311"/>
    <w:p>
      <w:pPr>
        <w:ind w:right="240" w:firstLine="648"/>
        <w:spacing w:after="0" w:line="277" w:lineRule="auto"/>
        <w:rPr>
          <w:sz w:val="20"/>
          <w:szCs w:val="20"/>
          <w:color w:val="auto"/>
        </w:rPr>
      </w:pPr>
      <w:r>
        <w:rPr>
          <w:rFonts w:ascii="Arial" w:cs="Arial" w:eastAsia="Arial" w:hAnsi="Arial"/>
          <w:sz w:val="18"/>
          <w:szCs w:val="18"/>
          <w:color w:val="auto"/>
        </w:rPr>
        <w:t>Lazard’s Valuation Analysis does not constitute an opinion as to fairness from a financial point of view of the consideration to be received or paid under the Plan, of the terms and provisions of the Plan, or with respect to any other matters.</w:t>
      </w:r>
    </w:p>
    <w:p>
      <w:pPr>
        <w:spacing w:after="0" w:line="166" w:lineRule="exact"/>
        <w:rPr>
          <w:sz w:val="20"/>
          <w:szCs w:val="20"/>
          <w:color w:val="auto"/>
        </w:rPr>
      </w:pPr>
    </w:p>
    <w:p>
      <w:pPr>
        <w:ind w:left="660" w:hanging="328"/>
        <w:spacing w:after="0"/>
        <w:tabs>
          <w:tab w:leader="none" w:pos="660"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Valuation Methodology</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consolidated value of Reorganized Weatherford was estimated by primarily relying on two generally accepted valuation techniques:</w:t>
      </w:r>
    </w:p>
    <w:p>
      <w:pPr>
        <w:spacing w:after="0" w:line="34" w:lineRule="exact"/>
        <w:rPr>
          <w:rFonts w:ascii="Arial" w:cs="Arial" w:eastAsia="Arial" w:hAnsi="Arial"/>
          <w:sz w:val="18"/>
          <w:szCs w:val="18"/>
          <w:color w:val="auto"/>
        </w:rPr>
      </w:pPr>
    </w:p>
    <w:p>
      <w:pPr>
        <w:ind w:right="100" w:firstLine="8"/>
        <w:spacing w:after="0" w:line="255" w:lineRule="auto"/>
        <w:tabs>
          <w:tab w:leader="none" w:pos="21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Discounted Cash Flow (“</w:t>
      </w:r>
      <w:r>
        <w:rPr>
          <w:rFonts w:ascii="Arial" w:cs="Arial" w:eastAsia="Arial" w:hAnsi="Arial"/>
          <w:sz w:val="18"/>
          <w:szCs w:val="18"/>
          <w:b w:val="1"/>
          <w:bCs w:val="1"/>
          <w:u w:val="single" w:color="auto"/>
          <w:color w:val="auto"/>
        </w:rPr>
        <w:t>DCF</w:t>
      </w:r>
      <w:r>
        <w:rPr>
          <w:rFonts w:ascii="Arial" w:cs="Arial" w:eastAsia="Arial" w:hAnsi="Arial"/>
          <w:sz w:val="18"/>
          <w:szCs w:val="18"/>
          <w:color w:val="auto"/>
        </w:rPr>
        <w:t>”) Analysis and (ii) Comparable Company Analysis. While the precedent transaction methodology is sometimes used, it was believed that this methodology has less relevance when assessing the Enterprise Value of Reorganized Weatherford due to the lack of recent comparable transactions, among other factors.</w:t>
      </w:r>
    </w:p>
    <w:p>
      <w:pPr>
        <w:spacing w:after="0" w:line="190" w:lineRule="exact"/>
        <w:rPr>
          <w:sz w:val="20"/>
          <w:szCs w:val="20"/>
          <w:color w:val="auto"/>
        </w:rPr>
      </w:pPr>
    </w:p>
    <w:p>
      <w:pPr>
        <w:ind w:left="1000" w:hanging="668"/>
        <w:spacing w:after="0"/>
        <w:tabs>
          <w:tab w:leader="none" w:pos="100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Discounted Cash Flow Analysis:</w:t>
      </w:r>
    </w:p>
    <w:p>
      <w:pPr>
        <w:spacing w:after="0" w:line="225" w:lineRule="exact"/>
        <w:rPr>
          <w:sz w:val="20"/>
          <w:szCs w:val="20"/>
          <w:color w:val="auto"/>
        </w:rPr>
      </w:pPr>
    </w:p>
    <w:p>
      <w:pPr>
        <w:ind w:left="980" w:firstLine="486"/>
        <w:spacing w:after="0" w:line="270" w:lineRule="auto"/>
        <w:rPr>
          <w:sz w:val="20"/>
          <w:szCs w:val="20"/>
          <w:color w:val="auto"/>
        </w:rPr>
      </w:pPr>
      <w:r>
        <w:rPr>
          <w:rFonts w:ascii="Arial" w:cs="Arial" w:eastAsia="Arial" w:hAnsi="Arial"/>
          <w:sz w:val="17"/>
          <w:szCs w:val="17"/>
          <w:color w:val="auto"/>
        </w:rPr>
        <w:t>DCF analysis is a forward-looking enterprise valuation methodology that estimates the value of an asset or business by calculating the present value of expected future cash flows to be generated by that asset or business. Under this methodology, projected future cash flows are discounted by the business’ weighted average cost of capital (the “</w:t>
      </w:r>
      <w:r>
        <w:rPr>
          <w:rFonts w:ascii="Arial" w:cs="Arial" w:eastAsia="Arial" w:hAnsi="Arial"/>
          <w:sz w:val="17"/>
          <w:szCs w:val="17"/>
          <w:b w:val="1"/>
          <w:bCs w:val="1"/>
          <w:u w:val="single" w:color="auto"/>
          <w:color w:val="auto"/>
        </w:rPr>
        <w:t>Discount Rate</w:t>
      </w:r>
      <w:r>
        <w:rPr>
          <w:rFonts w:ascii="Arial" w:cs="Arial" w:eastAsia="Arial" w:hAnsi="Arial"/>
          <w:sz w:val="17"/>
          <w:szCs w:val="17"/>
          <w:color w:val="auto"/>
        </w:rPr>
        <w:t>”). The Discount Rate reflects the estimated rate of return that would be required by debt and equity investors to invest in the business based on its capital structure. The Enterprise Value of the firm is determined by calculating the present value of the unlevered after-tax free cash flows based on the Projections provided by management plus an estimate for the value of the firm beyond the Projection Period, known as the terminal value. The range of potential terminal values was calculated by applying a multiple to earnings before interest, taxes, depreciation and amortization (“</w:t>
      </w:r>
      <w:r>
        <w:rPr>
          <w:rFonts w:ascii="Arial" w:cs="Arial" w:eastAsia="Arial" w:hAnsi="Arial"/>
          <w:sz w:val="17"/>
          <w:szCs w:val="17"/>
          <w:b w:val="1"/>
          <w:bCs w:val="1"/>
          <w:u w:val="single" w:color="auto"/>
          <w:color w:val="auto"/>
        </w:rPr>
        <w:t>EBITDA</w:t>
      </w:r>
      <w:r>
        <w:rPr>
          <w:rFonts w:ascii="Arial" w:cs="Arial" w:eastAsia="Arial" w:hAnsi="Arial"/>
          <w:sz w:val="17"/>
          <w:szCs w:val="17"/>
          <w:color w:val="auto"/>
        </w:rPr>
        <w:t>”) and by deriving a value using an assumed perpetuity growth rate applied to the unlevered after-tax free cash flow in the final year of the Projection Period. The terminal value was then discounted back to the assumed Effective Date.</w:t>
      </w:r>
    </w:p>
    <w:p>
      <w:pPr>
        <w:spacing w:after="0" w:line="182" w:lineRule="exact"/>
        <w:rPr>
          <w:sz w:val="20"/>
          <w:szCs w:val="20"/>
          <w:color w:val="auto"/>
        </w:rPr>
      </w:pPr>
    </w:p>
    <w:p>
      <w:pPr>
        <w:ind w:left="1020" w:hanging="688"/>
        <w:spacing w:after="0"/>
        <w:tabs>
          <w:tab w:leader="none" w:pos="1020" w:val="left"/>
        </w:tabs>
        <w:numPr>
          <w:ilvl w:val="0"/>
          <w:numId w:val="433"/>
        </w:numPr>
        <w:rPr>
          <w:rFonts w:ascii="Arial" w:cs="Arial" w:eastAsia="Arial" w:hAnsi="Arial"/>
          <w:sz w:val="18"/>
          <w:szCs w:val="18"/>
          <w:color w:val="auto"/>
        </w:rPr>
      </w:pPr>
      <w:r>
        <w:rPr>
          <w:rFonts w:ascii="Arial" w:cs="Arial" w:eastAsia="Arial" w:hAnsi="Arial"/>
          <w:sz w:val="18"/>
          <w:szCs w:val="18"/>
          <w:u w:val="single" w:color="auto"/>
          <w:color w:val="auto"/>
        </w:rPr>
        <w:t>Comparable Public Company Analysis:</w:t>
      </w:r>
    </w:p>
    <w:p>
      <w:pPr>
        <w:spacing w:after="0" w:line="225" w:lineRule="exact"/>
        <w:rPr>
          <w:sz w:val="20"/>
          <w:szCs w:val="20"/>
          <w:color w:val="auto"/>
        </w:rPr>
      </w:pPr>
    </w:p>
    <w:p>
      <w:pPr>
        <w:ind w:left="980" w:right="100" w:firstLine="486"/>
        <w:spacing w:after="0" w:line="297" w:lineRule="auto"/>
        <w:rPr>
          <w:sz w:val="20"/>
          <w:szCs w:val="20"/>
          <w:color w:val="auto"/>
        </w:rPr>
      </w:pPr>
      <w:r>
        <w:rPr>
          <w:rFonts w:ascii="Arial" w:cs="Arial" w:eastAsia="Arial" w:hAnsi="Arial"/>
          <w:sz w:val="16"/>
          <w:szCs w:val="16"/>
          <w:color w:val="auto"/>
        </w:rPr>
        <w:t>Comparable Public Company Analysis estimates the value of a company relative to other publicly traded companies with similar operating and financial characteristics. A set of publicly traded companies was selected based on similar business and financial characteristics to Reorganized Weatherford. Criteria for the selected reference group included, among other relevant characteristics, similarity in business, business risks, growth prospects, product mix, customer base, margins, market presence, size and scale of operations. The selected reference group may not be comparable to Reorganized Weatherford in all aspects, and may differ materially in others.</w:t>
      </w:r>
    </w:p>
    <w:p>
      <w:pPr>
        <w:spacing w:after="0" w:line="158" w:lineRule="exact"/>
        <w:rPr>
          <w:sz w:val="20"/>
          <w:szCs w:val="20"/>
          <w:color w:val="auto"/>
        </w:rPr>
      </w:pPr>
    </w:p>
    <w:p>
      <w:pPr>
        <w:ind w:left="980" w:right="100" w:firstLine="486"/>
        <w:spacing w:after="0" w:line="312" w:lineRule="auto"/>
        <w:rPr>
          <w:sz w:val="20"/>
          <w:szCs w:val="20"/>
          <w:color w:val="auto"/>
        </w:rPr>
      </w:pPr>
      <w:r>
        <w:rPr>
          <w:rFonts w:ascii="Arial" w:cs="Arial" w:eastAsia="Arial" w:hAnsi="Arial"/>
          <w:sz w:val="16"/>
          <w:szCs w:val="16"/>
          <w:color w:val="auto"/>
        </w:rPr>
        <w:t>In deriving Enterprise Value ranges under the Comparable Public Company Analysis methodology, EBITDA multiples were the primary valuation metric. Based on 2016, 2017 and 2018 historical multiples of this reference group, 2019, 2020 and 2021 projected multiples of this reference group and certain qualitative judgments based on differences between the characteristics of Reorganized Weatherford and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2" w:name="page313"/>
    <w:bookmarkEnd w:id="312"/>
    <w:p>
      <w:pPr>
        <w:ind w:left="980"/>
        <w:spacing w:after="0"/>
        <w:rPr>
          <w:sz w:val="20"/>
          <w:szCs w:val="20"/>
          <w:color w:val="auto"/>
        </w:rPr>
      </w:pPr>
      <w:r>
        <w:rPr>
          <w:rFonts w:ascii="Arial" w:cs="Arial" w:eastAsia="Arial" w:hAnsi="Arial"/>
          <w:sz w:val="17"/>
          <w:szCs w:val="17"/>
          <w:color w:val="auto"/>
        </w:rPr>
        <w:t>selected reference group, a range of multiples was then applied to Reorganized Weatherford’s implied 2019, 2020 and 2021 EBITDA.</w:t>
      </w:r>
    </w:p>
    <w:p>
      <w:pPr>
        <w:spacing w:after="0" w:line="237"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VALUATION ANALYSIS REFLECTS WORK PERFORMED BY LAZARD ON THE BASIS OF INFORMATION IN RESPECT OF THE BUSINESSES AND ASSETS OF THE DEBTORS AVAILABLE TO LAZARD AS OF JUNE 13, 2019. IT SHOULD BE UNDERSTOOD THAT, ALTHOUGH SUBSEQUENT DEVELOPMENTS MAY AFFECT LAZARD’S CONCLUSIONS, LAZARD DOES NOT HAVE ANY OBLIGATION TO UPDATE, REVISE, OR REAFFIRM ITS VALUATION ANALYSIS AND DOES NOT INTEND TO DO SO.</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LAZARD DID NOT INDEPENDENTLY VERIFY THE PROJECTIONS OR OTHER INFORMATION THAT LAZARD USED IN THE VALUATION ANALYSIS, AND NO INDEPENDENT VALUATIONS OR APPRAISALS OF THE DEBTORS WERE SOUGHT OR OBTAINED IN CONNECTION THEREWITH. THE VALUATION ANALYSIS WAS DEVELOPED SOLELY FOR PURPOSES OF THE PLAN AND THE ANALYSIS OF POTENTIAL RELATIVE RECOVERIES TO CREDITORS THEREUNDER. THE VALUATION ANALYSIS REFLECTS THE APPLICATION OF VARIOUS VALUATION TECHNIQUES, DOES NOT PURPORT TO BE AN OPINION AND DOES NOT PURPORT TO REFLECT OR CONSTITUTE AN APPRAISAL, LIQUIDATION VALUE, OR ESTIMATE OF THE ACTUAL MARKET VALUE THAT MAY BE REALIZED THROUGH THE SALE OF ANY SECURITIES TO BE ISSUED OR ASSETS TO BE SOLD PURSUANT TO THE PLAN, WHICH MAY BE SIGNIFICANTLY DIFFERENT THAN THE AMOUNTS SET FORTH IN THE VALUATION ANALYSIS.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VALUE OF AN OPERATING BUSINESS IS SUBJECT TO NUMEROUS UNCERTAINTIES AND CONTINGENCIES THAT ARE DIFFICULT TO PREDICT AND WILL FLUCTUATE WITH CHANGES IN FACTORS AFFECTING THE FINANCIAL CONDITION AND PROSPECTS OF SUCH A BUSINESS. AS A RESULT, THE VALUATION ANALYSIS IS NOT NECESSARILY INDICATIVE OF ACTUAL OUTCOMES, WHICH MAY BE SIGNIFICANTLY MORE OR LESS FAVORABLE THAN THOSE SET FORTH HEREIN. BECAUSE SUCH ESTIMATES ARE INHERENTLY SUBJECT TO UNCERTAINTIES, NEITHER THE DEBTORS, LAZARD, NOR ANY OTHER PERSON ASSUMES RESPONSIBILITY FOR THEIR ACCURACY. IN ADDITION, THE POTENTIAL VALUATION OF NEWLY ISSUED SECURITIES IS SUBJECT TO ADDITIONAL UNCERTAINTIES AND CONTINGENCIES, ALL OF WHICH ARE DIFFICULT TO PREDICT. ACTUAL MARKET PRICES OF SUCH SECURITIES AT ISSUANCE WILL DEPEND UPON, AMONG OTHER THINGS, PREVAILING INTEREST RATES, CONDITIONS IN THE FINANCIAL AND COMMODITY MARKETS, THE ANTICIPATED INITIAL SECURITIES HOLDINGS OF PREPETITION CREDITORS, SOME OF WHICH MAY PREFER TO LIQUIDATE THEIR INVESTMENT RATHER THAN HOLD IT ON A LONG-TERM BASIS, THE POTENTIALLY DILUTIVE IMPACT OF CERTAIN EVENTS, INCLUDING THE ISSUANCE OF EQUITY SECURITIES PURSUANT TO ANY MANAGEMENT INCENTIVE COMPENSATION PLAN, AND OTHER FACTORS THAT GENERALLY INFLUENCE THE PRICES OF SECURITIES.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3" w:name="page314"/>
    <w:bookmarkEnd w:id="313"/>
    <w:p>
      <w:pPr>
        <w:ind w:right="20" w:firstLine="662"/>
        <w:spacing w:after="0" w:line="257" w:lineRule="auto"/>
        <w:rPr>
          <w:sz w:val="20"/>
          <w:szCs w:val="20"/>
          <w:color w:val="auto"/>
        </w:rPr>
      </w:pPr>
      <w:r>
        <w:rPr>
          <w:rFonts w:ascii="Arial" w:cs="Arial" w:eastAsia="Arial" w:hAnsi="Arial"/>
          <w:sz w:val="18"/>
          <w:szCs w:val="18"/>
          <w:color w:val="auto"/>
        </w:rPr>
        <w:t>Lazard assumed that the Projections were reasonably prepared in good faith and on a basis reflecting the Debtors’ best estimates and judgments as to the future operating and financial performance of Reorganized Weatherford. The Valuation Analysis assumes that the actual performance of Reorganized Weatherford will correspond to the Projections in all material respects. If the business performs at levels below or above those set forth in the Projections, such performance may have a materially negative or positive impact, respectively, on the Valuation Analysis and estimated potential ranges of Enterprise Value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preparing the Valuation Analysis, Lazard: (a) reviewed certain historical financial information of the Debtors for recent years and interim periods;</w:t>
      </w:r>
    </w:p>
    <w:p>
      <w:pPr>
        <w:spacing w:after="0" w:line="46" w:lineRule="exact"/>
        <w:rPr>
          <w:sz w:val="20"/>
          <w:szCs w:val="20"/>
          <w:color w:val="auto"/>
        </w:rPr>
      </w:pPr>
    </w:p>
    <w:p>
      <w:pPr>
        <w:ind w:right="60" w:firstLine="8"/>
        <w:spacing w:after="0" w:line="270" w:lineRule="auto"/>
        <w:tabs>
          <w:tab w:leader="none" w:pos="25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reviewed certain financial and operating data of the Debtors, including the Projections; (c) discussed the Debtors’ operations and future prospects with the Debtors’ senior management team and third-party advisors; (d) reviewed certain publicly available financial data for, and considered the market value of, public companies that Lazard deemed generally relevant in analyzing the value of Reorganized Weatherford; (e) considered certain economic and industry information that Lazard deemed generally relevant to Reorganized Weatherford; and (f) conducted such other studies, analyses, inquiries, and investigations as deemed appropriate. Lazard assumed and relied on the accuracy and completeness of all financial and other information furnished to it by the Debtors’ management and other parties as well as publicly available information.</w:t>
      </w:r>
    </w:p>
    <w:p>
      <w:pPr>
        <w:spacing w:after="0" w:line="179"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The Valuation Analysis does not constitute a recommendation to any holder of Allowed Claims or any other person as to how such person should vote or otherwise act with respect to the Plan. Lazard has not been requested to, and does not express any view as to, the potential value of Reorganized Weatherford’s securities on issuance or at any other time.</w:t>
      </w:r>
    </w:p>
    <w:p>
      <w:pPr>
        <w:spacing w:after="0" w:line="181"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Lazard did not estimate the value of any tax attributes nor did it estimate the impact of any cancellation of indebtedness income on the Reorganized Debtors’ Projections. Such matters are subject to many uncertainties and contingencies that are difficult to predict. Any changes to the assumptions on the availability of tax attributes or the impact of cancellation of indebtedness income on the Reorganized Debtor’s Projections could materially impact Lazard’s valuation analysis.</w:t>
      </w:r>
    </w:p>
    <w:p>
      <w:pPr>
        <w:spacing w:after="0" w:line="187"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THE SUMMARY SET FORTH ABOVE DOES NOT PURPORT TO BE A COMPLETE DESCRIPTION OF THE VALUATION ANALYSIS PERFORMED BY LAZARD. THE PREPARATION OF A VALUATION ANALYSIS INVOLVES VARIOUS DETERMINATIONS AS TO THE MOST APPROPRIATE AND RELEVANT METHODS OF FINANCIAL ANALYSIS AND THE APPLICATION OF THESE METHODS IN THE PARTICULAR CIRCUMSTANCES AND, THEREFORE, SUCH AN ANALYSIS IS NOT READILY SUITABLE TO SUMMARY DESCRIPTION. THE VALUATION ANALYSIS PERFORMED BY LAZARD IS NOT NECESSARILY INDICATIVE OF ACTUAL VALUES OR FUTURE RESULTS, WHICH MAY BE SIGNIFICANTLY MORE OR LESS FAVORABLE THAN THOSE DESCRIBED HEREIN.</w:t>
      </w:r>
    </w:p>
    <w:p>
      <w:pPr>
        <w:spacing w:after="0" w:line="193"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LAZARD IS ACTING AS INVESTMENT BANKER TO THE DEBTORS, AND HAS NOT BEEN, WILL NOT BE RESPONSIBLE FOR, AND WILL NOT PROVIDE ANY TAX, ACCOUNTING, ACTUARIAL, LEGAL, OR OTHER SPECIALIST ADVICE.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Prepetition Indebtedness Borrowers, Guarantors, and Obligors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5" w:name="page316"/>
    <w:bookmarkEnd w:id="315"/>
    <w:p>
      <w:pPr>
        <w:jc w:val="center"/>
        <w:ind w:right="40"/>
        <w:spacing w:after="0"/>
        <w:rPr>
          <w:sz w:val="20"/>
          <w:szCs w:val="20"/>
          <w:color w:val="auto"/>
        </w:rPr>
      </w:pPr>
      <w:r>
        <w:rPr>
          <w:rFonts w:ascii="Arial" w:cs="Arial" w:eastAsia="Arial" w:hAnsi="Arial"/>
          <w:sz w:val="18"/>
          <w:szCs w:val="18"/>
          <w:b w:val="1"/>
          <w:bCs w:val="1"/>
          <w:u w:val="single" w:color="auto"/>
          <w:color w:val="auto"/>
        </w:rPr>
        <w:t>Chapter 11 Filing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All Weatherford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Bermuda</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WOFS</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9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Assurance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Australia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Australia Pty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Key</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Sabre Drilling</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Pangaea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Bermuda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(Bermuda)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79"/>
              </w:rPr>
              <w:t>11.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British Virgin</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Colombia</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Drilling</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(BVI)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8"/>
              </w:rPr>
              <w:t>British Virgin</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Oil Tool</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Islands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Middle East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Canada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17.</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(Nova Scotia)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18.</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ULC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19.</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Ltd.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20.</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5"/>
              </w:rPr>
              <w:t>Canada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Energy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Colombia Ltd.</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21.</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England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Eurasia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79"/>
              </w:rPr>
              <w:t>22.</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England</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U.K. Limited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Ireland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European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 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Luxembourg</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(Luxembourg)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 S.à</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Netherlands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B.V.</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Netherlands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Holding B.V.]</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28.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4"/>
              </w:rPr>
              <w:t>Norway</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Norge AS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29.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3"/>
              </w:rPr>
              <w:t>Panama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S. de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R.L.</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Company</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Sàrl</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31.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Products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79"/>
              </w:rPr>
              <w:t>32.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2"/>
              </w:rPr>
              <w:t>Switzerland</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Switzerland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Trading and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GmbH</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2" w:lineRule="exact"/>
        <w:rPr>
          <w:sz w:val="20"/>
          <w:szCs w:val="20"/>
          <w:color w:val="auto"/>
        </w:rPr>
      </w:pPr>
    </w:p>
    <w:p>
      <w:pPr>
        <w:ind w:left="180" w:hanging="172"/>
        <w:spacing w:after="0"/>
        <w:tabs>
          <w:tab w:leader="none" w:pos="180" w:val="left"/>
        </w:tabs>
        <w:numPr>
          <w:ilvl w:val="0"/>
          <w:numId w:val="435"/>
        </w:numPr>
        <w:rPr>
          <w:rFonts w:ascii="Arial" w:cs="Arial" w:eastAsia="Arial" w:hAnsi="Arial"/>
          <w:sz w:val="18"/>
          <w:szCs w:val="18"/>
          <w:color w:val="auto"/>
          <w:vertAlign w:val="superscript"/>
        </w:rPr>
      </w:pPr>
      <w:r>
        <w:rPr>
          <w:rFonts w:ascii="Arial" w:cs="Arial" w:eastAsia="Arial" w:hAnsi="Arial"/>
          <w:sz w:val="14"/>
          <w:szCs w:val="14"/>
          <w:color w:val="auto"/>
        </w:rPr>
        <w:t>Paperwork seeking dissolution has been filed with the Dutch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Revolver</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Revolver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TL</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A&amp;R</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DIP</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Entity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Unsecured</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Unsecured</w:t>
            </w: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Secured</w:t>
            </w: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JurisdictionBorrower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33.</w:t>
            </w:r>
          </w:p>
        </w:tc>
        <w:tc>
          <w:tcPr>
            <w:tcW w:w="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Weatherford Worldwide</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Switzerland</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Holdings 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34.</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WOFS International</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Finance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35.</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WOFS Swiss Finance</w:t>
            </w:r>
          </w:p>
        </w:tc>
        <w:tc>
          <w:tcPr>
            <w:tcW w:w="2000" w:type="dxa"/>
            <w:vAlign w:val="bottom"/>
            <w:gridSpan w:val="4"/>
            <w:shd w:val="clear" w:color="auto" w:fill="CCEEFF"/>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GmbH</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36.</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2"/>
              </w:rPr>
              <w:t>Switzerland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(Switzerland) GmbH</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37.</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PD Holdings (USA),</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38.</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Precision Energy</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Services, 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39.</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 Artificial</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Lift Systems,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40.</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5"/>
              </w:rPr>
              <w:t>Weatherford Investment</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Inc.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41.</w:t>
            </w:r>
          </w:p>
        </w:tc>
        <w:tc>
          <w:tcPr>
            <w:tcW w:w="19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Weatherford</w:t>
            </w:r>
          </w:p>
        </w:tc>
        <w:tc>
          <w:tcPr>
            <w:tcW w:w="2000" w:type="dxa"/>
            <w:vAlign w:val="bottom"/>
            <w:gridSpan w:val="4"/>
            <w:shd w:val="clear" w:color="auto" w:fill="CCEEFF"/>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International, LLC</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jc w:val="right"/>
              <w:spacing w:after="0" w:line="201" w:lineRule="exact"/>
              <w:rPr>
                <w:sz w:val="20"/>
                <w:szCs w:val="20"/>
                <w:color w:val="auto"/>
              </w:rPr>
            </w:pPr>
            <w:r>
              <w:rPr>
                <w:rFonts w:ascii="Arial" w:cs="Arial" w:eastAsia="Arial" w:hAnsi="Arial"/>
                <w:sz w:val="18"/>
                <w:szCs w:val="18"/>
                <w:color w:val="auto"/>
                <w:w w:val="87"/>
              </w:rPr>
              <w:t>42.</w:t>
            </w:r>
          </w:p>
        </w:tc>
        <w:tc>
          <w:tcPr>
            <w:tcW w:w="194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Weatherford Holdings</w:t>
            </w:r>
          </w:p>
        </w:tc>
        <w:tc>
          <w:tcPr>
            <w:tcW w:w="2000" w:type="dxa"/>
            <w:vAlign w:val="bottom"/>
            <w:gridSpan w:val="4"/>
          </w:tcPr>
          <w:p>
            <w:pPr>
              <w:jc w:val="center"/>
              <w:ind w:right="1040"/>
              <w:spacing w:after="0" w:line="201" w:lineRule="exact"/>
              <w:rPr>
                <w:sz w:val="20"/>
                <w:szCs w:val="20"/>
                <w:color w:val="auto"/>
              </w:rPr>
            </w:pPr>
            <w:r>
              <w:rPr>
                <w:rFonts w:ascii="Arial" w:cs="Arial" w:eastAsia="Arial" w:hAnsi="Arial"/>
                <w:sz w:val="18"/>
                <w:szCs w:val="18"/>
                <w:color w:val="auto"/>
                <w:w w:val="95"/>
              </w:rPr>
              <w:t>DE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82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9"/>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X</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color w:val="auto"/>
              </w:rPr>
              <w:t>U.S. LLC</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w:t>
            </w:r>
          </w:p>
        </w:tc>
        <w:tc>
          <w:tcPr>
            <w:tcW w:w="19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Weatherford/Lamb, Inc.</w:t>
            </w:r>
          </w:p>
        </w:tc>
        <w:tc>
          <w:tcPr>
            <w:tcW w:w="200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5"/>
              </w:rPr>
              <w:t>DE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X</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44.</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Weatherford</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DE</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X</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U.S. Holdings,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U.S., 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WEUS</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8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48.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Visual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9"/>
              </w:rPr>
              <w:t>X</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8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X</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49.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Columbia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Oilfield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Supply,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eProduction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Solutions,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Advantage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R&amp;D,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Discovery</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Case</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Warrior Well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IL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Datalog</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Acquisition,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56.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Edinburgh</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Americas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Incorporated</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57.</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Global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36"/>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58.</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International</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NV</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S.A.,</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59.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In-Depth</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Systems,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Benmore In-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Depth Corp.</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61.</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62.</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Stealth Oil &amp;</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Gas,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63.</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64.</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(PTWI),</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65.</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Latin America</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66.</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Investment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Holding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67.</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WIHBV LLC</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68.</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WUS Holding,</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69.</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rPr>
              <w:t>NV</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DISC Inc.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70.</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High Pressure</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LA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Integrity,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Revolver</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Revolver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A&amp;R</w:t>
            </w: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DIP</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Entity</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Jurisdiction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Unsecured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Secured</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Unsecured</w:t>
            </w: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Borrower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Borrower</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Borrower</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Obligor</w:t>
            </w: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Borrower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87"/>
              </w:rPr>
              <w:t>71.</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Tooke</w:t>
            </w: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WY</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Rockies,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72.</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Colombia</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Petroleum</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Services Corp.</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73.</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International</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5"/>
              </w:rPr>
              <w:t>CA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Logging LLC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74.</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Precision</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Drilling GP,</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w w:val="87"/>
              </w:rPr>
              <w:t>75.</w:t>
            </w:r>
          </w:p>
        </w:tc>
        <w:tc>
          <w:tcPr>
            <w:tcW w:w="13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Visean</w:t>
            </w:r>
          </w:p>
        </w:tc>
        <w:tc>
          <w:tcPr>
            <w:tcW w:w="120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rPr>
              <w:t>TX</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 Inc.</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w w:val="87"/>
              </w:rPr>
              <w:t>76.</w:t>
            </w:r>
          </w:p>
        </w:tc>
        <w:tc>
          <w:tcPr>
            <w:tcW w:w="13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Weatherford</w:t>
            </w:r>
          </w:p>
        </w:tc>
        <w:tc>
          <w:tcPr>
            <w:tcW w:w="120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5"/>
              </w:rPr>
              <w:t>DE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URS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Holdings,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44"/>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T3E-2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UNITED STATES BANKRUPTCY COURT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SOUTHERN DISTRICT OF TEXAS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DIVISION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WEATHERFORD INTERNATIONAL PLC, </w:t>
      </w:r>
      <w:r>
        <w:rPr>
          <w:rFonts w:ascii="Arial" w:cs="Arial" w:eastAsia="Arial" w:hAnsi="Arial"/>
          <w:sz w:val="17"/>
          <w:szCs w:val="17"/>
          <w:i w:val="1"/>
          <w:iCs w:val="1"/>
          <w:color w:val="auto"/>
        </w:rPr>
        <w:t>et al.</w:t>
      </w:r>
      <w:r>
        <w:rPr>
          <w:rFonts w:ascii="Arial" w:cs="Arial" w:eastAsia="Arial" w:hAnsi="Arial"/>
          <w:sz w:val="17"/>
          <w:szCs w:val="17"/>
          <w:color w:val="auto"/>
        </w:rPr>
        <w:t>,</w:t>
      </w: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Debtors. </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Chapter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 w:leader="none" w:pos="1340" w:val="left"/>
        </w:tabs>
        <w:rPr>
          <w:sz w:val="20"/>
          <w:szCs w:val="20"/>
          <w:color w:val="auto"/>
        </w:rPr>
      </w:pPr>
      <w:r>
        <w:rPr>
          <w:rFonts w:ascii="Arial" w:cs="Arial" w:eastAsia="Arial" w:hAnsi="Arial"/>
          <w:sz w:val="18"/>
          <w:szCs w:val="18"/>
          <w:color w:val="auto"/>
        </w:rPr>
        <w:t>:</w:t>
        <w:tab/>
        <w:t>Case No. 19-[</w:t>
        <w:tab/>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(Joint Administration Requested)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ectPr>
          <w:pgSz w:w="11900" w:h="16838" w:orient="portrait"/>
          <w:cols w:equalWidth="0" w:num="2">
            <w:col w:w="5740" w:space="720"/>
            <w:col w:w="4960"/>
          </w:cols>
          <w:pgMar w:left="240" w:top="121"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PREPACKAGED PLAN OF REORGANIZATION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WEATHERFORD INTERNATIONAL PLC AND ITS AFFILIATE DEBTORS UNDER CHAPTER 11 OF THE BANKRUPTCY CODE</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780" w:type="dxa"/>
            <w:vAlign w:val="bottom"/>
          </w:tcPr>
          <w:p>
            <w:pPr>
              <w:jc w:val="center"/>
              <w:ind w:right="1070"/>
              <w:spacing w:after="0"/>
              <w:rPr>
                <w:sz w:val="20"/>
                <w:szCs w:val="20"/>
                <w:color w:val="auto"/>
              </w:rPr>
            </w:pPr>
            <w:r>
              <w:rPr>
                <w:rFonts w:ascii="Arial" w:cs="Arial" w:eastAsia="Arial" w:hAnsi="Arial"/>
                <w:sz w:val="18"/>
                <w:szCs w:val="18"/>
                <w:b w:val="1"/>
                <w:bCs w:val="1"/>
                <w:color w:val="auto"/>
              </w:rPr>
              <w:t>HUNTON ANDREWS KURTH LLP</w:t>
            </w:r>
          </w:p>
        </w:tc>
        <w:tc>
          <w:tcPr>
            <w:tcW w:w="4500" w:type="dxa"/>
            <w:vAlign w:val="bottom"/>
          </w:tcPr>
          <w:p>
            <w:pPr>
              <w:jc w:val="center"/>
              <w:ind w:left="11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4"/>
              </w:rPr>
              <w:t>Timothy A. (“Tad”) Davidson II (No. 240112503)</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George A. Davis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3"/>
              </w:rPr>
              <w:t>Ashley L. Harper (No. 24065272)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Keith A. Simon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600 Travis Street, Suite 4200</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David A. Hammerman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89"/>
              </w:rPr>
              <w:t>Houston, Texas 77002</w:t>
            </w: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2"/>
              </w:rPr>
              <w:t>Annemarie V. Reilly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70"/>
              <w:spacing w:after="0"/>
              <w:rPr>
                <w:sz w:val="20"/>
                <w:szCs w:val="20"/>
                <w:color w:val="auto"/>
              </w:rPr>
            </w:pPr>
            <w:r>
              <w:rPr>
                <w:rFonts w:ascii="Arial" w:cs="Arial" w:eastAsia="Arial" w:hAnsi="Arial"/>
                <w:sz w:val="18"/>
                <w:szCs w:val="18"/>
                <w:color w:val="auto"/>
                <w:w w:val="90"/>
              </w:rPr>
              <w:t>Telephone: (713) 220-4200</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2"/>
              </w:rPr>
              <w:t>Lisa K. Lansio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 xml:space="preserve"> pending)</w:t>
            </w:r>
          </w:p>
        </w:tc>
      </w:tr>
      <w:tr>
        <w:trPr>
          <w:trHeight w:val="216"/>
        </w:trPr>
        <w:tc>
          <w:tcPr>
            <w:tcW w:w="4780" w:type="dxa"/>
            <w:vAlign w:val="bottom"/>
          </w:tcPr>
          <w:p>
            <w:pPr>
              <w:jc w:val="center"/>
              <w:ind w:right="1050"/>
              <w:spacing w:after="0"/>
              <w:rPr>
                <w:sz w:val="20"/>
                <w:szCs w:val="20"/>
                <w:color w:val="auto"/>
              </w:rPr>
            </w:pPr>
            <w:r>
              <w:rPr>
                <w:rFonts w:ascii="Arial" w:cs="Arial" w:eastAsia="Arial" w:hAnsi="Arial"/>
                <w:sz w:val="18"/>
                <w:szCs w:val="18"/>
                <w:color w:val="auto"/>
                <w:w w:val="91"/>
              </w:rPr>
              <w:t>Facsimile: (713) 220-4285</w:t>
            </w: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1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4780" w:type="dxa"/>
            <w:vAlign w:val="bottom"/>
          </w:tcPr>
          <w:p>
            <w:pPr>
              <w:spacing w:after="0"/>
              <w:rPr>
                <w:sz w:val="18"/>
                <w:szCs w:val="18"/>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89"/>
              </w:rPr>
              <w:t>Telephone: (212) 906-1200</w:t>
            </w:r>
          </w:p>
        </w:tc>
      </w:tr>
      <w:tr>
        <w:trPr>
          <w:trHeight w:val="230"/>
        </w:trPr>
        <w:tc>
          <w:tcPr>
            <w:tcW w:w="4780" w:type="dxa"/>
            <w:vAlign w:val="bottom"/>
          </w:tcPr>
          <w:p>
            <w:pPr>
              <w:spacing w:after="0"/>
              <w:rPr>
                <w:sz w:val="20"/>
                <w:szCs w:val="20"/>
                <w:color w:val="auto"/>
              </w:rPr>
            </w:pPr>
          </w:p>
        </w:tc>
        <w:tc>
          <w:tcPr>
            <w:tcW w:w="4500" w:type="dxa"/>
            <w:vAlign w:val="bottom"/>
          </w:tcPr>
          <w:p>
            <w:pPr>
              <w:jc w:val="center"/>
              <w:ind w:left="1090"/>
              <w:spacing w:after="0"/>
              <w:rPr>
                <w:sz w:val="20"/>
                <w:szCs w:val="20"/>
                <w:color w:val="auto"/>
              </w:rPr>
            </w:pPr>
            <w:r>
              <w:rPr>
                <w:rFonts w:ascii="Arial" w:cs="Arial" w:eastAsia="Arial" w:hAnsi="Arial"/>
                <w:sz w:val="18"/>
                <w:szCs w:val="18"/>
                <w:color w:val="auto"/>
                <w:w w:val="91"/>
              </w:rPr>
              <w:t>Facsimile: (212) 751-4864</w:t>
            </w: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Proposed Counsel for the Debtors and Debtors-in-Possession</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June 28, 2019</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color w:val="auto"/>
        </w:rPr>
        <w:t>NO CHAPTER 11 CASES HAVE BEEN COMMENCED AT THIS TIME. THIS PREPACKAGED PLAN OF REORGANIZATION, AND THE SOLICITATION MATERIALS ACCOMPANYING THIS PLAN, HAVE NOT BEEN APPROVED BY THE BANKRUPTCY COURT AS CONTAINING “ADEQUATE INFORMATION” WITHIN THE MEANING OF SECTION 1125(a) OF THE BANKRUPTCY CODE. IN THE EVENT THE CHAPTER 11 CASES ARE COMMENCED, THE DEBTORS EXPECT TO PROMPTLY SEEK AN ORDER OF THE BANKRUPTCY COURT (1) APPROVING THE SOLICITATION OF VOTES AS HAVING BEEN IN COMPLIANCE WITH SECTIONS 1126(b) AND 1125(g) OF THE BANKRUPTCY CODE; (2) APPROVING THE ADEQUACY OF THE DISCLOSURE STATEMENT; AND</w:t>
      </w:r>
    </w:p>
    <w:p>
      <w:pPr>
        <w:ind w:right="120" w:firstLine="8"/>
        <w:spacing w:after="0" w:line="261" w:lineRule="auto"/>
        <w:tabs>
          <w:tab w:leader="none" w:pos="255"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THE PLAN PURSUANT TO SECTION 1129 OF THE BANKRUPTCY CODE. THE DEBTORS RESERVE THE RIGHT TO CONSUMMATE THE RESTRUCTURING TRANSACTIONS WITHOUT COMMENCING ANY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firstLine="8"/>
        <w:spacing w:after="0" w:line="238" w:lineRule="auto"/>
        <w:tabs>
          <w:tab w:leader="none" w:pos="177" w:val="left"/>
        </w:tabs>
        <w:numPr>
          <w:ilvl w:val="0"/>
          <w:numId w:val="437"/>
        </w:numPr>
        <w:rPr>
          <w:rFonts w:ascii="Arial" w:cs="Arial" w:eastAsia="Arial" w:hAnsi="Arial"/>
          <w:sz w:val="16"/>
          <w:szCs w:val="16"/>
          <w:color w:val="auto"/>
          <w:vertAlign w:val="superscript"/>
        </w:rPr>
      </w:pPr>
      <w:r>
        <w:rPr>
          <w:rFonts w:ascii="Arial" w:cs="Arial" w:eastAsia="Arial" w:hAnsi="Arial"/>
          <w:sz w:val="13"/>
          <w:szCs w:val="13"/>
          <w:color w:val="auto"/>
        </w:rPr>
        <w:t>The Debtors in these cases, along with the last four digits of each Debtor’s federal tax identification number, are: Weatherford International plc (6750); Weatherford International Ltd. (1344); and Weatherford International, LLC (5019). The location of the Debtors’ main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3" w:name="page324"/>
    <w:bookmarkEnd w:id="323"/>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40" w:type="dxa"/>
            <w:vAlign w:val="bottom"/>
          </w:tcPr>
          <w:p>
            <w:pPr>
              <w:ind w:left="3020"/>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Rules of Interpretation; Computation of Time</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Defined Terms</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Administrative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Professional Fee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DIP Facility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Priority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Summary</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Classification and Treatment of Claims and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1 - Other Priority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2 - Other 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3.</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3 - Secured Tax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4.</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4 — Prepetition Revolving Credit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5.</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5 — Prepetition Term Loan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6.</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6 — Prepetition A&amp;R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7.</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7 - Prepetition Notes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8.</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8 — General Unsecured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9.</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9 — Intercompany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10.</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10 — Existing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11.</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11 — Intercompany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rPr>
              <w:t>12.</w:t>
            </w:r>
          </w:p>
        </w:tc>
        <w:tc>
          <w:tcPr>
            <w:tcW w:w="8040" w:type="dxa"/>
            <w:vAlign w:val="bottom"/>
          </w:tcPr>
          <w:p>
            <w:pPr>
              <w:ind w:left="220"/>
              <w:spacing w:after="0"/>
              <w:rPr>
                <w:sz w:val="20"/>
                <w:szCs w:val="20"/>
                <w:color w:val="auto"/>
              </w:rPr>
            </w:pPr>
            <w:r>
              <w:rPr>
                <w:rFonts w:ascii="Arial" w:cs="Arial" w:eastAsia="Arial" w:hAnsi="Arial"/>
                <w:sz w:val="18"/>
                <w:szCs w:val="18"/>
                <w:color w:val="auto"/>
              </w:rPr>
              <w:t>Class 12 — Unexercised Equity Interests</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Special Provision Governing Unimpaired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Elimination of Vacant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Acceptance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Presumed Rejection of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Voting Classes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Acceptance by Impaired Class of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Confirmation Pursuant to Sections 1129(a)(10) and 1129(b) of the Bankruptcy Code; Cram Down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Votes Solicited in Good Faith</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82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Restructuring Transactions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Continued Corporate Existence</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Vesting of Assets in the Reorganized Debtors Free and Clear of Liens and Claims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Exit Facility Loan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Senior Unsecured Notes Indentures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Common Stock; Book Entry</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Listing of New Securities and Transfer Restrictions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Registration Rights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Management Incentive Plan</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New Warrants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K.</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Plan Securities and Related Documentation; Exemption from Securities Laws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L.</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Release of Liens and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M.</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Governance Documents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N.</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Directors and Officers of the Reorganized Debtors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O.</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Corporate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P.</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Cancellation of Notes, Certificates and Instruments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Q.</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Existing Equity Interests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R.</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Sources of Cash for Plan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S.</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Funding and Use of Professional Fee Claim Reserve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T.</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Certain Creditors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U.</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Payment of Fees and Expenses of the Prepetition Notes Indenture Trustee</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V.</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Tranche B Equity Conversion and Overallotment Rights</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W.</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Rights Offering</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Assumption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Cure of Defaults; Assignment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Rejection of Executory Contracts and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Claims on Account of the Rejection of Executory Contracts or Unexpired Leases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D&amp;O Liability Insurance Policies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Indemnification Provisions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Employment Plans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Insurance Contracts</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Extension of Time to Assume or Reject</w:t>
            </w:r>
          </w:p>
        </w:tc>
        <w:tc>
          <w:tcPr>
            <w:tcW w:w="2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Modifications, Amendments, Supplements, Restatements, or Other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for Claims Allowed as of the Effective Date</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No Postpetition Interest on Claims</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Distributions by the Reorganized Debtors or Other Applicable Distribution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Delivery and Distributions; Undeliverable or Unclaimed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1.</w:t>
            </w:r>
          </w:p>
        </w:tc>
        <w:tc>
          <w:tcPr>
            <w:tcW w:w="7300" w:type="dxa"/>
            <w:vAlign w:val="bottom"/>
          </w:tcPr>
          <w:p>
            <w:pPr>
              <w:ind w:left="80"/>
              <w:spacing w:after="0"/>
              <w:rPr>
                <w:sz w:val="20"/>
                <w:szCs w:val="20"/>
                <w:color w:val="auto"/>
              </w:rPr>
            </w:pPr>
            <w:r>
              <w:rPr>
                <w:rFonts w:ascii="Arial" w:cs="Arial" w:eastAsia="Arial" w:hAnsi="Arial"/>
                <w:sz w:val="18"/>
                <w:szCs w:val="18"/>
                <w:color w:val="auto"/>
              </w:rPr>
              <w:t>Record Date for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2.</w:t>
            </w:r>
          </w:p>
        </w:tc>
        <w:tc>
          <w:tcPr>
            <w:tcW w:w="7300" w:type="dxa"/>
            <w:vAlign w:val="bottom"/>
          </w:tcPr>
          <w:p>
            <w:pPr>
              <w:ind w:left="80"/>
              <w:spacing w:after="0"/>
              <w:rPr>
                <w:sz w:val="20"/>
                <w:szCs w:val="20"/>
                <w:color w:val="auto"/>
              </w:rPr>
            </w:pPr>
            <w:r>
              <w:rPr>
                <w:rFonts w:ascii="Arial" w:cs="Arial" w:eastAsia="Arial" w:hAnsi="Arial"/>
                <w:sz w:val="18"/>
                <w:szCs w:val="18"/>
                <w:color w:val="auto"/>
              </w:rPr>
              <w:t>Delivery of Distributions in General</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3.</w:t>
            </w:r>
          </w:p>
        </w:tc>
        <w:tc>
          <w:tcPr>
            <w:tcW w:w="7300" w:type="dxa"/>
            <w:vAlign w:val="bottom"/>
          </w:tcPr>
          <w:p>
            <w:pPr>
              <w:ind w:left="80"/>
              <w:spacing w:after="0"/>
              <w:rPr>
                <w:sz w:val="20"/>
                <w:szCs w:val="20"/>
                <w:color w:val="auto"/>
              </w:rPr>
            </w:pPr>
            <w:r>
              <w:rPr>
                <w:rFonts w:ascii="Arial" w:cs="Arial" w:eastAsia="Arial" w:hAnsi="Arial"/>
                <w:sz w:val="18"/>
                <w:szCs w:val="18"/>
                <w:color w:val="auto"/>
              </w:rPr>
              <w:t>Minimum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4.</w:t>
            </w:r>
          </w:p>
        </w:tc>
        <w:tc>
          <w:tcPr>
            <w:tcW w:w="7300" w:type="dxa"/>
            <w:vAlign w:val="bottom"/>
          </w:tcPr>
          <w:p>
            <w:pPr>
              <w:ind w:left="80"/>
              <w:spacing w:after="0"/>
              <w:rPr>
                <w:sz w:val="20"/>
                <w:szCs w:val="20"/>
                <w:color w:val="auto"/>
              </w:rPr>
            </w:pPr>
            <w:r>
              <w:rPr>
                <w:rFonts w:ascii="Arial" w:cs="Arial" w:eastAsia="Arial" w:hAnsi="Arial"/>
                <w:sz w:val="18"/>
                <w:szCs w:val="18"/>
                <w:color w:val="auto"/>
              </w:rPr>
              <w:t>Undeliverable Distributions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Compliance with Tax Requirements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Means of Cash Payment</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200" w:type="dxa"/>
            <w:vAlign w:val="bottom"/>
            <w:gridSpan w:val="2"/>
          </w:tcPr>
          <w:p>
            <w:pPr>
              <w:ind w:left="300"/>
              <w:spacing w:after="0"/>
              <w:rPr>
                <w:sz w:val="20"/>
                <w:szCs w:val="20"/>
                <w:color w:val="auto"/>
              </w:rPr>
            </w:pPr>
            <w:r>
              <w:rPr>
                <w:rFonts w:ascii="Arial" w:cs="Arial" w:eastAsia="Arial" w:hAnsi="Arial"/>
                <w:sz w:val="18"/>
                <w:szCs w:val="18"/>
                <w:color w:val="auto"/>
              </w:rPr>
              <w:t>Timing and Calculation of Amounts to Be Distributed</w:t>
            </w:r>
          </w:p>
        </w:tc>
        <w:tc>
          <w:tcPr>
            <w:tcW w:w="2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900" w:type="dxa"/>
            <w:vAlign w:val="bottom"/>
          </w:tcPr>
          <w:p>
            <w:pPr>
              <w:ind w:left="300"/>
              <w:spacing w:after="0"/>
              <w:rPr>
                <w:sz w:val="20"/>
                <w:szCs w:val="20"/>
                <w:color w:val="auto"/>
              </w:rPr>
            </w:pPr>
            <w:r>
              <w:rPr>
                <w:rFonts w:ascii="Arial" w:cs="Arial" w:eastAsia="Arial" w:hAnsi="Arial"/>
                <w:sz w:val="18"/>
                <w:szCs w:val="18"/>
                <w:color w:val="auto"/>
              </w:rPr>
              <w:t>Setoffs</w:t>
            </w:r>
          </w:p>
        </w:tc>
        <w:tc>
          <w:tcPr>
            <w:tcW w:w="73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1048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40" w:type="dxa"/>
            <w:vAlign w:val="bottom"/>
          </w:tcPr>
          <w:p>
            <w:pPr>
              <w:spacing w:after="0"/>
              <w:rPr>
                <w:sz w:val="18"/>
                <w:szCs w:val="18"/>
                <w:color w:val="auto"/>
              </w:rPr>
            </w:pPr>
          </w:p>
        </w:tc>
      </w:tr>
      <w:tr>
        <w:trPr>
          <w:trHeight w:val="230"/>
        </w:trPr>
        <w:tc>
          <w:tcPr>
            <w:tcW w:w="1740" w:type="dxa"/>
            <w:vAlign w:val="bottom"/>
            <w:gridSpan w:val="2"/>
          </w:tcPr>
          <w:p>
            <w:pPr>
              <w:ind w:left="520"/>
              <w:spacing w:after="0"/>
              <w:rPr>
                <w:sz w:val="20"/>
                <w:szCs w:val="20"/>
                <w:color w:val="auto"/>
              </w:rPr>
            </w:pPr>
            <w:r>
              <w:rPr>
                <w:rFonts w:ascii="Arial" w:cs="Arial" w:eastAsia="Arial" w:hAnsi="Arial"/>
                <w:sz w:val="18"/>
                <w:szCs w:val="18"/>
                <w:color w:val="auto"/>
              </w:rPr>
              <w:t>INTERESTS</w:t>
            </w:r>
          </w:p>
        </w:tc>
        <w:tc>
          <w:tcPr>
            <w:tcW w:w="8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Resolution of Disputed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1.</w:t>
            </w:r>
          </w:p>
        </w:tc>
        <w:tc>
          <w:tcPr>
            <w:tcW w:w="8740" w:type="dxa"/>
            <w:vAlign w:val="bottom"/>
          </w:tcPr>
          <w:p>
            <w:pPr>
              <w:ind w:left="260"/>
              <w:spacing w:after="0"/>
              <w:rPr>
                <w:sz w:val="20"/>
                <w:szCs w:val="20"/>
                <w:color w:val="auto"/>
              </w:rPr>
            </w:pPr>
            <w:r>
              <w:rPr>
                <w:rFonts w:ascii="Arial" w:cs="Arial" w:eastAsia="Arial" w:hAnsi="Arial"/>
                <w:sz w:val="18"/>
                <w:szCs w:val="18"/>
                <w:color w:val="auto"/>
              </w:rPr>
              <w:t>Allowance of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2.</w:t>
            </w:r>
          </w:p>
        </w:tc>
        <w:tc>
          <w:tcPr>
            <w:tcW w:w="8740" w:type="dxa"/>
            <w:vAlign w:val="bottom"/>
          </w:tcPr>
          <w:p>
            <w:pPr>
              <w:ind w:left="260"/>
              <w:spacing w:after="0"/>
              <w:rPr>
                <w:sz w:val="20"/>
                <w:szCs w:val="20"/>
                <w:color w:val="auto"/>
              </w:rPr>
            </w:pPr>
            <w:r>
              <w:rPr>
                <w:rFonts w:ascii="Arial" w:cs="Arial" w:eastAsia="Arial" w:hAnsi="Arial"/>
                <w:sz w:val="18"/>
                <w:szCs w:val="18"/>
                <w:color w:val="auto"/>
              </w:rPr>
              <w:t>Prosecution of Objections to Claims and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3.</w:t>
            </w:r>
          </w:p>
        </w:tc>
        <w:tc>
          <w:tcPr>
            <w:tcW w:w="8740" w:type="dxa"/>
            <w:vAlign w:val="bottom"/>
          </w:tcPr>
          <w:p>
            <w:pPr>
              <w:ind w:left="260"/>
              <w:spacing w:after="0"/>
              <w:rPr>
                <w:sz w:val="20"/>
                <w:szCs w:val="20"/>
                <w:color w:val="auto"/>
              </w:rPr>
            </w:pPr>
            <w:r>
              <w:rPr>
                <w:rFonts w:ascii="Arial" w:cs="Arial" w:eastAsia="Arial" w:hAnsi="Arial"/>
                <w:sz w:val="18"/>
                <w:szCs w:val="18"/>
                <w:color w:val="auto"/>
              </w:rPr>
              <w:t>Claims Estimation</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8"/>
                <w:szCs w:val="18"/>
                <w:color w:val="auto"/>
              </w:rPr>
              <w:t>4.</w:t>
            </w:r>
          </w:p>
        </w:tc>
        <w:tc>
          <w:tcPr>
            <w:tcW w:w="8740" w:type="dxa"/>
            <w:vAlign w:val="bottom"/>
          </w:tcPr>
          <w:p>
            <w:pPr>
              <w:ind w:left="260"/>
              <w:spacing w:after="0"/>
              <w:rPr>
                <w:sz w:val="20"/>
                <w:szCs w:val="20"/>
                <w:color w:val="auto"/>
              </w:rPr>
            </w:pPr>
            <w:r>
              <w:rPr>
                <w:rFonts w:ascii="Arial" w:cs="Arial" w:eastAsia="Arial" w:hAnsi="Arial"/>
                <w:sz w:val="18"/>
                <w:szCs w:val="18"/>
                <w:color w:val="auto"/>
              </w:rPr>
              <w:t>No Filings of Proofs of Claim or Equity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300"/>
              <w:spacing w:after="0"/>
              <w:rPr>
                <w:sz w:val="20"/>
                <w:szCs w:val="20"/>
                <w:color w:val="auto"/>
              </w:rPr>
            </w:pPr>
            <w:r>
              <w:rPr>
                <w:rFonts w:ascii="Arial" w:cs="Arial" w:eastAsia="Arial" w:hAnsi="Arial"/>
                <w:sz w:val="18"/>
                <w:szCs w:val="18"/>
                <w:color w:val="auto"/>
              </w:rPr>
              <w:t>No Distributions Pending Allowance</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ind w:left="1340" w:hanging="792"/>
        <w:spacing w:after="0"/>
        <w:tabs>
          <w:tab w:leader="none" w:pos="13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Distributions on Account of Disputed Claims and Disputed Equity Interests Once They Are Allowed and Additional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Distributions on Account of Previously Allowed Claims and Allowed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920" w:type="dxa"/>
            <w:vAlign w:val="bottom"/>
          </w:tcPr>
          <w:p>
            <w:pPr>
              <w:ind w:left="300"/>
              <w:spacing w:after="0"/>
              <w:rPr>
                <w:sz w:val="20"/>
                <w:szCs w:val="20"/>
                <w:color w:val="auto"/>
              </w:rPr>
            </w:pPr>
            <w:r>
              <w:rPr>
                <w:rFonts w:ascii="Arial" w:cs="Arial" w:eastAsia="Arial" w:hAnsi="Arial"/>
                <w:sz w:val="18"/>
                <w:szCs w:val="18"/>
                <w:color w:val="auto"/>
                <w:w w:val="93"/>
              </w:rPr>
              <w:t>General</w:t>
            </w:r>
          </w:p>
        </w:tc>
        <w:tc>
          <w:tcPr>
            <w:tcW w:w="77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w:t>
            </w:r>
          </w:p>
        </w:tc>
        <w:tc>
          <w:tcPr>
            <w:tcW w:w="7700" w:type="dxa"/>
            <w:vAlign w:val="bottom"/>
          </w:tcPr>
          <w:p>
            <w:pPr>
              <w:ind w:left="4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2.</w:t>
            </w:r>
          </w:p>
        </w:tc>
        <w:tc>
          <w:tcPr>
            <w:tcW w:w="7700" w:type="dxa"/>
            <w:vAlign w:val="bottom"/>
          </w:tcPr>
          <w:p>
            <w:pPr>
              <w:ind w:left="4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Injunction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040" w:type="dxa"/>
            <w:vAlign w:val="bottom"/>
          </w:tcPr>
          <w:p>
            <w:pPr>
              <w:ind w:left="540"/>
              <w:spacing w:after="0"/>
              <w:rPr>
                <w:sz w:val="20"/>
                <w:szCs w:val="20"/>
                <w:color w:val="auto"/>
              </w:rPr>
            </w:pPr>
            <w:r>
              <w:rPr>
                <w:rFonts w:ascii="Arial" w:cs="Arial" w:eastAsia="Arial" w:hAnsi="Arial"/>
                <w:sz w:val="18"/>
                <w:szCs w:val="18"/>
                <w:color w:val="auto"/>
              </w:rPr>
              <w:t>A.</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B.</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C.</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D.</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Conflicts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E.</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F.</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G.</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H.</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rPr>
              <w:t>I.</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40" w:type="dxa"/>
            <w:vAlign w:val="bottom"/>
          </w:tcPr>
          <w:p>
            <w:pPr>
              <w:ind w:left="540"/>
              <w:spacing w:after="0"/>
              <w:rPr>
                <w:sz w:val="20"/>
                <w:szCs w:val="20"/>
                <w:color w:val="auto"/>
              </w:rPr>
            </w:pPr>
            <w:r>
              <w:rPr>
                <w:rFonts w:ascii="Arial" w:cs="Arial" w:eastAsia="Arial" w:hAnsi="Arial"/>
                <w:sz w:val="18"/>
                <w:szCs w:val="18"/>
                <w:color w:val="auto"/>
              </w:rPr>
              <w:t>J.</w:t>
            </w:r>
          </w:p>
        </w:tc>
        <w:tc>
          <w:tcPr>
            <w:tcW w:w="8620" w:type="dxa"/>
            <w:vAlign w:val="bottom"/>
            <w:gridSpan w:val="2"/>
          </w:tcPr>
          <w:p>
            <w:pPr>
              <w:ind w:left="300"/>
              <w:spacing w:after="0"/>
              <w:rPr>
                <w:sz w:val="20"/>
                <w:szCs w:val="20"/>
                <w:color w:val="auto"/>
              </w:rPr>
            </w:pPr>
            <w:r>
              <w:rPr>
                <w:rFonts w:ascii="Arial" w:cs="Arial" w:eastAsia="Arial" w:hAnsi="Arial"/>
                <w:sz w:val="18"/>
                <w:szCs w:val="18"/>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8300" w:type="dxa"/>
            <w:vAlign w:val="bottom"/>
          </w:tcPr>
          <w:p>
            <w:pPr>
              <w:ind w:left="300"/>
              <w:spacing w:after="0"/>
              <w:rPr>
                <w:sz w:val="20"/>
                <w:szCs w:val="20"/>
                <w:color w:val="auto"/>
              </w:rPr>
            </w:pPr>
            <w:r>
              <w:rPr>
                <w:rFonts w:ascii="Arial" w:cs="Arial" w:eastAsia="Arial" w:hAnsi="Arial"/>
                <w:sz w:val="18"/>
                <w:szCs w:val="18"/>
                <w:color w:val="auto"/>
              </w:rPr>
              <w:t>Service of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w:t>
            </w:r>
          </w:p>
        </w:tc>
        <w:tc>
          <w:tcPr>
            <w:tcW w:w="8300" w:type="dxa"/>
            <w:vAlign w:val="bottom"/>
          </w:tcPr>
          <w:p>
            <w:pPr>
              <w:ind w:left="300"/>
              <w:spacing w:after="0"/>
              <w:rPr>
                <w:sz w:val="20"/>
                <w:szCs w:val="20"/>
                <w:color w:val="auto"/>
              </w:rPr>
            </w:pPr>
            <w:r>
              <w:rPr>
                <w:rFonts w:ascii="Arial" w:cs="Arial" w:eastAsia="Arial" w:hAnsi="Arial"/>
                <w:sz w:val="18"/>
                <w:szCs w:val="18"/>
                <w:color w:val="auto"/>
              </w:rPr>
              <w:t>Exemption from Transfer Taxes Pursuant to Section 1146(a) of the Bankruptcy Code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M.</w:t>
            </w:r>
          </w:p>
        </w:tc>
        <w:tc>
          <w:tcPr>
            <w:tcW w:w="830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N.</w:t>
            </w:r>
          </w:p>
        </w:tc>
        <w:tc>
          <w:tcPr>
            <w:tcW w:w="8300" w:type="dxa"/>
            <w:vAlign w:val="bottom"/>
          </w:tcPr>
          <w:p>
            <w:pPr>
              <w:ind w:left="300"/>
              <w:spacing w:after="0"/>
              <w:rPr>
                <w:sz w:val="20"/>
                <w:szCs w:val="20"/>
                <w:color w:val="auto"/>
              </w:rPr>
            </w:pPr>
            <w:r>
              <w:rPr>
                <w:rFonts w:ascii="Arial" w:cs="Arial" w:eastAsia="Arial" w:hAnsi="Arial"/>
                <w:sz w:val="18"/>
                <w:szCs w:val="18"/>
                <w:color w:val="auto"/>
              </w:rPr>
              <w:t>Tax Reporting and Compliance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O.</w:t>
            </w:r>
          </w:p>
        </w:tc>
        <w:tc>
          <w:tcPr>
            <w:tcW w:w="8300" w:type="dxa"/>
            <w:vAlign w:val="bottom"/>
          </w:tcPr>
          <w:p>
            <w:pPr>
              <w:ind w:left="300"/>
              <w:spacing w:after="0"/>
              <w:rPr>
                <w:sz w:val="20"/>
                <w:szCs w:val="20"/>
                <w:color w:val="auto"/>
              </w:rPr>
            </w:pPr>
            <w:r>
              <w:rPr>
                <w:rFonts w:ascii="Arial" w:cs="Arial" w:eastAsia="Arial" w:hAnsi="Arial"/>
                <w:sz w:val="18"/>
                <w:szCs w:val="18"/>
                <w:color w:val="auto"/>
              </w:rPr>
              <w:t>Schedules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P.</w:t>
            </w:r>
          </w:p>
        </w:tc>
        <w:tc>
          <w:tcPr>
            <w:tcW w:w="8300" w:type="dxa"/>
            <w:vAlign w:val="bottom"/>
          </w:tcPr>
          <w:p>
            <w:pPr>
              <w:ind w:left="300"/>
              <w:spacing w:after="0"/>
              <w:rPr>
                <w:sz w:val="20"/>
                <w:szCs w:val="20"/>
                <w:color w:val="auto"/>
              </w:rPr>
            </w:pPr>
            <w:r>
              <w:rPr>
                <w:rFonts w:ascii="Arial" w:cs="Arial" w:eastAsia="Arial" w:hAnsi="Arial"/>
                <w:sz w:val="18"/>
                <w:szCs w:val="18"/>
                <w:color w:val="auto"/>
              </w:rPr>
              <w:t>No Strict Construction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Q.</w:t>
            </w:r>
          </w:p>
        </w:tc>
        <w:tc>
          <w:tcPr>
            <w:tcW w:w="830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R.</w:t>
            </w:r>
          </w:p>
        </w:tc>
        <w:tc>
          <w:tcPr>
            <w:tcW w:w="8300" w:type="dxa"/>
            <w:vAlign w:val="bottom"/>
          </w:tcPr>
          <w:p>
            <w:pPr>
              <w:ind w:left="300"/>
              <w:spacing w:after="0"/>
              <w:rPr>
                <w:sz w:val="20"/>
                <w:szCs w:val="20"/>
                <w:color w:val="auto"/>
              </w:rPr>
            </w:pPr>
            <w:r>
              <w:rPr>
                <w:rFonts w:ascii="Arial" w:cs="Arial" w:eastAsia="Arial" w:hAnsi="Arial"/>
                <w:sz w:val="18"/>
                <w:szCs w:val="18"/>
                <w:color w:val="auto"/>
              </w:rPr>
              <w:t>Closing of Chapter 11 Cases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S.</w:t>
            </w:r>
          </w:p>
        </w:tc>
        <w:tc>
          <w:tcPr>
            <w:tcW w:w="8300" w:type="dxa"/>
            <w:vAlign w:val="bottom"/>
          </w:tcPr>
          <w:p>
            <w:pPr>
              <w:ind w:left="300"/>
              <w:spacing w:after="0"/>
              <w:rPr>
                <w:sz w:val="20"/>
                <w:szCs w:val="20"/>
                <w:color w:val="auto"/>
              </w:rPr>
            </w:pPr>
            <w:r>
              <w:rPr>
                <w:rFonts w:ascii="Arial" w:cs="Arial" w:eastAsia="Arial" w:hAnsi="Arial"/>
                <w:sz w:val="18"/>
                <w:szCs w:val="18"/>
                <w:color w:val="auto"/>
              </w:rPr>
              <w:t>2002 Notice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80" w:top="341" w:right="239" w:bottom="1440" w:gutter="0" w:footer="0" w:header="0"/>
        </w:sectPr>
      </w:pPr>
    </w:p>
    <w:bookmarkStart w:id="327" w:name="page328"/>
    <w:bookmarkEnd w:id="327"/>
    <w:p>
      <w:pPr>
        <w:jc w:val="center"/>
        <w:ind w:left="260" w:right="2640"/>
        <w:spacing w:after="0" w:line="266" w:lineRule="auto"/>
        <w:rPr>
          <w:sz w:val="20"/>
          <w:szCs w:val="20"/>
          <w:color w:val="auto"/>
        </w:rPr>
      </w:pPr>
      <w:r>
        <w:rPr>
          <w:rFonts w:ascii="Arial" w:cs="Arial" w:eastAsia="Arial" w:hAnsi="Arial"/>
          <w:sz w:val="18"/>
          <w:szCs w:val="18"/>
          <w:b w:val="1"/>
          <w:bCs w:val="1"/>
          <w:color w:val="auto"/>
        </w:rPr>
        <w:t>JOINT PREPACKAGED PLAN OF REORGANIZATION FOR WEATHERFORD INTERNATIONAL PLC AND ITS AFFILIATE DEBTORS UNDER CHAPTER 11 OF THE BANKRUPTCY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Weatherford International plc; Weatherford International Ltd.; and Weatherford International, LLC (each a “</w:t>
      </w:r>
      <w:r>
        <w:rPr>
          <w:rFonts w:ascii="Arial" w:cs="Arial" w:eastAsia="Arial" w:hAnsi="Arial"/>
          <w:sz w:val="17"/>
          <w:szCs w:val="17"/>
          <w:b w:val="1"/>
          <w:bCs w:val="1"/>
          <w:u w:val="single" w:color="auto"/>
          <w:color w:val="auto"/>
        </w:rPr>
        <w:t>Debtor</w:t>
      </w:r>
      <w:r>
        <w:rPr>
          <w:rFonts w:ascii="Arial" w:cs="Arial" w:eastAsia="Arial" w:hAnsi="Arial"/>
          <w:sz w:val="17"/>
          <w:szCs w:val="17"/>
          <w:color w:val="auto"/>
        </w:rPr>
        <w:t>” and, collectively,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against, and Equity Interests (as defined below) in, each of the Debtors. Although proposed jointly for administrative purposes, this Plan constitutes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separate Plan for each Debtor for the resolution of outstanding Claims against and Equity Interests in each Debtor pursuant to the Bankruptcy Code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defined below). The Debtors are the proponents of this Plan within the meaning of section 1129 of the Bankruptcy Code. Reference is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Statement (as such term is defined herein and distributed contemporaneously herewith) for a discussion of the Debtors’ history,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historical financial information, and projections, and for a summary and analysis of this Plan, the treatment provided for herein and certain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matters. There also are other agreements and documents, which will be filed with the Bankruptcy Court (as defined below), that are referenced in this Plan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Statement as Exhibits and Plan Schedules. All such Exhibits and Plan Schedules are incorporated into and are a part of this Plan as if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full herein. Subject to certain restrictions and requirements set forth in 11 U.S.C. § 1127, Fed. R. Bankr. P. 3019 and the terms and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Plan, the Debtors reserve the right to alter, amend, modify, revoke or withdraw this Plan prior to its substantial consummation.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Rules of Interpretation; Computation of Time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XII.C</w:t>
      </w:r>
      <w:r>
        <w:rPr>
          <w:rFonts w:ascii="Arial" w:cs="Arial" w:eastAsia="Arial" w:hAnsi="Arial"/>
          <w:sz w:val="16"/>
          <w:szCs w:val="16"/>
          <w:color w:val="auto"/>
        </w:rPr>
        <w:t xml:space="preserve"> of this Plan, the rights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8" w:name="page329"/>
    <w:bookmarkEnd w:id="328"/>
    <w:p>
      <w:pPr>
        <w:spacing w:after="0" w:line="286" w:lineRule="auto"/>
        <w:rPr>
          <w:sz w:val="20"/>
          <w:szCs w:val="20"/>
          <w:color w:val="auto"/>
        </w:rPr>
      </w:pPr>
      <w:r>
        <w:rPr>
          <w:rFonts w:ascii="Arial" w:cs="Arial" w:eastAsia="Arial" w:hAnsi="Arial"/>
          <w:sz w:val="16"/>
          <w:szCs w:val="16"/>
          <w:color w:val="auto"/>
        </w:rPr>
        <w:t>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the following terms will have the following meanings when used in capitalized form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9" w:name="page330"/>
    <w:bookmarkEnd w:id="329"/>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Claim</w:t>
      </w:r>
      <w:r>
        <w:rPr>
          <w:rFonts w:ascii="Arial" w:cs="Arial" w:eastAsia="Arial" w:hAnsi="Arial"/>
          <w:sz w:val="16"/>
          <w:szCs w:val="16"/>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w:t>
      </w:r>
    </w:p>
    <w:p>
      <w:pPr>
        <w:ind w:firstLine="8"/>
        <w:spacing w:after="0" w:line="253" w:lineRule="auto"/>
        <w:tabs>
          <w:tab w:leader="none" w:pos="25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(d) all requests for compensation or expense reimbursement for making a substantial contribution in the Chapter 11 Cases Allowed pursuant to sections 503(b)(3), (4) and (5) of the Bankruptcy Code; and (e) the Cure Claim Amounts.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ind w:right="160" w:firstLine="8"/>
        <w:spacing w:after="0" w:line="255"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0" w:name="page331"/>
    <w:bookmarkEnd w:id="330"/>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Commitment Agreement</w:t>
      </w:r>
      <w:r>
        <w:rPr>
          <w:rFonts w:ascii="Arial" w:cs="Arial" w:eastAsia="Arial" w:hAnsi="Arial"/>
          <w:sz w:val="18"/>
          <w:szCs w:val="18"/>
          <w:color w:val="auto"/>
        </w:rPr>
        <w:t>” means that certain Backstop Commitment Agreement entered into by Weatherford Parent and the Backstop Parties prior to the Petition Date in the form attached to this Plan or to the Disclosure Statement or Filed with the Plan Supplement and in form and substance acceptable to the Backstop Parties.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New Tranche A Senior Unsecured Notes pursuant to the Backstop Commitment Agreement, each in its respective capacity as such.</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1" w:name="page332"/>
    <w:bookmarkEnd w:id="3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xml:space="preserve">” means a category of Holders of Claims or Equity Interests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pursuant to section 1122(a) of the Bankruptcy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official committee of unsecured creditors appointed in the Chapter 11 Cases, if any.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Cure Claim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VI.B</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2" w:name="page333"/>
    <w:bookmarkEnd w:id="332"/>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689"/>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right="22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“DIP Facility” </w:t>
      </w:r>
      <w:r>
        <w:rPr>
          <w:rFonts w:ascii="Arial" w:cs="Arial" w:eastAsia="Arial" w:hAnsi="Arial"/>
          <w:sz w:val="17"/>
          <w:szCs w:val="17"/>
          <w:color w:val="auto"/>
        </w:rPr>
        <w:t>means the debtor-in-possession financing facility provided by the DIP Lenders consisting of a (i) up to $750,000,000 debtor-in-possession first lien revolving credit facility provided by certain lenders (the “</w:t>
      </w:r>
      <w:r>
        <w:rPr>
          <w:rFonts w:ascii="Arial" w:cs="Arial" w:eastAsia="Arial" w:hAnsi="Arial"/>
          <w:sz w:val="17"/>
          <w:szCs w:val="17"/>
          <w:i w:val="1"/>
          <w:iCs w:val="1"/>
          <w:color w:val="auto"/>
        </w:rPr>
        <w:t>DIP Revolver Loan</w:t>
      </w:r>
      <w:r>
        <w:rPr>
          <w:rFonts w:ascii="Arial" w:cs="Arial" w:eastAsia="Arial" w:hAnsi="Arial"/>
          <w:sz w:val="17"/>
          <w:szCs w:val="17"/>
          <w:color w:val="auto"/>
        </w:rPr>
        <w:t>”) and (ii) a $1,000,000,000 debtor-in-possession term loan facility provided by certain of the Consenting Noteholders and fully backstopped by certain of the Consenting Noteholders (the “</w:t>
      </w:r>
      <w:r>
        <w:rPr>
          <w:rFonts w:ascii="Arial" w:cs="Arial" w:eastAsia="Arial" w:hAnsi="Arial"/>
          <w:sz w:val="17"/>
          <w:szCs w:val="17"/>
          <w:i w:val="1"/>
          <w:iCs w:val="1"/>
          <w:color w:val="auto"/>
        </w:rPr>
        <w:t>DIP Term Loan</w:t>
      </w:r>
      <w:r>
        <w:rPr>
          <w:rFonts w:ascii="Arial" w:cs="Arial" w:eastAsia="Arial" w:hAnsi="Arial"/>
          <w:sz w:val="17"/>
          <w:szCs w:val="17"/>
          <w:color w:val="auto"/>
        </w:rPr>
        <w:t>”).</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Lenders</w:t>
      </w:r>
      <w:r>
        <w:rPr>
          <w:rFonts w:ascii="Arial" w:cs="Arial" w:eastAsia="Arial" w:hAnsi="Arial"/>
          <w:sz w:val="17"/>
          <w:szCs w:val="17"/>
          <w:color w:val="auto"/>
        </w:rPr>
        <w:t>” means the banks, financial, institutions, and other lenders party to the DIP Facilities from time to time, and each arranger, bookrunner, syndication agent, manager, and documentation agent party to the DIP Credit Agreement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Revolver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3" w:name="page334"/>
    <w:bookmarkEnd w:id="3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Term Loan</w:t>
      </w:r>
      <w:r>
        <w:rPr>
          <w:rFonts w:ascii="Arial" w:cs="Arial" w:eastAsia="Arial" w:hAnsi="Arial"/>
          <w:sz w:val="18"/>
          <w:szCs w:val="18"/>
          <w:color w:val="auto"/>
        </w:rPr>
        <w:t>” has the meaning set forth in the definition of “</w:t>
      </w:r>
      <w:r>
        <w:rPr>
          <w:rFonts w:ascii="Arial" w:cs="Arial" w:eastAsia="Arial" w:hAnsi="Arial"/>
          <w:sz w:val="18"/>
          <w:szCs w:val="18"/>
          <w:i w:val="1"/>
          <w:iCs w:val="1"/>
          <w:color w:val="auto"/>
        </w:rPr>
        <w:t>DIP Facility</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Statement</w:t>
      </w:r>
      <w:r>
        <w:rPr>
          <w:rFonts w:ascii="Arial" w:cs="Arial" w:eastAsia="Arial" w:hAnsi="Arial"/>
          <w:sz w:val="18"/>
          <w:szCs w:val="18"/>
          <w:color w:val="auto"/>
        </w:rPr>
        <w:t xml:space="preserve">” means that certain </w:t>
      </w:r>
      <w:r>
        <w:rPr>
          <w:rFonts w:ascii="Arial" w:cs="Arial" w:eastAsia="Arial" w:hAnsi="Arial"/>
          <w:sz w:val="18"/>
          <w:szCs w:val="18"/>
          <w:i w:val="1"/>
          <w:iCs w:val="1"/>
          <w:color w:val="auto"/>
        </w:rPr>
        <w:t>Disclosure Statement for the Joint Prepackaged Plan Of Reorganization For Weatherford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plc And Its Affiliate Debtors Under Chapter 11 Of The Bankruptcy Code</w:t>
      </w:r>
      <w:r>
        <w:rPr>
          <w:rFonts w:ascii="Arial" w:cs="Arial" w:eastAsia="Arial" w:hAnsi="Arial"/>
          <w:sz w:val="18"/>
          <w:szCs w:val="18"/>
          <w:color w:val="auto"/>
        </w:rPr>
        <w:t>, dated as of June 28, 2019 (as amended, supplemented, or modified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means the date for determining which Holders of Claims and Equity Interests are eligible to receive distributions under this Plan, which date will be the Effective Date, subject to Article VII.D of this Plan. The Distribution Record Date shall not apply to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V.W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w:t>
      </w:r>
      <w:r>
        <w:rPr>
          <w:rFonts w:ascii="Arial" w:cs="Arial" w:eastAsia="Arial" w:hAnsi="Arial"/>
          <w:sz w:val="16"/>
          <w:szCs w:val="16"/>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w:t>
      </w:r>
    </w:p>
    <w:p>
      <w:pPr>
        <w:spacing w:after="0" w:line="2" w:lineRule="exact"/>
        <w:rPr>
          <w:sz w:val="20"/>
          <w:szCs w:val="20"/>
          <w:color w:val="auto"/>
        </w:rPr>
      </w:pPr>
    </w:p>
    <w:p>
      <w:pPr>
        <w:ind w:right="180" w:firstLine="8"/>
        <w:spacing w:after="0" w:line="261" w:lineRule="auto"/>
        <w:tabs>
          <w:tab w:leader="none" w:pos="25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liquidation preferences; (3) options, warrants, and call and put rights; (4) share-appreciation rights; and (5) all Unexercised Equity Interests; and (b) any 510(b) Equity Claim, in each case, as in existence immediately prior to the Effective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4" w:name="page335"/>
    <w:bookmarkEnd w:id="33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Exculpated Parties</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20" w:firstLine="8"/>
        <w:spacing w:after="0" w:line="261" w:lineRule="auto"/>
        <w:tabs>
          <w:tab w:leader="none" w:pos="30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F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in the principal amount of up to $1,000,000,000,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Credit Agreement</w:t>
      </w:r>
      <w:r>
        <w:rPr>
          <w:rFonts w:ascii="Arial" w:cs="Arial" w:eastAsia="Arial" w:hAnsi="Arial"/>
          <w:sz w:val="17"/>
          <w:szCs w:val="17"/>
          <w:color w:val="auto"/>
        </w:rPr>
        <w:t>” means the credit agreement, in substantially the form as Filed with the Plan Supplement, the terms and conditions of which are acceptable to the Debtors and the Consenting Noteholders in the manner set forth in the Restructuring Support Agreement.</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Lenders</w:t>
      </w:r>
      <w:r>
        <w:rPr>
          <w:rFonts w:ascii="Arial" w:cs="Arial" w:eastAsia="Arial" w:hAnsi="Arial"/>
          <w:sz w:val="17"/>
          <w:szCs w:val="17"/>
          <w:color w:val="auto"/>
        </w:rPr>
        <w:t>” means each of the lenders under the Exit Facility Credit Agreement, solely in their respective capacities as such.</w:t>
      </w:r>
    </w:p>
    <w:p>
      <w:pPr>
        <w:spacing w:after="0" w:line="23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w:t>
      </w:r>
      <w:r>
        <w:rPr>
          <w:rFonts w:ascii="Arial" w:cs="Arial" w:eastAsia="Arial" w:hAnsi="Arial"/>
          <w:sz w:val="18"/>
          <w:szCs w:val="18"/>
          <w:i w:val="1"/>
          <w:iCs w:val="1"/>
          <w:color w:val="auto"/>
        </w:rPr>
        <w:t>Filing</w:t>
      </w:r>
      <w:r>
        <w:rPr>
          <w:rFonts w:ascii="Arial" w:cs="Arial" w:eastAsia="Arial" w:hAnsi="Arial"/>
          <w:sz w:val="18"/>
          <w:szCs w:val="18"/>
          <w:color w:val="auto"/>
        </w:rPr>
        <w:t>” means file, filed or filing with the Bankruptcy Court or its authorized designee in the Chapter 11 Cases.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35" w:name="page336"/>
    <w:bookmarkEnd w:id="335"/>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as of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Distribution Date</w:t>
      </w:r>
      <w:r>
        <w:rPr>
          <w:rFonts w:ascii="Arial" w:cs="Arial" w:eastAsia="Arial" w:hAnsi="Arial"/>
          <w:sz w:val="18"/>
          <w:szCs w:val="18"/>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distributions under this Plan will be made to Holders of Allowed Claims and Allowed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applicable distributions under this Plan on account of the DIP Facility Claims and the Prepetition Debt Claims will be made to the applicable Distribution Agent on the Effective Date, and each such Distribution Agent will make its respective distributions as soon as practicable thereafter.</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6" w:name="page337"/>
    <w:bookmarkEnd w:id="336"/>
    <w:p>
      <w:pPr>
        <w:ind w:right="540"/>
        <w:spacing w:after="0" w:line="277" w:lineRule="auto"/>
        <w:rPr>
          <w:sz w:val="20"/>
          <w:szCs w:val="20"/>
          <w:color w:val="auto"/>
        </w:rPr>
      </w:pPr>
      <w:r>
        <w:rPr>
          <w:rFonts w:ascii="Arial" w:cs="Arial" w:eastAsia="Arial" w:hAnsi="Arial"/>
          <w:sz w:val="18"/>
          <w:szCs w:val="18"/>
          <w:color w:val="auto"/>
        </w:rPr>
        <w:t>Debtors and all agreements, documents, or instruments relating thereto. For the avoidance of doubt, each of the D&amp;O Liability Insurance Policies will constitute an 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ind w:right="140" w:firstLine="68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Local Rules</w:t>
      </w:r>
      <w:r>
        <w:rPr>
          <w:rFonts w:ascii="Arial" w:cs="Arial" w:eastAsia="Arial" w:hAnsi="Arial"/>
          <w:sz w:val="17"/>
          <w:szCs w:val="17"/>
          <w:color w:val="auto"/>
        </w:rPr>
        <w:t>” means the Local Rules of Bankruptcy Practice and Procedure of the United States Bankruptcy Court for the Southern District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t>agreement will contain terms and conditions as are acceptable to the Required Consenting Noteholders in their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Senior Unsecured Notes</w:t>
      </w:r>
      <w:r>
        <w:rPr>
          <w:rFonts w:ascii="Arial" w:cs="Arial" w:eastAsia="Arial" w:hAnsi="Arial"/>
          <w:sz w:val="16"/>
          <w:szCs w:val="16"/>
          <w:color w:val="auto"/>
        </w:rPr>
        <w:t>” means, collectively, the New Tranche A Senior Unsecured Notes and the New Tranche B Senior Unsecured Notes.</w:t>
      </w:r>
    </w:p>
    <w:p>
      <w:pPr>
        <w:spacing w:after="0" w:line="24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Documents</w:t>
      </w:r>
      <w:r>
        <w:rPr>
          <w:rFonts w:ascii="Arial" w:cs="Arial" w:eastAsia="Arial" w:hAnsi="Arial"/>
          <w:sz w:val="17"/>
          <w:szCs w:val="17"/>
          <w:color w:val="auto"/>
        </w:rPr>
        <w:t>” means the New Senior Unsecured Notes, the New Senior Unsecured Notes Indentures, and other documents, contracts, and agreements entered into with respect, or in connection with, the New Senior Unsecured Notes Indentures.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Senior Unsecured Notes Indentures</w:t>
      </w:r>
      <w:r>
        <w:rPr>
          <w:rFonts w:ascii="Arial" w:cs="Arial" w:eastAsia="Arial" w:hAnsi="Arial"/>
          <w:sz w:val="18"/>
          <w:szCs w:val="18"/>
          <w:color w:val="auto"/>
        </w:rPr>
        <w:t>” means, collectively, the New Tranche A Senior Unsecured Notes Indentures and New Tranche B Senior Unsecured Notes Indentures.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Senior Unsecured Notes Indenture Trustee</w:t>
      </w:r>
      <w:r>
        <w:rPr>
          <w:rFonts w:ascii="Arial" w:cs="Arial" w:eastAsia="Arial" w:hAnsi="Arial"/>
          <w:sz w:val="17"/>
          <w:szCs w:val="17"/>
          <w:color w:val="auto"/>
        </w:rPr>
        <w:t>” means the indenture trustee under each of the New Senior Unsecured Notes Indentures.</w:t>
      </w:r>
    </w:p>
    <w:p>
      <w:pPr>
        <w:spacing w:after="0" w:line="23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Tranche A Senior Unsecured Notes</w:t>
      </w:r>
      <w:r>
        <w:rPr>
          <w:rFonts w:ascii="Arial" w:cs="Arial" w:eastAsia="Arial" w:hAnsi="Arial"/>
          <w:sz w:val="17"/>
          <w:szCs w:val="17"/>
          <w:color w:val="auto"/>
        </w:rPr>
        <w:t>” means the new senior unsecured notes to be issued by Reorganized Weatherford Delaware and Reorganized Weatherford Bermuda on the Effective Date pursuant to the Rights Offering in an aggregate principal amount of $1,250,000,000 which will have a five year maturity, the subscription for which in the Rights Offering, pursuant to the Backstop Commitment Agreement, will be fully backstopped by the Backstop Parties, and will have the terms set forth in the New Tranche A Senior Unsecured Notes Indentures.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A Senior Unsecured Notes Indentures</w:t>
      </w:r>
      <w:r>
        <w:rPr>
          <w:rFonts w:ascii="Arial" w:cs="Arial" w:eastAsia="Arial" w:hAnsi="Arial"/>
          <w:sz w:val="18"/>
          <w:szCs w:val="18"/>
          <w:color w:val="auto"/>
        </w:rPr>
        <w:t>” means the indenture or indentures governing the New Tranche A Senior Unsecured Notes, in substantially the form Filed with the Plan Supplement, which indenture or indentures will contain terms and conditions consistent with the Restructuring Support Agreement and otherwise acceptable to the initial holders of the New Tranche A Senior Unsecured Notes and the Debtors, and otherwise reasonably acceptable to the Required Consenting Noteholders.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w:t>
      </w:r>
      <w:r>
        <w:rPr>
          <w:rFonts w:ascii="Arial" w:cs="Arial" w:eastAsia="Arial" w:hAnsi="Arial"/>
          <w:sz w:val="18"/>
          <w:szCs w:val="18"/>
          <w:color w:val="auto"/>
        </w:rPr>
        <w:t>” means the new senior unsecured notes to be issued by Reorganized Weatherford Delaware and Reorganized Weatherford Bermuda on the Effective Date in an aggregate principal amount of $1,250,000,000, which will have a seven year maturity and will have the terms set forth in the New Tranche B Senior Unsecured Notes Indentures.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Tranche B Senior Unsecured Notes Indentures</w:t>
      </w:r>
      <w:r>
        <w:rPr>
          <w:rFonts w:ascii="Arial" w:cs="Arial" w:eastAsia="Arial" w:hAnsi="Arial"/>
          <w:sz w:val="18"/>
          <w:szCs w:val="18"/>
          <w:color w:val="auto"/>
        </w:rPr>
        <w:t>” means the indentures governing the New Tranche B Senior Unsecured Notes, in substantially the form Filed with the Plan Supplement, which indentures will contain terms and conditions as are consistent with the Restructuring Support Agreement and otherwise acceptable to the Debtors and the Required Consenting Noteholders.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New Warrant Agreement</w:t>
      </w:r>
      <w:r>
        <w:rPr>
          <w:rFonts w:ascii="Arial" w:cs="Arial" w:eastAsia="Arial" w:hAnsi="Arial"/>
          <w:sz w:val="17"/>
          <w:szCs w:val="17"/>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8" w:name="page339"/>
    <w:bookmarkEnd w:id="33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attached to the Disclosure Statement.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Non-Debtor Releasing Parties</w:t>
      </w:r>
      <w:r>
        <w:rPr>
          <w:rFonts w:ascii="Arial" w:cs="Arial" w:eastAsia="Arial" w:hAnsi="Arial"/>
          <w:sz w:val="17"/>
          <w:szCs w:val="17"/>
          <w:color w:val="auto"/>
        </w:rPr>
        <w:t>” means, collectively: (a) the Prepetition Agents; (b) the New Senior Unsecured Notes Indenture Trustee; (c) the DIP Agent; (d) the DIP Lenders; (e) the Prepetition Notes Indenture Trustee; (f) the Ad Hoc Noteholder Committee and the members thereof in their capacities as such; (g) the Consenting Noteholders; (h) the Backstop Parties; (i) the Distribution Agents; (j) the Exit Facility Lenders; (k) the Exit Facility Agent; (l) the Holders of Existing Common Stock and Unexercised Equity Interests that do not affirmatively opt out of the Release; and (m) the Prepetition Noteholders that are not party to the Restructuring Support Agreement and do not affirmatively opt out of the Release.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XII.J</w:t>
      </w:r>
      <w:r>
        <w:rPr>
          <w:rFonts w:ascii="Arial" w:cs="Arial" w:eastAsia="Arial" w:hAnsi="Arial"/>
          <w:sz w:val="18"/>
          <w:szCs w:val="18"/>
          <w:color w:val="auto"/>
        </w:rPr>
        <w:t xml:space="preserve"> of this Plan.</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Credit Agreement Claim.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ind w:right="28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Required DIP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9" w:name="page340"/>
    <w:bookmarkEnd w:id="339"/>
    <w:p>
      <w:pPr>
        <w:spacing w:after="0" w:line="293" w:lineRule="auto"/>
        <w:rPr>
          <w:sz w:val="20"/>
          <w:szCs w:val="20"/>
          <w:color w:val="auto"/>
        </w:rPr>
      </w:pPr>
      <w:r>
        <w:rPr>
          <w:rFonts w:ascii="Arial" w:cs="Arial" w:eastAsia="Arial" w:hAnsi="Arial"/>
          <w:sz w:val="16"/>
          <w:szCs w:val="16"/>
          <w:color w:val="auto"/>
        </w:rPr>
        <w:t>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Required DIP Lenders. The Exhibits and Plan Schedules (or substantially final forms thereof) will be Filed with the Bankruptcy Court at least seven (7) days prior to the Confirmation Hearing.</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and the Prepetition Term Loan Agreement Agent.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and the Prepetition A&amp;R Credit Agreement Lenders, as amended, supplemented, or modified from time to time prior to the Petition Date.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party to the Prepetition A&amp;R Credit Agreement from time to time.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Credit Agreement Claims, the Prepetition Revolving Credit Agreement Claims, the Prepetition Term Loan Agreement Claims, and the Prepetition Notes Claims.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Debt Documents</w:t>
      </w:r>
      <w:r>
        <w:rPr>
          <w:rFonts w:ascii="Arial" w:cs="Arial" w:eastAsia="Arial" w:hAnsi="Arial"/>
          <w:sz w:val="17"/>
          <w:szCs w:val="17"/>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340" w:name="page341"/>
    <w:bookmarkEnd w:id="34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2021,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Ltd. pursuant to the applicable Prepetition Notes Indenture, in an aggregate principal amount outstanding of $1,265,000,000 (the “</w:t>
      </w:r>
      <w:r>
        <w:rPr>
          <w:rFonts w:ascii="Arial" w:cs="Arial" w:eastAsia="Arial" w:hAnsi="Arial"/>
          <w:sz w:val="17"/>
          <w:szCs w:val="17"/>
          <w:i w:val="1"/>
          <w:iCs w:val="1"/>
          <w:u w:val="single" w:color="auto"/>
          <w:color w:val="auto"/>
        </w:rPr>
        <w:t>5.875%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by Weatherford International Ltd.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unsecured notes due 2036, issued by Weatherford International Ltd. pursuant to the applicable Prepetition Notes Indenture, in an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9.875% senior unsecured notes due 2039, issued by Weatherford International Ltd. pursuant to the applicable Prepetition Notes Indenture, in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 pursuant to the applicable Prepetition Notes Indenture, in an aggregate principal amount outstanding of $462,601,000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2025, issued by Weatherford International LLC pursuant to the applicable Prepetition Notes Indenture, in an aggregate principal amount outstanding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(the “</w:t>
      </w:r>
      <w:r>
        <w:rPr>
          <w:rFonts w:ascii="Arial" w:cs="Arial" w:eastAsia="Arial" w:hAnsi="Arial"/>
          <w:sz w:val="17"/>
          <w:szCs w:val="17"/>
          <w:i w:val="1"/>
          <w:iCs w:val="1"/>
          <w:u w:val="single" w:color="auto"/>
          <w:color w:val="auto"/>
        </w:rPr>
        <w:t>9.875% 2025 Notes</w:t>
      </w:r>
      <w:r>
        <w:rPr>
          <w:rFonts w:ascii="Arial" w:cs="Arial" w:eastAsia="Arial" w:hAnsi="Arial"/>
          <w:sz w:val="17"/>
          <w:szCs w:val="17"/>
          <w:color w:val="auto"/>
        </w:rPr>
        <w:t>”); and (xiii) those certain 6.800% senior unsecured notes due 2037, issued by Weatherford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applicable Prepetition Notes Indenture, in an aggregate principal amount outstanding of $258,767,000 (the “</w:t>
      </w:r>
      <w:r>
        <w:rPr>
          <w:rFonts w:ascii="Arial" w:cs="Arial" w:eastAsia="Arial" w:hAnsi="Arial"/>
          <w:sz w:val="18"/>
          <w:szCs w:val="18"/>
          <w:i w:val="1"/>
          <w:iCs w:val="1"/>
          <w:u w:val="single" w:color="auto"/>
          <w:color w:val="auto"/>
        </w:rPr>
        <w:t>6.800% Notes</w:t>
      </w:r>
      <w:r>
        <w:rPr>
          <w:rFonts w:ascii="Arial" w:cs="Arial" w:eastAsia="Arial" w:hAnsi="Arial"/>
          <w:sz w:val="18"/>
          <w:szCs w:val="18"/>
          <w:color w:val="auto"/>
        </w:rPr>
        <w:t>”).</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w:t>
      </w:r>
    </w:p>
    <w:p>
      <w:pPr>
        <w:jc w:val="both"/>
        <w:spacing w:after="0" w:line="302" w:lineRule="auto"/>
        <w:rPr>
          <w:sz w:val="20"/>
          <w:szCs w:val="20"/>
          <w:color w:val="auto"/>
        </w:rPr>
      </w:pPr>
      <w:r>
        <w:rPr>
          <w:rFonts w:ascii="Arial" w:cs="Arial" w:eastAsia="Arial" w:hAnsi="Arial"/>
          <w:sz w:val="16"/>
          <w:szCs w:val="16"/>
          <w:color w:val="auto"/>
        </w:rPr>
        <w:t>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1" w:name="page342"/>
    <w:bookmarkEnd w:id="341"/>
    <w:p>
      <w:pPr>
        <w:ind w:right="100"/>
        <w:spacing w:after="0" w:line="277" w:lineRule="auto"/>
        <w:rPr>
          <w:sz w:val="20"/>
          <w:szCs w:val="20"/>
          <w:color w:val="auto"/>
        </w:rPr>
      </w:pPr>
      <w:r>
        <w:rPr>
          <w:rFonts w:ascii="Arial" w:cs="Arial" w:eastAsia="Arial" w:hAnsi="Arial"/>
          <w:sz w:val="18"/>
          <w:szCs w:val="18"/>
          <w:color w:val="auto"/>
        </w:rPr>
        <w:t>the 6.800% Notes, and with respect to each such Indenture, as amended, restated, modified, supplemented, or replaced from time to time prior to the Petition Date.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the Irish Examinership Proceedings.</w:t>
      </w:r>
    </w:p>
    <w:p>
      <w:pPr>
        <w:spacing w:after="0" w:line="15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the Prepetition Revolving Credit Agreement Agent, and the Prepetition Revolving Credit Agreement Lenders, as amended, supplemented, or modified from time to time prior to the Petition Date.</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ind w:right="18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party to the Prepetition Credit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Revolving Credit Agreement Liens</w:t>
      </w:r>
      <w:r>
        <w:rPr>
          <w:rFonts w:ascii="Arial" w:cs="Arial" w:eastAsia="Arial" w:hAnsi="Arial"/>
          <w:sz w:val="17"/>
          <w:szCs w:val="17"/>
          <w:color w:val="auto"/>
        </w:rPr>
        <w:t>” means the Liens securing the payment of the Prepetition Revolving Credit Agreement Claims.</w:t>
      </w:r>
    </w:p>
    <w:p>
      <w:pPr>
        <w:spacing w:after="0" w:line="237" w:lineRule="exact"/>
        <w:rPr>
          <w:sz w:val="20"/>
          <w:szCs w:val="20"/>
          <w:color w:val="auto"/>
        </w:rPr>
      </w:pPr>
    </w:p>
    <w:p>
      <w:pPr>
        <w:ind w:right="40" w:firstLine="68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the Prepetition Term Loan Agent and the Prepetition Term Loan Lenders, as amended, supplemented, or modified from time to time prior to the Petition 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2" w:name="page343"/>
    <w:bookmarkEnd w:id="342"/>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Agreement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in the Chapter 11 Cases pursuant to section 327, 328, or 363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328, 330, 331, or 503 of the Bankruptcy Code.</w:t>
      </w:r>
    </w:p>
    <w:p>
      <w:pPr>
        <w:spacing w:after="0" w:line="2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3" w:name="page344"/>
    <w:bookmarkEnd w:id="343"/>
    <w:p>
      <w:pPr>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Party</w:t>
      </w:r>
      <w:r>
        <w:rPr>
          <w:rFonts w:ascii="Arial" w:cs="Arial" w:eastAsia="Arial" w:hAnsi="Arial"/>
          <w:sz w:val="16"/>
          <w:szCs w:val="16"/>
          <w:color w:val="auto"/>
        </w:rPr>
        <w:t>” means, collectively: (a) the Debtors; (b) the Reorganized Debtors; (c) the Prepetition Agents; (d) the New Senior Unsecured Notes Indenture Trustee; (e) the DIP Agent; (f) the DIP Lenders; (g) the Prepetition Notes Indenture Trustee; (h) the Ad Hoc Noteholder Committee and the members thereof in their capacities as such; (i) the Consenting Noteholders; (j) the Backstop Parties; (k) the Distribution Agents; (l) the Exit Facility Lenders;</w:t>
      </w:r>
    </w:p>
    <w:p>
      <w:pPr>
        <w:ind w:right="100" w:firstLine="8"/>
        <w:spacing w:after="0" w:line="261" w:lineRule="auto"/>
        <w:tabs>
          <w:tab w:leader="none" w:pos="30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Exit Facility Agent, and (n) with respect to each of the foregoing Entities in clauses (a) through (m), each such Entity’s Related Persons, in each case solely in their capacity as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Required DIP Lenders.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Reorganized Parent</w:t>
      </w:r>
      <w:r>
        <w:rPr>
          <w:rFonts w:ascii="Arial" w:cs="Arial" w:eastAsia="Arial" w:hAnsi="Arial"/>
          <w:sz w:val="16"/>
          <w:szCs w:val="16"/>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New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Required DIP Lenders.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4" w:name="page345"/>
    <w:bookmarkEnd w:id="344"/>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New Tranche A Senior Unsecured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 Procedures</w:t>
      </w:r>
      <w:r>
        <w:rPr>
          <w:rFonts w:ascii="Arial" w:cs="Arial" w:eastAsia="Arial" w:hAnsi="Arial"/>
          <w:sz w:val="18"/>
          <w:szCs w:val="18"/>
          <w:color w:val="auto"/>
        </w:rPr>
        <w:t>” means the procedures for the implementation of the Rights Offering as described in the Disclosure Statement, in form and substance acceptable to the Required Consenting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w:t>
      </w:r>
      <w:r>
        <w:rPr>
          <w:rFonts w:ascii="Arial" w:cs="Arial" w:eastAsia="Arial" w:hAnsi="Arial"/>
          <w:sz w:val="18"/>
          <w:szCs w:val="18"/>
          <w:color w:val="auto"/>
        </w:rPr>
        <w:t>” means with respect to any Claim, the status and amount, if any, of such Claim as set forth in the Schedules.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Rights</w:t>
      </w:r>
      <w:r>
        <w:rPr>
          <w:rFonts w:ascii="Arial" w:cs="Arial" w:eastAsia="Arial" w:hAnsi="Arial"/>
          <w:sz w:val="18"/>
          <w:szCs w:val="18"/>
          <w:color w:val="auto"/>
        </w:rPr>
        <w:t>” means the subscription rights to acquire New Tranche A Senior Unsecured Notes in accordance with the Rights Offering Procedures.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45" w:name="page346"/>
    <w:bookmarkEnd w:id="345"/>
    <w:p>
      <w:pPr>
        <w:ind w:right="100" w:firstLine="68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ind w:right="8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2"/>
          <w:szCs w:val="22"/>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Conversion Notes</w:t>
      </w:r>
      <w:r>
        <w:rPr>
          <w:rFonts w:ascii="Arial" w:cs="Arial" w:eastAsia="Arial" w:hAnsi="Arial"/>
          <w:sz w:val="18"/>
          <w:szCs w:val="18"/>
          <w:color w:val="auto"/>
        </w:rPr>
        <w:t>” has the meaning set forth in Article V.U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Equity Conversion</w:t>
      </w:r>
      <w:r>
        <w:rPr>
          <w:rFonts w:ascii="Arial" w:cs="Arial" w:eastAsia="Arial" w:hAnsi="Arial"/>
          <w:sz w:val="18"/>
          <w:szCs w:val="18"/>
          <w:color w:val="auto"/>
        </w:rPr>
        <w:t>” has the meaning set forth in Article III.B.7(c)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Unexercised Equity Interests</w:t>
      </w:r>
      <w:r>
        <w:rPr>
          <w:rFonts w:ascii="Arial" w:cs="Arial" w:eastAsia="Arial" w:hAnsi="Arial"/>
          <w:sz w:val="17"/>
          <w:szCs w:val="17"/>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Unused Cash Reserve Amount</w:t>
      </w:r>
      <w:r>
        <w:rPr>
          <w:rFonts w:ascii="Arial" w:cs="Arial" w:eastAsia="Arial" w:hAnsi="Arial"/>
          <w:sz w:val="16"/>
          <w:szCs w:val="16"/>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Bermuda</w:t>
      </w:r>
      <w:r>
        <w:rPr>
          <w:rFonts w:ascii="Arial" w:cs="Arial" w:eastAsia="Arial" w:hAnsi="Arial"/>
          <w:sz w:val="18"/>
          <w:szCs w:val="18"/>
          <w:color w:val="auto"/>
        </w:rPr>
        <w:t>” means Weatherford International Ltd, a Bermuda company, as debtor-in-possession in these Chapter 11 Cases.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6" w:name="page347"/>
    <w:bookmarkEnd w:id="34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Administrative Claims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sub-paragraph 1</w:t>
      </w:r>
      <w:r>
        <w:rPr>
          <w:rFonts w:ascii="Arial" w:cs="Arial" w:eastAsia="Arial" w:hAnsi="Arial"/>
          <w:sz w:val="17"/>
          <w:szCs w:val="17"/>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or Reorganized Debtors, as applicable, and the Holder of such Allowed Administrative Claim will have agreed upon in writing;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79" w:lineRule="exact"/>
        <w:rPr>
          <w:sz w:val="20"/>
          <w:szCs w:val="20"/>
          <w:color w:val="auto"/>
        </w:rPr>
      </w:pPr>
    </w:p>
    <w:p>
      <w:pPr>
        <w:ind w:left="980" w:hanging="324"/>
        <w:spacing w:after="0"/>
        <w:tabs>
          <w:tab w:leader="none" w:pos="980"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the Professional Fees Bar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Objections to any Professional Fee Claim must be Filed and served on the Reorganized Debtors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47" w:name="page348"/>
    <w:bookmarkEnd w:id="347"/>
    <w:p>
      <w:pPr>
        <w:spacing w:after="0" w:line="259" w:lineRule="auto"/>
        <w:rPr>
          <w:sz w:val="20"/>
          <w:szCs w:val="20"/>
          <w:color w:val="auto"/>
        </w:rPr>
      </w:pPr>
      <w:r>
        <w:rPr>
          <w:rFonts w:ascii="Arial" w:cs="Arial" w:eastAsia="Arial" w:hAnsi="Arial"/>
          <w:sz w:val="18"/>
          <w:szCs w:val="18"/>
          <w:color w:val="auto"/>
        </w:rPr>
        <w:t>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DIP Facility Claims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CIP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Priority Tax Claims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Date, and continuing on each Subsequent Distribution Date thereafter until payment in full of the applicable Allowed Priority Tax Claim.</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Summary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III.D</w:t>
      </w:r>
      <w:r>
        <w:rPr>
          <w:rFonts w:ascii="Arial" w:cs="Arial" w:eastAsia="Arial" w:hAnsi="Arial"/>
          <w:sz w:val="18"/>
          <w:szCs w:val="18"/>
          <w:color w:val="auto"/>
        </w:rPr>
        <w:t xml:space="preserve"> below.</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spacing w:after="0"/>
              <w:rPr>
                <w:sz w:val="14"/>
                <w:szCs w:val="14"/>
                <w:color w:val="auto"/>
              </w:rPr>
            </w:pPr>
          </w:p>
        </w:tc>
        <w:tc>
          <w:tcPr>
            <w:tcW w:w="3060" w:type="dxa"/>
            <w:vAlign w:val="bottom"/>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c>
          <w:tcPr>
            <w:tcW w:w="168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Priority Claims</w:t>
            </w: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Other 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Secured Tax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Revolving Credit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Term Loan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Prepetition A&amp;R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Prepetition Notes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3520" w:type="dxa"/>
            <w:vAlign w:val="bottom"/>
            <w:gridSpan w:val="2"/>
          </w:tcPr>
          <w:p>
            <w:pPr>
              <w:ind w:left="460"/>
              <w:spacing w:after="0"/>
              <w:rPr>
                <w:sz w:val="20"/>
                <w:szCs w:val="20"/>
                <w:color w:val="auto"/>
              </w:rPr>
            </w:pPr>
            <w:r>
              <w:rPr>
                <w:rFonts w:ascii="Arial" w:cs="Arial" w:eastAsia="Arial" w:hAnsi="Arial"/>
                <w:sz w:val="18"/>
                <w:szCs w:val="18"/>
                <w:color w:val="auto"/>
              </w:rPr>
              <w:t>General Unsecured Claims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3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Intercompany Claims</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Accept</w:t>
            </w:r>
          </w:p>
        </w:tc>
        <w:tc>
          <w:tcPr>
            <w:tcW w:w="16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49" w:name="page350"/>
    <w:bookmarkEnd w:id="349"/>
    <w:tbl>
      <w:tblPr>
        <w:tblLayout w:type="fixed"/>
        <w:tblInd w:w="660" w:type="dxa"/>
        <w:tblCellMar>
          <w:top w:w="0" w:type="dxa"/>
          <w:left w:w="0" w:type="dxa"/>
          <w:bottom w:w="0" w:type="dxa"/>
          <w:right w:w="0" w:type="dxa"/>
        </w:tblCellMar>
      </w:tblPr>
      <w:tr>
        <w:trPr>
          <w:trHeight w:val="171"/>
        </w:trPr>
        <w:tc>
          <w:tcPr>
            <w:tcW w:w="1040" w:type="dxa"/>
            <w:vAlign w:val="bottom"/>
          </w:tcPr>
          <w:p>
            <w:pPr>
              <w:jc w:val="right"/>
              <w:ind w:right="634"/>
              <w:spacing w:after="0"/>
              <w:rPr>
                <w:sz w:val="20"/>
                <w:szCs w:val="20"/>
                <w:color w:val="auto"/>
              </w:rPr>
            </w:pPr>
            <w:r>
              <w:rPr>
                <w:rFonts w:ascii="Arial" w:cs="Arial" w:eastAsia="Arial" w:hAnsi="Arial"/>
                <w:sz w:val="14"/>
                <w:szCs w:val="14"/>
                <w:b w:val="1"/>
                <w:bCs w:val="1"/>
                <w:color w:val="auto"/>
                <w:w w:val="80"/>
              </w:rPr>
              <w:t>Class</w:t>
            </w:r>
          </w:p>
        </w:tc>
        <w:tc>
          <w:tcPr>
            <w:tcW w:w="460" w:type="dxa"/>
            <w:vAlign w:val="bottom"/>
          </w:tcPr>
          <w:p>
            <w:pPr>
              <w:spacing w:after="0"/>
              <w:rPr>
                <w:sz w:val="14"/>
                <w:szCs w:val="14"/>
                <w:color w:val="auto"/>
              </w:rPr>
            </w:pPr>
          </w:p>
        </w:tc>
        <w:tc>
          <w:tcPr>
            <w:tcW w:w="4040" w:type="dxa"/>
            <w:vAlign w:val="bottom"/>
            <w:gridSpan w:val="2"/>
          </w:tcPr>
          <w:p>
            <w:pPr>
              <w:ind w:left="1120"/>
              <w:spacing w:after="0"/>
              <w:rPr>
                <w:sz w:val="20"/>
                <w:szCs w:val="20"/>
                <w:color w:val="auto"/>
              </w:rPr>
            </w:pPr>
            <w:r>
              <w:rPr>
                <w:rFonts w:ascii="Arial" w:cs="Arial" w:eastAsia="Arial" w:hAnsi="Arial"/>
                <w:sz w:val="14"/>
                <w:szCs w:val="14"/>
                <w:b w:val="1"/>
                <w:bCs w:val="1"/>
                <w:color w:val="auto"/>
              </w:rPr>
              <w:t>Claim/Equity Interest</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Status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Voting Rights</w:t>
            </w:r>
          </w:p>
        </w:tc>
      </w:tr>
      <w:tr>
        <w:trPr>
          <w:trHeight w:val="210"/>
        </w:trPr>
        <w:tc>
          <w:tcPr>
            <w:tcW w:w="104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Existing Common Stock</w:t>
            </w:r>
            <w:r>
              <w:rPr>
                <w:rFonts w:ascii="Arial" w:cs="Arial" w:eastAsia="Arial" w:hAnsi="Arial"/>
                <w:sz w:val="23"/>
                <w:szCs w:val="23"/>
                <w:color w:val="auto"/>
                <w:vertAlign w:val="superscript"/>
              </w:rPr>
              <w:t>(2)</w:t>
            </w: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Impaired</w:t>
            </w:r>
          </w:p>
        </w:tc>
        <w:tc>
          <w:tcPr>
            <w:tcW w:w="4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Entitled to Vote</w:t>
            </w:r>
          </w:p>
        </w:tc>
      </w:tr>
      <w:tr>
        <w:trPr>
          <w:trHeight w:val="216"/>
        </w:trPr>
        <w:tc>
          <w:tcPr>
            <w:tcW w:w="104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Intercompany Equity Interests</w:t>
            </w: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Unimpaired</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216"/>
        </w:trPr>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12.</w:t>
            </w:r>
          </w:p>
        </w:tc>
        <w:tc>
          <w:tcPr>
            <w:tcW w:w="4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Unexercised Equity Interests</w:t>
            </w:r>
          </w:p>
        </w:tc>
        <w:tc>
          <w:tcPr>
            <w:tcW w:w="17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Impaired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Deemed to Reject</w:t>
            </w: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Classification and Treatment of Claims and Equity Interests</w:t>
      </w:r>
    </w:p>
    <w:p>
      <w:pPr>
        <w:spacing w:after="0" w:line="225" w:lineRule="exact"/>
        <w:rPr>
          <w:sz w:val="20"/>
          <w:szCs w:val="20"/>
          <w:color w:val="auto"/>
        </w:rPr>
      </w:pPr>
    </w:p>
    <w:p>
      <w:pPr>
        <w:ind w:left="980" w:hanging="324"/>
        <w:spacing w:after="0"/>
        <w:tabs>
          <w:tab w:leader="none" w:pos="980"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t>Class 1 - Other Priority Claims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45"/>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ind w:left="1960" w:hanging="655"/>
        <w:spacing w:after="0" w:line="287" w:lineRule="auto"/>
        <w:tabs>
          <w:tab w:leader="none" w:pos="1967" w:val="left"/>
        </w:tabs>
        <w:numPr>
          <w:ilvl w:val="2"/>
          <w:numId w:val="445"/>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jc w:val="both"/>
        <w:ind w:left="1960" w:right="120" w:hanging="655"/>
        <w:spacing w:after="0" w:line="264" w:lineRule="auto"/>
        <w:tabs>
          <w:tab w:leader="none" w:pos="1971" w:val="left"/>
        </w:tabs>
        <w:numPr>
          <w:ilvl w:val="2"/>
          <w:numId w:val="445"/>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381" w:lineRule="exact"/>
        <w:rPr>
          <w:rFonts w:ascii="Arial" w:cs="Arial" w:eastAsia="Arial" w:hAnsi="Arial"/>
          <w:sz w:val="18"/>
          <w:szCs w:val="18"/>
          <w:color w:val="auto"/>
        </w:rPr>
      </w:pPr>
    </w:p>
    <w:p>
      <w:pPr>
        <w:ind w:left="180" w:hanging="172"/>
        <w:spacing w:after="0"/>
        <w:tabs>
          <w:tab w:leader="none" w:pos="180" w:val="left"/>
        </w:tabs>
        <w:numPr>
          <w:ilvl w:val="0"/>
          <w:numId w:val="446"/>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0" w:name="page351"/>
    <w:bookmarkEnd w:id="350"/>
    <w:p>
      <w:pPr>
        <w:ind w:left="324" w:hanging="324"/>
        <w:spacing w:after="0"/>
        <w:tabs>
          <w:tab w:leader="none" w:pos="32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right="460" w:hanging="655"/>
        <w:spacing w:after="0" w:line="277" w:lineRule="auto"/>
        <w:tabs>
          <w:tab w:leader="none" w:pos="1301" w:val="left"/>
        </w:tabs>
        <w:numPr>
          <w:ilvl w:val="1"/>
          <w:numId w:val="44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2 consists of the Other Secured Claims. Class 2 consists of separate subclasses for each Other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Claim.</w:t>
      </w:r>
    </w:p>
    <w:p>
      <w:pPr>
        <w:spacing w:after="0" w:line="170" w:lineRule="exact"/>
        <w:rPr>
          <w:rFonts w:ascii="Arial" w:cs="Arial" w:eastAsia="Arial" w:hAnsi="Arial"/>
          <w:sz w:val="18"/>
          <w:szCs w:val="18"/>
          <w:color w:val="auto"/>
        </w:rPr>
      </w:pPr>
    </w:p>
    <w:p>
      <w:pPr>
        <w:ind w:left="1304" w:hanging="655"/>
        <w:spacing w:after="0" w:line="269" w:lineRule="auto"/>
        <w:tabs>
          <w:tab w:leader="none" w:pos="1311" w:val="left"/>
        </w:tabs>
        <w:numPr>
          <w:ilvl w:val="1"/>
          <w:numId w:val="447"/>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right="120" w:hanging="655"/>
        <w:spacing w:after="0" w:line="264" w:lineRule="auto"/>
        <w:tabs>
          <w:tab w:leader="none" w:pos="1314" w:val="left"/>
        </w:tabs>
        <w:numPr>
          <w:ilvl w:val="1"/>
          <w:numId w:val="447"/>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ind w:left="1304" w:hanging="655"/>
        <w:spacing w:after="0" w:line="291" w:lineRule="auto"/>
        <w:tabs>
          <w:tab w:leader="none" w:pos="1311" w:val="left"/>
        </w:tabs>
        <w:numPr>
          <w:ilvl w:val="1"/>
          <w:numId w:val="447"/>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1" w:name="page352"/>
    <w:bookmarkEnd w:id="351"/>
    <w:p>
      <w:pPr>
        <w:ind w:left="1304" w:right="100"/>
        <w:spacing w:after="0" w:line="287" w:lineRule="auto"/>
        <w:rPr>
          <w:sz w:val="20"/>
          <w:szCs w:val="20"/>
          <w:color w:val="auto"/>
        </w:rPr>
      </w:pPr>
      <w:r>
        <w:rPr>
          <w:rFonts w:ascii="Arial" w:cs="Arial" w:eastAsia="Arial" w:hAnsi="Arial"/>
          <w:sz w:val="16"/>
          <w:szCs w:val="16"/>
          <w:color w:val="auto"/>
        </w:rPr>
        <w:t xml:space="preserve">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69" w:lineRule="exact"/>
        <w:rPr>
          <w:sz w:val="20"/>
          <w:szCs w:val="20"/>
          <w:color w:val="auto"/>
        </w:rPr>
      </w:pPr>
    </w:p>
    <w:p>
      <w:pPr>
        <w:ind w:left="1304" w:hanging="655"/>
        <w:spacing w:after="0" w:line="264" w:lineRule="auto"/>
        <w:tabs>
          <w:tab w:leader="none" w:pos="1314" w:val="left"/>
        </w:tabs>
        <w:numPr>
          <w:ilvl w:val="1"/>
          <w:numId w:val="448"/>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40" w:hanging="655"/>
        <w:spacing w:after="0" w:line="277"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hanging="655"/>
        <w:spacing w:after="0" w:line="264" w:lineRule="auto"/>
        <w:tabs>
          <w:tab w:leader="none" w:pos="1311" w:val="left"/>
        </w:tabs>
        <w:numPr>
          <w:ilvl w:val="1"/>
          <w:numId w:val="44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2" w:name="page353"/>
    <w:bookmarkEnd w:id="352"/>
    <w:p>
      <w:pPr>
        <w:ind w:left="324" w:hanging="324"/>
        <w:spacing w:after="0"/>
        <w:tabs>
          <w:tab w:leader="none" w:pos="32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right="440" w:hanging="655"/>
        <w:spacing w:after="0" w:line="277" w:lineRule="auto"/>
        <w:tabs>
          <w:tab w:leader="none" w:pos="1311"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ind w:left="1304" w:right="140" w:hanging="655"/>
        <w:spacing w:after="0" w:line="259" w:lineRule="auto"/>
        <w:tabs>
          <w:tab w:leader="none" w:pos="131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ind w:left="1304" w:right="20" w:hanging="655"/>
        <w:spacing w:after="0" w:line="264" w:lineRule="auto"/>
        <w:tabs>
          <w:tab w:leader="none" w:pos="1311"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11"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thereon plus outstanding letters of credit in an amount of $166,000,000.</w:t>
      </w:r>
    </w:p>
    <w:p>
      <w:pPr>
        <w:spacing w:after="0" w:line="170" w:lineRule="exact"/>
        <w:rPr>
          <w:rFonts w:ascii="Arial" w:cs="Arial" w:eastAsia="Arial" w:hAnsi="Arial"/>
          <w:sz w:val="18"/>
          <w:szCs w:val="18"/>
          <w:color w:val="auto"/>
        </w:rPr>
      </w:pPr>
    </w:p>
    <w:p>
      <w:pPr>
        <w:ind w:left="1304" w:right="20" w:hanging="655"/>
        <w:spacing w:after="0" w:line="302" w:lineRule="auto"/>
        <w:tabs>
          <w:tab w:leader="none" w:pos="1314" w:val="left"/>
        </w:tabs>
        <w:numPr>
          <w:ilvl w:val="1"/>
          <w:numId w:val="450"/>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Effective Date, the Allowed Prepetition A&amp;R Claims will, in full satisfaction, settlement, discharge and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in exchange for, such Claims, be indefeasibly paid in full in Cash. Any letters of credit issued and outstanding as of the Effective Date under the Prepetition A&amp;R Credit Agreement will either be cash collateralized or receive such other treatment as may be acceptable to the Debtors, the Prepetition A&amp;R Credit Agreement Agent, and the Required Consenting Noteholders.</w:t>
      </w:r>
    </w:p>
    <w:p>
      <w:pPr>
        <w:spacing w:after="0" w:line="154" w:lineRule="exact"/>
        <w:rPr>
          <w:rFonts w:ascii="Arial" w:cs="Arial" w:eastAsia="Arial" w:hAnsi="Arial"/>
          <w:sz w:val="16"/>
          <w:szCs w:val="16"/>
          <w:color w:val="auto"/>
        </w:rPr>
      </w:pPr>
    </w:p>
    <w:p>
      <w:pPr>
        <w:ind w:left="1304" w:right="20" w:hanging="655"/>
        <w:spacing w:after="0" w:line="264" w:lineRule="auto"/>
        <w:tabs>
          <w:tab w:leader="none" w:pos="1311"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6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0"/>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353" w:name="page354"/>
    <w:bookmarkEnd w:id="353"/>
    <w:p>
      <w:pPr>
        <w:ind w:left="760" w:right="40" w:hanging="655"/>
        <w:spacing w:after="0" w:line="277" w:lineRule="auto"/>
        <w:tabs>
          <w:tab w:leader="none" w:pos="767" w:val="left"/>
        </w:tabs>
        <w:numPr>
          <w:ilvl w:val="0"/>
          <w:numId w:val="451"/>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420" w:hanging="667"/>
        <w:spacing w:after="0"/>
        <w:tabs>
          <w:tab w:leader="none" w:pos="142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400" w:hanging="647"/>
        <w:spacing w:after="0"/>
        <w:tabs>
          <w:tab w:leader="none" w:pos="140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$790,000,000 in aggregate principal amount, plus accrued and unpaid interest on account of the 9.875% 2024 Notes;</w:t>
      </w:r>
    </w:p>
    <w:p>
      <w:pPr>
        <w:spacing w:after="0" w:line="248" w:lineRule="exact"/>
        <w:rPr>
          <w:rFonts w:ascii="Arial" w:cs="Arial" w:eastAsia="Arial" w:hAnsi="Arial"/>
          <w:sz w:val="16"/>
          <w:szCs w:val="16"/>
          <w:color w:val="auto"/>
        </w:rPr>
      </w:pPr>
    </w:p>
    <w:p>
      <w:pPr>
        <w:ind w:left="1420" w:hanging="667"/>
        <w:spacing w:after="0"/>
        <w:tabs>
          <w:tab w:leader="none" w:pos="142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440" w:hanging="687"/>
        <w:spacing w:after="0"/>
        <w:tabs>
          <w:tab w:leader="none" w:pos="144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$250,000,000 in aggregate principal amount, plus accrued and unpaid interest on account of the 9.875% 2039 Notes;</w:t>
      </w:r>
    </w:p>
    <w:p>
      <w:pPr>
        <w:spacing w:after="0" w:line="248" w:lineRule="exact"/>
        <w:rPr>
          <w:rFonts w:ascii="Arial" w:cs="Arial" w:eastAsia="Arial" w:hAnsi="Arial"/>
          <w:sz w:val="16"/>
          <w:szCs w:val="16"/>
          <w:color w:val="auto"/>
        </w:rPr>
      </w:pPr>
    </w:p>
    <w:p>
      <w:pPr>
        <w:ind w:left="1400" w:hanging="647"/>
        <w:spacing w:after="0"/>
        <w:tabs>
          <w:tab w:leader="none" w:pos="140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420" w:hanging="667"/>
        <w:spacing w:after="0"/>
        <w:tabs>
          <w:tab w:leader="none" w:pos="142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440" w:hanging="687"/>
        <w:spacing w:after="0"/>
        <w:tabs>
          <w:tab w:leader="none" w:pos="144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6" w:lineRule="exact"/>
        <w:rPr>
          <w:rFonts w:ascii="Arial" w:cs="Arial" w:eastAsia="Arial" w:hAnsi="Arial"/>
          <w:sz w:val="17"/>
          <w:szCs w:val="17"/>
          <w:color w:val="auto"/>
        </w:rPr>
      </w:pPr>
    </w:p>
    <w:p>
      <w:pPr>
        <w:ind w:left="760" w:right="100" w:hanging="655"/>
        <w:spacing w:after="0" w:line="312" w:lineRule="auto"/>
        <w:tabs>
          <w:tab w:leader="none" w:pos="771" w:val="left"/>
        </w:tabs>
        <w:numPr>
          <w:ilvl w:val="0"/>
          <w:numId w:val="451"/>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On the Initial Distribution Date, each Holder of an Allowed Prepetition Notes Claim will receive, in full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discharge and release of, and in exchange for, such Claim, its Pro Rata share of (i) 99% of the New Common Stock, subject to dilution on account of equity issued pursuant to the New Management Incentive Plan, the Tranche</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354" w:name="page355"/>
    <w:bookmarkEnd w:id="354"/>
    <w:p>
      <w:pPr>
        <w:ind w:left="1304" w:right="40"/>
        <w:spacing w:after="0" w:line="269" w:lineRule="auto"/>
        <w:rPr>
          <w:sz w:val="20"/>
          <w:szCs w:val="20"/>
          <w:color w:val="auto"/>
        </w:rPr>
      </w:pPr>
      <w:r>
        <w:rPr>
          <w:rFonts w:ascii="Arial" w:cs="Arial" w:eastAsia="Arial" w:hAnsi="Arial"/>
          <w:sz w:val="17"/>
          <w:szCs w:val="17"/>
          <w:color w:val="auto"/>
        </w:rPr>
        <w:t xml:space="preserve">B Equity Conversion (as defined below), and the New Common Stock issuable pursuant to the New Warrants and (ii) the New Tranche B Senior Unsecured Notes;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each of such Holders will have the option, in its sole discretion, to convert its Pro Rata share of $500,000,000 in principal amount of the New Tranche B Senior Unsecured Notes into New Common Stock (the “</w:t>
      </w:r>
      <w:r>
        <w:rPr>
          <w:rFonts w:ascii="Arial" w:cs="Arial" w:eastAsia="Arial" w:hAnsi="Arial"/>
          <w:sz w:val="17"/>
          <w:szCs w:val="17"/>
          <w:b w:val="1"/>
          <w:bCs w:val="1"/>
          <w:u w:val="single" w:color="auto"/>
          <w:color w:val="auto"/>
        </w:rPr>
        <w:t>Tranche B Equity Conversion</w:t>
      </w:r>
      <w:r>
        <w:rPr>
          <w:rFonts w:ascii="Arial" w:cs="Arial" w:eastAsia="Arial" w:hAnsi="Arial"/>
          <w:sz w:val="17"/>
          <w:szCs w:val="17"/>
          <w:color w:val="auto"/>
        </w:rPr>
        <w:t xml:space="preserve">”) at a conversion price of $36.20 per share of New Common Stock;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further that the aggregate principal amount of New Tranche B Senior Unsecured Notes converted into New Common Stock will not exceed $500,000,000. To the extent that less than $500,000,000 in principal amount of the New Tranche B Senior Unsecured Notes is converted in New Common Stock pursuant to the Tranche B Equity Conversion, any such Holder that elected to convert its full Pro Rata share of New Tranche B Senior Unsecured Notes into New Common Stock in the Tranche B Equity Conversion will also be eligible to exercise its Overallotment Rights. Procedures for the effectuation of the Tranche B Equity Conversion and the Overallotment Rights are set forth in Article V.U hereof. In addition, each of such Holders will receive Subscription Rights to purchase its Pro Rata share of New Tranche A Senior Unsecured Notes pursuant to the Rights Offering and in accordance with the applicable Rights Offerings Procedures.</w:t>
      </w:r>
    </w:p>
    <w:p>
      <w:pPr>
        <w:spacing w:after="0" w:line="180" w:lineRule="exact"/>
        <w:rPr>
          <w:sz w:val="20"/>
          <w:szCs w:val="20"/>
          <w:color w:val="auto"/>
        </w:rPr>
      </w:pPr>
    </w:p>
    <w:p>
      <w:pPr>
        <w:ind w:left="1304" w:hanging="655"/>
        <w:spacing w:after="0"/>
        <w:tabs>
          <w:tab w:leader="none" w:pos="1304" w:val="left"/>
        </w:tabs>
        <w:numPr>
          <w:ilvl w:val="1"/>
          <w:numId w:val="452"/>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ind w:left="1304" w:hanging="655"/>
        <w:spacing w:after="0" w:line="259" w:lineRule="auto"/>
        <w:tabs>
          <w:tab w:leader="none" w:pos="1311"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The legal, equitable, and contractual rights of the holders of General Unsecured Claims are unaltered by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that a holder of a General Unsecured Claim agrees to a different treatment, on and after the Effective Date, the Debtors will continue to pay (if Allowed) or dispute each General Unsecured Claim in the ordinary course of business in accordance with applicable law.</w:t>
      </w:r>
    </w:p>
    <w:p>
      <w:pPr>
        <w:spacing w:after="0" w:line="186" w:lineRule="exact"/>
        <w:rPr>
          <w:rFonts w:ascii="Arial" w:cs="Arial" w:eastAsia="Arial" w:hAnsi="Arial"/>
          <w:sz w:val="18"/>
          <w:szCs w:val="18"/>
          <w:color w:val="auto"/>
        </w:rPr>
      </w:pPr>
    </w:p>
    <w:p>
      <w:pPr>
        <w:jc w:val="both"/>
        <w:ind w:left="1304" w:right="100" w:hanging="655"/>
        <w:spacing w:after="0" w:line="264" w:lineRule="auto"/>
        <w:tabs>
          <w:tab w:leader="none" w:pos="1314"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284" w:hanging="635"/>
        <w:spacing w:after="0"/>
        <w:tabs>
          <w:tab w:leader="none" w:pos="1284"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304" w:right="380" w:hanging="655"/>
        <w:spacing w:after="0" w:line="277" w:lineRule="auto"/>
        <w:tabs>
          <w:tab w:leader="none" w:pos="1311" w:val="left"/>
        </w:tabs>
        <w:numPr>
          <w:ilvl w:val="1"/>
          <w:numId w:val="453"/>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Subject to the Restructuring Transactions, the Intercompany Claims will be adjusted, reinstated, compromised, or</w:t>
      </w:r>
      <w:r>
        <w:rPr>
          <w:rFonts w:ascii="Arial" w:cs="Arial" w:eastAsia="Arial" w:hAnsi="Arial"/>
          <w:sz w:val="18"/>
          <w:szCs w:val="18"/>
          <w:i w:val="1"/>
          <w:iCs w:val="1"/>
          <w:color w:val="auto"/>
        </w:rPr>
        <w:t xml:space="preserve"> </w:t>
      </w:r>
      <w:r>
        <w:rPr>
          <w:rFonts w:ascii="Arial" w:cs="Arial" w:eastAsia="Arial" w:hAnsi="Arial"/>
          <w:sz w:val="18"/>
          <w:szCs w:val="18"/>
          <w:color w:val="auto"/>
        </w:rPr>
        <w:t>cancelled to the extent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4"/>
          </w:cols>
          <w:pgMar w:left="896" w:top="341" w:right="279" w:bottom="1440" w:gutter="0" w:footer="0" w:header="0"/>
        </w:sectPr>
      </w:pPr>
    </w:p>
    <w:bookmarkStart w:id="355" w:name="page356"/>
    <w:bookmarkEnd w:id="355"/>
    <w:p>
      <w:pPr>
        <w:ind w:left="1960"/>
        <w:spacing w:after="0"/>
        <w:rPr>
          <w:sz w:val="20"/>
          <w:szCs w:val="20"/>
          <w:color w:val="auto"/>
        </w:rPr>
      </w:pPr>
      <w:r>
        <w:rPr>
          <w:rFonts w:ascii="Arial" w:cs="Arial" w:eastAsia="Arial" w:hAnsi="Arial"/>
          <w:sz w:val="18"/>
          <w:szCs w:val="18"/>
          <w:color w:val="auto"/>
        </w:rPr>
        <w:t>determined appropriate by the Debtors, with the consent of the Required Consenting Noteholders.</w:t>
      </w:r>
    </w:p>
    <w:p>
      <w:pPr>
        <w:spacing w:after="0" w:line="225" w:lineRule="exact"/>
        <w:rPr>
          <w:sz w:val="20"/>
          <w:szCs w:val="20"/>
          <w:color w:val="auto"/>
        </w:rPr>
      </w:pPr>
    </w:p>
    <w:p>
      <w:pPr>
        <w:ind w:left="1960" w:right="100" w:hanging="655"/>
        <w:spacing w:after="0" w:line="264" w:lineRule="auto"/>
        <w:tabs>
          <w:tab w:leader="none" w:pos="1971" w:val="left"/>
        </w:tabs>
        <w:numPr>
          <w:ilvl w:val="1"/>
          <w:numId w:val="454"/>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23"/>
          <w:szCs w:val="23"/>
          <w:color w:val="auto"/>
          <w:vertAlign w:val="superscript"/>
        </w:rPr>
        <w:t>(3)</w:t>
      </w:r>
    </w:p>
    <w:p>
      <w:pPr>
        <w:spacing w:after="0" w:line="167" w:lineRule="exact"/>
        <w:rPr>
          <w:rFonts w:ascii="Arial" w:cs="Arial" w:eastAsia="Arial" w:hAnsi="Arial"/>
          <w:sz w:val="18"/>
          <w:szCs w:val="18"/>
          <w:color w:val="auto"/>
        </w:rPr>
      </w:pPr>
    </w:p>
    <w:p>
      <w:pPr>
        <w:ind w:left="1960" w:right="20" w:hanging="655"/>
        <w:spacing w:after="0" w:line="302" w:lineRule="auto"/>
        <w:tabs>
          <w:tab w:leader="none" w:pos="1967" w:val="left"/>
        </w:tabs>
        <w:numPr>
          <w:ilvl w:val="1"/>
          <w:numId w:val="455"/>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On the Effective Date, the Existing Common Stock will be cancelled without further notice to, approval of or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On the Initial Distribution Date, each Holder of Existing Common Stock will receive its Pro Rata share of (i) 1.0% of the New Common Stock, subject to dilution on account of the equity issued pursuant to the New Management Incentive Plan, the Tranche B Equity Conversion and the New Common Stock issuable pursuant to the New Warrants and (ii) the New Warrants.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right="280" w:hanging="655"/>
        <w:spacing w:after="0" w:line="277" w:lineRule="auto"/>
        <w:tabs>
          <w:tab w:leader="none" w:pos="1971" w:val="left"/>
        </w:tabs>
        <w:numPr>
          <w:ilvl w:val="2"/>
          <w:numId w:val="456"/>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ind w:left="1960" w:right="200" w:hanging="655"/>
        <w:spacing w:after="0" w:line="264" w:lineRule="auto"/>
        <w:tabs>
          <w:tab w:leader="none" w:pos="1967" w:val="left"/>
        </w:tabs>
        <w:numPr>
          <w:ilvl w:val="2"/>
          <w:numId w:val="457"/>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71" w:val="left"/>
        </w:tabs>
        <w:numPr>
          <w:ilvl w:val="2"/>
          <w:numId w:val="457"/>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457"/>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8"/>
        </w:numPr>
        <w:rPr>
          <w:rFonts w:ascii="Arial" w:cs="Arial" w:eastAsia="Arial" w:hAnsi="Arial"/>
          <w:sz w:val="18"/>
          <w:szCs w:val="18"/>
          <w:color w:val="auto"/>
          <w:vertAlign w:val="superscript"/>
        </w:rPr>
      </w:pPr>
      <w:r>
        <w:rPr>
          <w:rFonts w:ascii="Arial" w:cs="Arial" w:eastAsia="Arial" w:hAnsi="Arial"/>
          <w:sz w:val="14"/>
          <w:szCs w:val="14"/>
          <w:color w:val="auto"/>
        </w:rPr>
        <w:t>This class excludes the Unexercised Equity Interests that are classified in Class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6" w:name="page357"/>
    <w:bookmarkEnd w:id="356"/>
    <w:p>
      <w:pPr>
        <w:ind w:left="1960" w:hanging="655"/>
        <w:spacing w:after="0" w:line="308" w:lineRule="auto"/>
        <w:tabs>
          <w:tab w:leader="none" w:pos="1967" w:val="left"/>
        </w:tabs>
        <w:numPr>
          <w:ilvl w:val="0"/>
          <w:numId w:val="459"/>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ind w:left="1960" w:right="340" w:hanging="655"/>
        <w:spacing w:after="0" w:line="264" w:lineRule="auto"/>
        <w:tabs>
          <w:tab w:leader="none" w:pos="1971" w:val="left"/>
        </w:tabs>
        <w:numPr>
          <w:ilvl w:val="0"/>
          <w:numId w:val="459"/>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Special Provision Governing Unimpaired Claims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Except as otherwise provided herein, nothing under this Plan will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Elimination of Vacant Classes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Acceptance of Plan</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Presumed Rejection of Plan</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Voting Classes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7" w:name="page358"/>
    <w:bookmarkEnd w:id="357"/>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Acceptance by Impaired Class of Claims</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81" w:lineRule="exact"/>
        <w:rPr>
          <w:sz w:val="20"/>
          <w:szCs w:val="20"/>
          <w:color w:val="auto"/>
        </w:rPr>
      </w:pPr>
    </w:p>
    <w:p>
      <w:pPr>
        <w:ind w:left="660" w:hanging="652"/>
        <w:spacing w:after="0"/>
        <w:tabs>
          <w:tab w:leader="none" w:pos="660" w:val="left"/>
        </w:tabs>
        <w:numPr>
          <w:ilvl w:val="0"/>
          <w:numId w:val="460"/>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54" w:lineRule="exact"/>
        <w:rPr>
          <w:sz w:val="20"/>
          <w:szCs w:val="20"/>
          <w:color w:val="auto"/>
        </w:rPr>
      </w:pPr>
    </w:p>
    <w:p>
      <w:pPr>
        <w:ind w:left="640" w:hanging="632"/>
        <w:spacing w:after="0"/>
        <w:tabs>
          <w:tab w:leader="none" w:pos="640" w:val="left"/>
        </w:tabs>
        <w:numPr>
          <w:ilvl w:val="0"/>
          <w:numId w:val="461"/>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Parties will be entitled to, and upon the Confirmation Date are hereby granted, the protections of section 1125(e) of the Bankruptcy 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Restructuring Transactions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8" w:name="page359"/>
    <w:bookmarkEnd w:id="358"/>
    <w:p>
      <w:pPr>
        <w:ind w:right="80"/>
        <w:spacing w:after="0" w:line="255" w:lineRule="auto"/>
        <w:rPr>
          <w:sz w:val="20"/>
          <w:szCs w:val="20"/>
          <w:color w:val="auto"/>
        </w:rPr>
      </w:pPr>
      <w:r>
        <w:rPr>
          <w:rFonts w:ascii="Arial" w:cs="Arial" w:eastAsia="Arial" w:hAnsi="Arial"/>
          <w:sz w:val="18"/>
          <w:szCs w:val="18"/>
          <w:color w:val="auto"/>
        </w:rPr>
        <w:t>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8"/>
          <w:szCs w:val="18"/>
          <w:b w:val="1"/>
          <w:bCs w:val="1"/>
          <w:u w:val="single" w:color="auto"/>
          <w:color w:val="auto"/>
        </w:rPr>
        <w:t>Restructuring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9" w:name="page360"/>
    <w:bookmarkEnd w:id="359"/>
    <w:p>
      <w:pPr>
        <w:ind w:left="660" w:hanging="652"/>
        <w:spacing w:after="0"/>
        <w:tabs>
          <w:tab w:leader="none" w:pos="660" w:val="left"/>
        </w:tabs>
        <w:numPr>
          <w:ilvl w:val="0"/>
          <w:numId w:val="462"/>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78" w:lineRule="exact"/>
        <w:rPr>
          <w:sz w:val="20"/>
          <w:szCs w:val="20"/>
          <w:color w:val="auto"/>
        </w:rPr>
      </w:pPr>
    </w:p>
    <w:p>
      <w:pPr>
        <w:ind w:left="660" w:hanging="652"/>
        <w:spacing w:after="0"/>
        <w:tabs>
          <w:tab w:leader="none" w:pos="660" w:val="left"/>
        </w:tabs>
        <w:numPr>
          <w:ilvl w:val="0"/>
          <w:numId w:val="464"/>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0" w:name="page361"/>
    <w:bookmarkEnd w:id="360"/>
    <w:p>
      <w:pPr>
        <w:ind w:right="160"/>
        <w:spacing w:after="0" w:line="277" w:lineRule="auto"/>
        <w:rPr>
          <w:sz w:val="20"/>
          <w:szCs w:val="20"/>
          <w:color w:val="auto"/>
        </w:rPr>
      </w:pPr>
      <w:r>
        <w:rPr>
          <w:rFonts w:ascii="Arial" w:cs="Arial" w:eastAsia="Arial" w:hAnsi="Arial"/>
          <w:sz w:val="18"/>
          <w:szCs w:val="18"/>
          <w:color w:val="auto"/>
        </w:rPr>
        <w:t>deemed to be, enjoined or subject to discharge, impairment, release or avoidance under this Plan, the Confirmation Order or on account of the Confirmation or Consummation of this Plan.</w:t>
      </w:r>
    </w:p>
    <w:p>
      <w:pPr>
        <w:spacing w:after="0" w:line="170" w:lineRule="exact"/>
        <w:rPr>
          <w:sz w:val="20"/>
          <w:szCs w:val="20"/>
          <w:color w:val="auto"/>
        </w:rPr>
      </w:pPr>
    </w:p>
    <w:p>
      <w:pPr>
        <w:ind w:left="660" w:hanging="652"/>
        <w:spacing w:after="0"/>
        <w:tabs>
          <w:tab w:leader="none" w:pos="660" w:val="left"/>
        </w:tabs>
        <w:numPr>
          <w:ilvl w:val="0"/>
          <w:numId w:val="465"/>
        </w:numPr>
        <w:rPr>
          <w:rFonts w:ascii="Arial" w:cs="Arial" w:eastAsia="Arial" w:hAnsi="Arial"/>
          <w:sz w:val="18"/>
          <w:szCs w:val="18"/>
          <w:i w:val="1"/>
          <w:iCs w:val="1"/>
          <w:color w:val="auto"/>
        </w:rPr>
      </w:pPr>
      <w:r>
        <w:rPr>
          <w:rFonts w:ascii="Arial" w:cs="Arial" w:eastAsia="Arial" w:hAnsi="Arial"/>
          <w:sz w:val="18"/>
          <w:szCs w:val="18"/>
          <w:i w:val="1"/>
          <w:iCs w:val="1"/>
          <w:color w:val="auto"/>
        </w:rPr>
        <w:t>New Senior Unsecured Notes Indentures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New Senior Unsecured Notes Indentures and other New Senior Unsecured Notes Documents in each case in form and substance acceptable to the Required Consenting Noteholders in the manner set forth in the Restructuring Support Agreement, and with respect to the New Tranche A Senior Unsecured Notes Indentures,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New Senior Unsecured Notes Indentures). On the Effective Date, the New Senior Unsecured Notes Indentures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New Common Stock; Book Entry</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Listing of New Securities and Transfer Restrictions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Securities Exchange Act of 1934, as amended.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1" w:name="page362"/>
    <w:bookmarkEnd w:id="361"/>
    <w:p>
      <w:pPr>
        <w:ind w:left="660" w:hanging="652"/>
        <w:spacing w:after="0"/>
        <w:tabs>
          <w:tab w:leader="none" w:pos="660" w:val="left"/>
        </w:tabs>
        <w:numPr>
          <w:ilvl w:val="0"/>
          <w:numId w:val="466"/>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Subject to the Restructuring Transactions permitted by </w:t>
      </w:r>
      <w:r>
        <w:rPr>
          <w:rFonts w:ascii="Arial" w:cs="Arial" w:eastAsia="Arial" w:hAnsi="Arial"/>
          <w:sz w:val="17"/>
          <w:szCs w:val="17"/>
          <w:u w:val="single" w:color="auto"/>
          <w:color w:val="auto"/>
        </w:rPr>
        <w:t>Article V.A</w:t>
      </w:r>
      <w:r>
        <w:rPr>
          <w:rFonts w:ascii="Arial" w:cs="Arial" w:eastAsia="Arial" w:hAnsi="Arial"/>
          <w:sz w:val="17"/>
          <w:szCs w:val="17"/>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71" w:lineRule="exact"/>
        <w:rPr>
          <w:sz w:val="20"/>
          <w:szCs w:val="20"/>
          <w:color w:val="auto"/>
        </w:rPr>
      </w:pPr>
    </w:p>
    <w:p>
      <w:pPr>
        <w:ind w:left="660" w:hanging="652"/>
        <w:spacing w:after="0"/>
        <w:tabs>
          <w:tab w:leader="none" w:pos="660" w:val="left"/>
        </w:tabs>
        <w:numPr>
          <w:ilvl w:val="0"/>
          <w:numId w:val="467"/>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468"/>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New Senior Unsecured Notes to be distributed and issued under this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this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offer, distribution, and issuance, as applicable, of the Plan Securities and Documents under this Plan (including New Common Stock issued pursuant to the Tranche B Equity Conversion)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2" w:name="page363"/>
    <w:bookmarkEnd w:id="362"/>
    <w:p>
      <w:pPr>
        <w:spacing w:after="0" w:line="291" w:lineRule="auto"/>
        <w:rPr>
          <w:sz w:val="20"/>
          <w:szCs w:val="20"/>
          <w:color w:val="auto"/>
        </w:rPr>
      </w:pPr>
      <w:r>
        <w:rPr>
          <w:rFonts w:ascii="Arial" w:cs="Arial" w:eastAsia="Arial" w:hAnsi="Arial"/>
          <w:sz w:val="16"/>
          <w:szCs w:val="16"/>
          <w:color w:val="auto"/>
        </w:rPr>
        <w:t xml:space="preserve">delivery of a prospectus for offer or sale of a security or registration or licensing of an issuer of a security) pursuant to section 1145(a) of the Bankruptcy Code and/or other applicable exemptions;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New Tranche A Senior Unsecured Notes issued to the Backstop Parties pursuant to the Backstop Commitment Agreement (but not the New Tranche A Senior Unsecured 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6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173"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 the fullest extent provided under section 1141(c) and other applicable provisions of the Bankruptcy Code, except as otherwise provided herein (including, without limitation, Article V.D, V.E, V.F, and V.G of this Plan) or in any contract, instrument, release or other agreement or document entered into or delivered in connection with this Plan, on the Effective Date and concurrently with the applicable distributions made pursuant to Article VII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Liens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73" w:lineRule="exact"/>
        <w:rPr>
          <w:sz w:val="20"/>
          <w:szCs w:val="20"/>
          <w:color w:val="auto"/>
        </w:rPr>
      </w:pPr>
    </w:p>
    <w:p>
      <w:pPr>
        <w:ind w:left="660" w:hanging="652"/>
        <w:spacing w:after="0"/>
        <w:tabs>
          <w:tab w:leader="none" w:pos="660" w:val="left"/>
        </w:tabs>
        <w:numPr>
          <w:ilvl w:val="0"/>
          <w:numId w:val="471"/>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respective corporate governance documents of each of the Debtors will be amended and restated or replaced (as applicable) by the New/Amended Corporate Governance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3" w:name="page364"/>
    <w:bookmarkEnd w:id="363"/>
    <w:p>
      <w:pPr>
        <w:spacing w:after="0" w:line="271" w:lineRule="auto"/>
        <w:rPr>
          <w:sz w:val="20"/>
          <w:szCs w:val="20"/>
          <w:color w:val="auto"/>
        </w:rPr>
      </w:pPr>
      <w:r>
        <w:rPr>
          <w:rFonts w:ascii="Arial" w:cs="Arial" w:eastAsia="Arial" w:hAnsi="Arial"/>
          <w:sz w:val="17"/>
          <w:szCs w:val="17"/>
          <w:color w:val="auto"/>
        </w:rPr>
        <w:t>(subject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New/Amended Corporate Governance Documents, amend and restate their respective corporate governance documents as permitted thereby and by applicable law.</w:t>
      </w:r>
    </w:p>
    <w:p>
      <w:pPr>
        <w:spacing w:after="0" w:line="179" w:lineRule="exact"/>
        <w:rPr>
          <w:sz w:val="20"/>
          <w:szCs w:val="20"/>
          <w:color w:val="auto"/>
        </w:rPr>
      </w:pPr>
    </w:p>
    <w:p>
      <w:pPr>
        <w:ind w:left="660" w:hanging="652"/>
        <w:spacing w:after="0"/>
        <w:tabs>
          <w:tab w:leader="none" w:pos="660" w:val="left"/>
        </w:tabs>
        <w:numPr>
          <w:ilvl w:val="0"/>
          <w:numId w:val="472"/>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ind w:firstLine="8"/>
        <w:spacing w:after="0" w:line="255" w:lineRule="auto"/>
        <w:tabs>
          <w:tab w:leader="none" w:pos="25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w:t>
      </w:r>
      <w:r>
        <w:rPr>
          <w:rFonts w:ascii="Arial" w:cs="Arial" w:eastAsia="Arial" w:hAnsi="Arial"/>
          <w:sz w:val="15"/>
          <w:szCs w:val="15"/>
          <w:color w:val="auto"/>
        </w:rPr>
        <w:t>Corporate Governance</w:t>
      </w:r>
      <w:r>
        <w:rPr>
          <w:rFonts w:ascii="Arial" w:cs="Arial" w:eastAsia="Arial" w:hAnsi="Arial"/>
          <w:sz w:val="16"/>
          <w:szCs w:val="16"/>
          <w:color w:val="auto"/>
        </w:rPr>
        <w:t xml:space="preserv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67" w:lineRule="exact"/>
        <w:rPr>
          <w:sz w:val="20"/>
          <w:szCs w:val="20"/>
          <w:color w:val="auto"/>
        </w:rPr>
      </w:pPr>
    </w:p>
    <w:p>
      <w:pPr>
        <w:ind w:left="660" w:hanging="652"/>
        <w:spacing w:after="0"/>
        <w:tabs>
          <w:tab w:leader="none" w:pos="660" w:val="left"/>
        </w:tabs>
        <w:numPr>
          <w:ilvl w:val="0"/>
          <w:numId w:val="474"/>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t>such actions being in accordance with the law of the Debtor’s jurisdiction of incorporation to the extent such non-bankruptcy law is applicable).</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9" w:lineRule="exact"/>
        <w:rPr>
          <w:sz w:val="20"/>
          <w:szCs w:val="20"/>
          <w:color w:val="auto"/>
        </w:rPr>
      </w:pPr>
    </w:p>
    <w:p>
      <w:pPr>
        <w:ind w:left="640" w:hanging="632"/>
        <w:spacing w:after="0"/>
        <w:tabs>
          <w:tab w:leader="none" w:pos="640" w:val="left"/>
        </w:tabs>
        <w:numPr>
          <w:ilvl w:val="0"/>
          <w:numId w:val="475"/>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the Effective Date, except to the extent otherwise provided in this Plan (including, without limitation, Article II.B, Article V.B, Article V.E, and Article V.K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Facility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5" w:name="page366"/>
    <w:bookmarkEnd w:id="365"/>
    <w:p>
      <w:pPr>
        <w:ind w:right="60"/>
        <w:spacing w:after="0" w:line="287" w:lineRule="auto"/>
        <w:rPr>
          <w:sz w:val="20"/>
          <w:szCs w:val="20"/>
          <w:color w:val="auto"/>
        </w:rPr>
      </w:pPr>
      <w:r>
        <w:rPr>
          <w:rFonts w:ascii="Arial" w:cs="Arial" w:eastAsia="Arial" w:hAnsi="Arial"/>
          <w:sz w:val="16"/>
          <w:szCs w:val="16"/>
          <w:color w:val="auto"/>
        </w:rPr>
        <w:t>Documents and the DIP Facility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Claims as contemplated by Article II.B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For the avoidance of doubt, nothing in this paragraph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169"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Sources of Cash for Plan Distributions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6" w:name="page367"/>
    <w:bookmarkEnd w:id="366"/>
    <w:p>
      <w:pPr>
        <w:ind w:right="80"/>
        <w:spacing w:after="0" w:line="277" w:lineRule="auto"/>
        <w:rPr>
          <w:sz w:val="20"/>
          <w:szCs w:val="20"/>
          <w:color w:val="auto"/>
        </w:rPr>
      </w:pPr>
      <w:r>
        <w:rPr>
          <w:rFonts w:ascii="Arial" w:cs="Arial" w:eastAsia="Arial" w:hAnsi="Arial"/>
          <w:sz w:val="18"/>
          <w:szCs w:val="18"/>
          <w:color w:val="auto"/>
        </w:rPr>
        <w:t>considered prepetition claims of Weatherford Parent in the Irish Scheme of Arrangement so long as such payments are in the ordinary course of business and otherwise in accordance with the terms of this Plan and the DIP Orders.</w:t>
      </w:r>
    </w:p>
    <w:p>
      <w:pPr>
        <w:spacing w:after="0" w:line="170" w:lineRule="exact"/>
        <w:rPr>
          <w:sz w:val="20"/>
          <w:szCs w:val="20"/>
          <w:color w:val="auto"/>
        </w:rPr>
      </w:pPr>
    </w:p>
    <w:p>
      <w:pPr>
        <w:ind w:left="660" w:hanging="652"/>
        <w:spacing w:after="0"/>
        <w:tabs>
          <w:tab w:leader="none" w:pos="660" w:val="left"/>
        </w:tabs>
        <w:numPr>
          <w:ilvl w:val="0"/>
          <w:numId w:val="477"/>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accordance with Article II.A of this Plan.</w:t>
      </w:r>
    </w:p>
    <w:p>
      <w:pPr>
        <w:spacing w:after="0" w:line="171"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8"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187" w:lineRule="exact"/>
        <w:rPr>
          <w:sz w:val="20"/>
          <w:szCs w:val="20"/>
          <w:color w:val="auto"/>
        </w:rPr>
      </w:pPr>
    </w:p>
    <w:p>
      <w:pPr>
        <w:ind w:left="660" w:hanging="652"/>
        <w:spacing w:after="0"/>
        <w:tabs>
          <w:tab w:leader="none" w:pos="660" w:val="left"/>
        </w:tabs>
        <w:numPr>
          <w:ilvl w:val="0"/>
          <w:numId w:val="479"/>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7" w:name="page368"/>
    <w:bookmarkEnd w:id="367"/>
    <w:p>
      <w:pPr>
        <w:ind w:right="40"/>
        <w:spacing w:after="0" w:line="257" w:lineRule="auto"/>
        <w:rPr>
          <w:sz w:val="20"/>
          <w:szCs w:val="20"/>
          <w:color w:val="auto"/>
        </w:rPr>
      </w:pPr>
      <w:r>
        <w:rPr>
          <w:rFonts w:ascii="Arial" w:cs="Arial" w:eastAsia="Arial" w:hAnsi="Arial"/>
          <w:sz w:val="18"/>
          <w:szCs w:val="18"/>
          <w:color w:val="auto"/>
        </w:rPr>
        <w:t>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Tranche B Equity Conversion and Overallotment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Holders of Allowed Prepetition Notes Claims may elect to receive shares of New Common Stock in lieu of New Tranche B Senior Unsecured Notes in partial satisfaction of the applicable Allowed Prepetition Notes Claims;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such Holders shall not be allowed to exchange, in aggregate principal amount, more than $500,000,000 of New Tranche B Senior Unsecured Notes (the “</w:t>
      </w:r>
      <w:r>
        <w:rPr>
          <w:rFonts w:ascii="Arial" w:cs="Arial" w:eastAsia="Arial" w:hAnsi="Arial"/>
          <w:sz w:val="17"/>
          <w:szCs w:val="17"/>
          <w:b w:val="1"/>
          <w:bCs w:val="1"/>
          <w:u w:val="single" w:color="auto"/>
          <w:color w:val="auto"/>
        </w:rPr>
        <w:t>Tranche B Conversion Notes</w:t>
      </w:r>
      <w:r>
        <w:rPr>
          <w:rFonts w:ascii="Arial" w:cs="Arial" w:eastAsia="Arial" w:hAnsi="Arial"/>
          <w:sz w:val="17"/>
          <w:szCs w:val="17"/>
          <w:color w:val="auto"/>
        </w:rPr>
        <w:t>”) for shares of New Common Stock. Each Holder of New Tranche B Senior Unsecured Notes shall be entitled to exchange its pro rata share of the Tranche B Conversion Notes, in accordance with its percentage ownership of the Prepetition Notes (the “</w:t>
      </w:r>
      <w:r>
        <w:rPr>
          <w:rFonts w:ascii="Arial" w:cs="Arial" w:eastAsia="Arial" w:hAnsi="Arial"/>
          <w:sz w:val="17"/>
          <w:szCs w:val="17"/>
          <w:b w:val="1"/>
          <w:bCs w:val="1"/>
          <w:u w:val="single" w:color="auto"/>
          <w:color w:val="auto"/>
        </w:rPr>
        <w:t>Conversion Pro Rata Share</w:t>
      </w:r>
      <w:r>
        <w:rPr>
          <w:rFonts w:ascii="Arial" w:cs="Arial" w:eastAsia="Arial" w:hAnsi="Arial"/>
          <w:sz w:val="17"/>
          <w:szCs w:val="17"/>
          <w:color w:val="auto"/>
        </w:rPr>
        <w:t>”). The number of shares of New Common Stock available to be received in lieu of New Tranche B Senior Unsecured Notes shall be determined by dividing such Holder’s Conversion Pro Rata share of the Tranche B Conversion Notes by the value of a share of New Common Stock as provided in the Disclosure Statement. If any of such Holders do not elect to exchange their full amount of Tranche B Conversion Notes, each of the Holders of the Prepetition Notes that has elected to exchange its full Conversion Pro Rata Share of Tranche B Conversion Notes for shares of New Common Stock (a “</w:t>
      </w:r>
      <w:r>
        <w:rPr>
          <w:rFonts w:ascii="Arial" w:cs="Arial" w:eastAsia="Arial" w:hAnsi="Arial"/>
          <w:sz w:val="17"/>
          <w:szCs w:val="17"/>
          <w:b w:val="1"/>
          <w:bCs w:val="1"/>
          <w:u w:val="single" w:color="auto"/>
          <w:color w:val="auto"/>
        </w:rPr>
        <w:t>Participating Holder</w:t>
      </w:r>
      <w:r>
        <w:rPr>
          <w:rFonts w:ascii="Arial" w:cs="Arial" w:eastAsia="Arial" w:hAnsi="Arial"/>
          <w:sz w:val="17"/>
          <w:szCs w:val="17"/>
          <w:color w:val="auto"/>
        </w:rPr>
        <w:t>”) will be eligible to receive additional shares of New Common Stock in lieu of New Tranche B Senior Unsecured Notes that were not subscribed for by Holders of the Prepetition Notes (the “</w:t>
      </w:r>
      <w:r>
        <w:rPr>
          <w:rFonts w:ascii="Arial" w:cs="Arial" w:eastAsia="Arial" w:hAnsi="Arial"/>
          <w:sz w:val="17"/>
          <w:szCs w:val="17"/>
          <w:b w:val="1"/>
          <w:bCs w:val="1"/>
          <w:u w:val="single" w:color="auto"/>
          <w:color w:val="auto"/>
        </w:rPr>
        <w:t>Overallotment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w:t>
      </w:r>
      <w:r>
        <w:rPr>
          <w:rFonts w:ascii="Arial" w:cs="Arial" w:eastAsia="Arial" w:hAnsi="Arial"/>
          <w:sz w:val="17"/>
          <w:szCs w:val="17"/>
          <w:color w:val="auto"/>
        </w:rPr>
        <w:t>”).</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Holders of the Prepetition Notes will be able to elect to receive New Common Stock in lieu of New Tranche B Senior Unsecured Notes by using the subscription form that will be delivered during the Chapter 11 Cases. The subscription form must be returned to the Voting and Claims Agent on or before the Business Day that is not less than ten (10) Business Days prior to the Effective Date. When such Holders return their subscription forms, they will indicate the maximum principal amount of New Tranche B Senior Unsecured Notes they elect to exchange for shares of New Common Stock, which amount may include their Overallotment Right (such Holder’s, “</w:t>
      </w:r>
      <w:r>
        <w:rPr>
          <w:rFonts w:ascii="Arial" w:cs="Arial" w:eastAsia="Arial" w:hAnsi="Arial"/>
          <w:sz w:val="18"/>
          <w:szCs w:val="18"/>
          <w:b w:val="1"/>
          <w:bCs w:val="1"/>
          <w:u w:val="single" w:color="auto"/>
          <w:color w:val="auto"/>
        </w:rPr>
        <w:t>Election Amount</w:t>
      </w:r>
      <w:r>
        <w:rPr>
          <w:rFonts w:ascii="Arial" w:cs="Arial" w:eastAsia="Arial" w:hAnsi="Arial"/>
          <w:sz w:val="18"/>
          <w:szCs w:val="18"/>
          <w:color w:val="auto"/>
        </w:rPr>
        <w:t>”).</w:t>
      </w:r>
    </w:p>
    <w:p>
      <w:pPr>
        <w:spacing w:after="0" w:line="188"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If such Holders do not elect to receive shares of New Common Stock in exchange for all of the Tranche B Conversion Notes, then Participating Holders shall be allocated any unsubscribed for Tranche B Conversion Notes on a pro rata basis in accordance with the Participating Holder’s Election Amount. Shares of New Common Stock elected to be received in lieu of New Tranche B Senior Unsecured Notes will be issued on the Effective Date together with the other Plan Securities to be issued to the Holders of the Prepetition Notes under Article III of this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8" w:name="page369"/>
    <w:bookmarkEnd w:id="368"/>
    <w:p>
      <w:pPr>
        <w:spacing w:after="0"/>
        <w:tabs>
          <w:tab w:leader="none" w:pos="640" w:val="left"/>
        </w:tabs>
        <w:rPr>
          <w:sz w:val="20"/>
          <w:szCs w:val="20"/>
          <w:color w:val="auto"/>
        </w:rPr>
      </w:pPr>
      <w:r>
        <w:rPr>
          <w:rFonts w:ascii="Arial" w:cs="Arial" w:eastAsia="Arial" w:hAnsi="Arial"/>
          <w:sz w:val="18"/>
          <w:szCs w:val="18"/>
          <w:i w:val="1"/>
          <w:iCs w:val="1"/>
          <w:color w:val="auto"/>
        </w:rPr>
        <w:t>W</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Rights Offering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$1,250,000,000.00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New Tranche A Senior Unsecured Notes on the Effective Date in accordance with this Plan and the Rights Offering Procedures. Pursuant to the Backstop Commitment Agreement, the Backstop Commitment Parties will purchase any New Tranche A Senior Unsecured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Assumption of Executory Contracts and Unexpired Leases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1320" w:hanging="664"/>
        <w:spacing w:after="0"/>
        <w:tabs>
          <w:tab w:leader="none" w:pos="13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right="100" w:firstLine="656"/>
        <w:spacing w:after="0" w:line="259" w:lineRule="auto"/>
        <w:tabs>
          <w:tab w:leader="none" w:pos="133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which Plan Schedule may be amended by the Debtors (with the consent of the Required Consenting Noteholders) to add or remove Executory Contracts and Unexpired Leases by filing with the Bankruptcy Court an amended Plan Schedule and serving it on the affected non-Debtor contract parties at least seven (7) days prior to the Plan Objection Deadline; or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9" w:name="page370"/>
    <w:bookmarkEnd w:id="369"/>
    <w:p>
      <w:pPr>
        <w:ind w:firstLine="648"/>
        <w:spacing w:after="0" w:line="268" w:lineRule="auto"/>
        <w:rPr>
          <w:sz w:val="20"/>
          <w:szCs w:val="20"/>
          <w:color w:val="auto"/>
        </w:rPr>
      </w:pPr>
      <w:r>
        <w:rPr>
          <w:rFonts w:ascii="Arial" w:cs="Arial" w:eastAsia="Arial" w:hAnsi="Arial"/>
          <w:sz w:val="17"/>
          <w:szCs w:val="17"/>
          <w:color w:val="auto"/>
        </w:rPr>
        <w:t>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Article VI.</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Cure of Defaults; Assignment of Executory Contracts and Unexpired Leases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Any defaults under each Executory Contract and Unexpired Lease to be assumed, or assumed and assigned, pursuant to this Plan will be satisfied, pursuant to and to the extent required by section 365(b)(1) of the Bankruptcy Code, by payment of the applicable default amount in Cash on the Effective Date or on such other terms as the Bankruptcy Court may order or the parties to such Executory Contracts or Unexpired Leases may otherwise agree in writing (with the consent of the Required Consenting Noteholders) (the “</w:t>
      </w:r>
      <w:r>
        <w:rPr>
          <w:rFonts w:ascii="Arial" w:cs="Arial" w:eastAsia="Arial" w:hAnsi="Arial"/>
          <w:sz w:val="17"/>
          <w:szCs w:val="17"/>
          <w:b w:val="1"/>
          <w:bCs w:val="1"/>
          <w:u w:val="single" w:color="auto"/>
          <w:color w:val="auto"/>
        </w:rPr>
        <w:t>Cure Claim Amount</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of an assumption, or an assumption and assignment, of an Executory Contract or Unexpired Lease under this Plan, at least twenty-one</w:t>
      </w:r>
    </w:p>
    <w:p>
      <w:pPr>
        <w:spacing w:after="0" w:line="46" w:lineRule="exact"/>
        <w:rPr>
          <w:sz w:val="20"/>
          <w:szCs w:val="20"/>
          <w:color w:val="auto"/>
        </w:rPr>
      </w:pPr>
    </w:p>
    <w:p>
      <w:pPr>
        <w:ind w:right="100" w:firstLine="8"/>
        <w:spacing w:after="0" w:line="254" w:lineRule="auto"/>
        <w:tabs>
          <w:tab w:leader="none" w:pos="345"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days prior to the Plan Objection Deadline (or, in the case of an Executory Contract or Unexpired Lease removed from the Plan Schedule after such date, no later than one (1) Business Day after such removal), the Debtors will File and serve upon counterparties to such Executory Contracts and Unexpired Leases, a notice of the proposed assumption, or proposed assumption and assignment, which will: (a) list the applicable Cure Claim Amount, if any; (b) if applicable, identify the party to which the Executory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0" w:name="page371"/>
    <w:bookmarkEnd w:id="370"/>
    <w:p>
      <w:pPr>
        <w:ind w:right="120"/>
        <w:spacing w:after="0" w:line="277" w:lineRule="auto"/>
        <w:rPr>
          <w:sz w:val="20"/>
          <w:szCs w:val="20"/>
          <w:color w:val="auto"/>
        </w:rPr>
      </w:pPr>
      <w:r>
        <w:rPr>
          <w:rFonts w:ascii="Arial" w:cs="Arial" w:eastAsia="Arial" w:hAnsi="Arial"/>
          <w:sz w:val="18"/>
          <w:szCs w:val="18"/>
          <w:color w:val="auto"/>
        </w:rPr>
        <w:t>Contract or Unexpired Lease will be assigned; (c) describe the procedures for filing objections thereto; and (d) explain the process by which related disputes will be resolved by the Bankruptcy Court.</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objection by a counterparty to an Executory Contract or Unexpired Lease to a proposed assumption, or proposed assumption and assignment under this Plan, or any related cure amount, must be Filed, served and actually received by the Debtors prior to the Plan Objection Deadline (notwithstanding anything in the Schedules or a proof of Claim to the contrary). Any counterparty to an Executory Contract or Unexpired Lease that fails to object timely to the proposed assumption, or proposed assumption and assignment, or cure amount will be deemed to have consented to such matters and will be deemed to have forever released and waived any objection to such proposed assumption, proposed assumption and assignment, and cure amount. The Confirmation Order will constitute an order of the Bankruptcy Court approving each proposed assumption, or proposed assumption and assignment, of Executory Contracts and Unexpired Leases pursuant to sections 365 and 1123 of the Bankruptcy Code as of the Effective Date.</w:t>
      </w:r>
    </w:p>
    <w:p>
      <w:pPr>
        <w:spacing w:after="0" w:line="16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Article VI.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1" w:name="page372"/>
    <w:bookmarkEnd w:id="371"/>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Rejection of Executory Contracts and Unexpired Leases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w:t>
      </w:r>
      <w:r>
        <w:rPr>
          <w:rFonts w:ascii="Arial" w:cs="Arial" w:eastAsia="Arial" w:hAnsi="Arial"/>
          <w:sz w:val="18"/>
          <w:szCs w:val="18"/>
          <w:u w:val="single" w:color="auto"/>
          <w:color w:val="auto"/>
        </w:rPr>
        <w:t>Plan Schedule</w:t>
      </w:r>
      <w:r>
        <w:rPr>
          <w:rFonts w:ascii="Arial" w:cs="Arial" w:eastAsia="Arial" w:hAnsi="Arial"/>
          <w:sz w:val="18"/>
          <w:szCs w:val="18"/>
          <w:color w:val="auto"/>
        </w:rPr>
        <w:t xml:space="preserv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Claims on Account of the Rejection of Executory Contracts or Unexpired Leases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6"/>
          <w:szCs w:val="16"/>
          <w:u w:val="single" w:color="auto"/>
          <w:color w:val="auto"/>
        </w:rPr>
        <w:t>Article X.G</w:t>
      </w:r>
      <w:r>
        <w:rPr>
          <w:rFonts w:ascii="Arial" w:cs="Arial" w:eastAsia="Arial" w:hAnsi="Arial"/>
          <w:sz w:val="16"/>
          <w:szCs w:val="16"/>
          <w:color w:val="auto"/>
        </w:rPr>
        <w:t xml:space="preserve"> hereof.</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D&amp;O Liability Insurance Policies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2" w:name="page373"/>
    <w:bookmarkEnd w:id="372"/>
    <w:p>
      <w:pPr>
        <w:ind w:right="120"/>
        <w:spacing w:after="0" w:line="312" w:lineRule="auto"/>
        <w:rPr>
          <w:sz w:val="20"/>
          <w:szCs w:val="20"/>
          <w:color w:val="auto"/>
        </w:rPr>
      </w:pPr>
      <w:r>
        <w:rPr>
          <w:rFonts w:ascii="Arial" w:cs="Arial" w:eastAsia="Arial" w:hAnsi="Arial"/>
          <w:sz w:val="16"/>
          <w:szCs w:val="16"/>
          <w:color w:val="auto"/>
        </w:rPr>
        <w:t>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Indemnification Provisions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Employment Plans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7"/>
          <w:szCs w:val="17"/>
          <w:b w:val="1"/>
          <w:bCs w:val="1"/>
          <w:u w:val="single" w:color="auto"/>
          <w:color w:val="auto"/>
        </w:rPr>
        <w:t>Employment Plans</w:t>
      </w:r>
      <w:r>
        <w:rPr>
          <w:rFonts w:ascii="Arial" w:cs="Arial" w:eastAsia="Arial" w:hAnsi="Arial"/>
          <w:sz w:val="17"/>
          <w:szCs w:val="17"/>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Insurance Contracts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3" w:name="page374"/>
    <w:bookmarkEnd w:id="373"/>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Extension of Time to Assume or Reject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Modifications, Amendments, Supplements, Restatements, or Other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for Claims Allowed as of the Effective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Postpetition Interest on Claims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4" w:name="page375"/>
    <w:bookmarkEnd w:id="374"/>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Distributions by the Reorganized Debtors or Other Applicable Distribution Agent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Other than as specifically set forth below or as otherwise provided in this Plan, the Reorganized Debtors or other applicable Distribution Agent will make all distributions required to be distributed under this Plan. Distributions on account of the Allowed Prepetition Debt Claims and Allowed DIP Facility Claims will be made to the Prepetition Agents, the Prepetition Notes Indenture Trustee, and the DIP Facility Agent, respectively, and such agent or trustee will be, and will act as, the Distribution Agent with respect to its respective Class of Claims in accordance with the terms and conditions of this Plan and the applicable debt documents. All distributions to Holders of Prepetition Debt Claims and DIP Facility Claims will be deemed completed when made by the Reorganized Debtors to the Prepetition Agents, the Prepetition Notes Indenture Trustee (or as directed by the Prepetition Notes Indenture Trustee), and the DIP Facility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No Distribution Agent will be required to give any bond or surety or other security for the performance of its duties unless otherwise ordered by the Bankruptcy Court. The DIP Agent shall not have any liability to any person with respect to distributions made or directed to be made by the DIP Agent.</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distributions of New Common Stock and New Tranche B Senior Unsecured Notes to be made under this Plan to Holders of Allowed Prepetition Notes Claims shall be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Holders of Allowed Prepetition Notes Claims in accordance with the Prepetition Notes Indenture or as set forth below. Notwithstanding anything to the contrary in this Plan, the Prepetition Notes Indenture Trustee may transfer or direct the transfer of such distributions through the facilities of DTC and, in such event, will be entitled to recognize and deal for all purposes under this Plan with Holders of the Prepetition Notes to the extent consistent with the policies or customary practices of DTC. If such distributions cannot be made through the facilities of DTC, the Debtors or Reorganized Debtors, as applicable, shall implement procedures in consultation with the Prepetition Notes Indenture Trustee to make distributions with respect to the Prepetition Notes. The Debtors or Reorganized Debtors (as applicable) shall use their best efforts to make the New Common Stock and New Tranche B Senior Unsecured Notes to be distributed to Holders of the Prepetition Notes eligible for distribution through the facilities of DTC. The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be deemed fully satisfied upon DTC’s receipt of the distributions with respect to the Prepetition Notes.</w:t>
      </w:r>
    </w:p>
    <w:p>
      <w:pPr>
        <w:spacing w:after="0" w:line="17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5" w:name="page376"/>
    <w:bookmarkEnd w:id="375"/>
    <w:p>
      <w:pPr>
        <w:ind w:left="660" w:hanging="652"/>
        <w:spacing w:after="0"/>
        <w:tabs>
          <w:tab w:leader="none" w:pos="660" w:val="left"/>
        </w:tabs>
        <w:numPr>
          <w:ilvl w:val="0"/>
          <w:numId w:val="482"/>
        </w:numPr>
        <w:rPr>
          <w:rFonts w:ascii="Arial" w:cs="Arial" w:eastAsia="Arial" w:hAnsi="Arial"/>
          <w:sz w:val="18"/>
          <w:szCs w:val="18"/>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sz w:val="20"/>
          <w:szCs w:val="20"/>
          <w:color w:val="auto"/>
        </w:rPr>
      </w:pPr>
    </w:p>
    <w:p>
      <w:pPr>
        <w:ind w:left="1300" w:hanging="644"/>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Distribution Record Date will not apply to the DIP Facility Claims, Prepetition Debt Claims, or any securities of the Debtors deposited with DTC.</w:t>
      </w:r>
    </w:p>
    <w:p>
      <w:pPr>
        <w:spacing w:after="0" w:line="178" w:lineRule="exact"/>
        <w:rPr>
          <w:sz w:val="20"/>
          <w:szCs w:val="20"/>
          <w:color w:val="auto"/>
        </w:rPr>
      </w:pPr>
    </w:p>
    <w:p>
      <w:pPr>
        <w:ind w:left="1300" w:hanging="644"/>
        <w:spacing w:after="0"/>
        <w:tabs>
          <w:tab w:leader="none" w:pos="130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300" w:hanging="644"/>
        <w:spacing w:after="0"/>
        <w:tabs>
          <w:tab w:leader="none" w:pos="130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herein to the contrary, no Distribution Agent will be required to make distributions or payments of less than $100.00 (whether in Cash or otherwise) or to make partial distributions or payments of fractions of dollars, New Senior Unsecured Notes, or New Common Stock, in each case with respect to Impaired Claims or Impaired Equity Interests. With respect to Impaired Claims and Impaired Equity Interests, whenever any payment or distribution of a fraction of a dollar, a fraction of a New Senior Unsecured Note in less than the denominational requirement, or a fraction of a share of New Common Stock under this Plan would otherwise be called for, the actual payment or distribution will reflect a rounding of such fraction down to the nearest whole dollar, or minimum denomination of New Senior Unsecured Note, or share of New Common Stock (and no Cash will be distributed in lieu of such fractional New Common Stock). For the avoidance of doubt, DTC shall be considered a single holder for purposes of distributions.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6" w:name="page377"/>
    <w:bookmarkEnd w:id="376"/>
    <w:p>
      <w:pPr>
        <w:ind w:right="40"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189" w:lineRule="exact"/>
        <w:rPr>
          <w:sz w:val="20"/>
          <w:szCs w:val="20"/>
          <w:color w:val="auto"/>
        </w:rPr>
      </w:pPr>
    </w:p>
    <w:p>
      <w:pPr>
        <w:ind w:left="1960" w:hanging="655"/>
        <w:spacing w:after="0"/>
        <w:tabs>
          <w:tab w:leader="none" w:pos="19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77" w:name="page378"/>
    <w:bookmarkEnd w:id="377"/>
    <w:p>
      <w:pPr>
        <w:ind w:right="20"/>
        <w:spacing w:after="0" w:line="255" w:lineRule="auto"/>
        <w:rPr>
          <w:sz w:val="20"/>
          <w:szCs w:val="20"/>
          <w:color w:val="auto"/>
        </w:rPr>
      </w:pPr>
      <w:r>
        <w:rPr>
          <w:rFonts w:ascii="Arial" w:cs="Arial" w:eastAsia="Arial" w:hAnsi="Arial"/>
          <w:sz w:val="18"/>
          <w:szCs w:val="18"/>
          <w:color w:val="auto"/>
        </w:rPr>
        <w:t>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Compliance with Tax Requirements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Article VII.E will be treated as if distributed to the Holder of the Allowed Claim.</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7"/>
          <w:szCs w:val="17"/>
          <w:i w:val="1"/>
          <w:iCs w:val="1"/>
          <w:color w:val="auto"/>
        </w:rPr>
        <w:t>[Intentionally Omitted]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G</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Means of Cash Payment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Timing and Calculation of Amounts to Be Distributed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Except as otherwise provided in the “Treatment” sections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hereof. Except as otherwise provided herein, Holders of Claims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8" w:name="page379"/>
    <w:bookmarkEnd w:id="378"/>
    <w:p>
      <w:pPr>
        <w:ind w:right="260"/>
        <w:spacing w:after="0" w:line="277" w:lineRule="auto"/>
        <w:rPr>
          <w:sz w:val="20"/>
          <w:szCs w:val="20"/>
          <w:color w:val="auto"/>
        </w:rPr>
      </w:pPr>
      <w:r>
        <w:rPr>
          <w:rFonts w:ascii="Arial" w:cs="Arial" w:eastAsia="Arial" w:hAnsi="Arial"/>
          <w:sz w:val="18"/>
          <w:szCs w:val="18"/>
          <w:color w:val="auto"/>
        </w:rPr>
        <w:t>will not be entitled to interest, dividends or accruals on the distributions provided for herein, regardless of whether such distributions are delivered on or at any time after the Effective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5"/>
          <w:szCs w:val="15"/>
          <w:i w:val="1"/>
          <w:iCs w:val="1"/>
          <w:color w:val="auto"/>
        </w:rPr>
        <w:t>Setoffs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Resolution of Disputed Claims and Equity Interests</w:t>
      </w:r>
    </w:p>
    <w:p>
      <w:pPr>
        <w:spacing w:after="0" w:line="225"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Allowance of Claims and Equity Interests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the Effective Date, and except as otherwise provided in this Plan, the Reorganized Debtors will have and will retain any and all available rights and defenses that the Debtors had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9" w:name="page380"/>
    <w:bookmarkEnd w:id="379"/>
    <w:p>
      <w:pPr>
        <w:ind w:right="40"/>
        <w:spacing w:after="0" w:line="259" w:lineRule="auto"/>
        <w:rPr>
          <w:sz w:val="20"/>
          <w:szCs w:val="20"/>
          <w:color w:val="auto"/>
        </w:rPr>
      </w:pPr>
      <w:r>
        <w:rPr>
          <w:rFonts w:ascii="Arial" w:cs="Arial" w:eastAsia="Arial" w:hAnsi="Arial"/>
          <w:sz w:val="18"/>
          <w:szCs w:val="18"/>
          <w:color w:val="auto"/>
        </w:rPr>
        <w:t>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87" w:lineRule="exact"/>
        <w:rPr>
          <w:sz w:val="20"/>
          <w:szCs w:val="20"/>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166" w:lineRule="exact"/>
        <w:rPr>
          <w:sz w:val="20"/>
          <w:szCs w:val="20"/>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Except as otherwise provided in this Plan, including, without limitation Article VI.G,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and the Reorganized Debtors, as applicable, reserve the right to object to any Claim or Equity Interest that is entitled, or deemed to be entitled, to a distribution under this Plan or is rendered Unimpaired under this Plan. Instead, the Debtors intend to make distributions,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0" w:name="page381"/>
    <w:bookmarkEnd w:id="380"/>
    <w:p>
      <w:pPr>
        <w:spacing w:after="0" w:line="270" w:lineRule="auto"/>
        <w:rPr>
          <w:sz w:val="20"/>
          <w:szCs w:val="20"/>
          <w:color w:val="auto"/>
        </w:rPr>
      </w:pPr>
      <w:r>
        <w:rPr>
          <w:rFonts w:ascii="Arial" w:cs="Arial" w:eastAsia="Arial" w:hAnsi="Arial"/>
          <w:sz w:val="17"/>
          <w:szCs w:val="17"/>
          <w:color w:val="auto"/>
        </w:rPr>
        <w:t xml:space="preserve">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 Noteholders, compromise, settle, withdraw or resolve by any other method approved by the Bankruptcy Court any objections to Claims or Equity Interests.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No Distributions Pending Allowance</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173"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1" w:name="page382"/>
    <w:bookmarkEnd w:id="381"/>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Reserve for Disputed Claims and Disputed Equity Interests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Confirmation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7" w:lineRule="exact"/>
        <w:rPr>
          <w:sz w:val="20"/>
          <w:szCs w:val="20"/>
          <w:color w:val="auto"/>
        </w:rPr>
      </w:pPr>
    </w:p>
    <w:p>
      <w:pPr>
        <w:jc w:val="both"/>
        <w:ind w:right="40" w:firstLine="656"/>
        <w:spacing w:after="0" w:line="279" w:lineRule="auto"/>
        <w:tabs>
          <w:tab w:leader="none" w:pos="1296"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 otherwise consistent with the Restructuring Term Sheet and the Restructuring Support Agreement;</w:t>
      </w:r>
    </w:p>
    <w:p>
      <w:pPr>
        <w:spacing w:after="0" w:line="171" w:lineRule="exact"/>
        <w:rPr>
          <w:rFonts w:ascii="Arial" w:cs="Arial" w:eastAsia="Arial" w:hAnsi="Arial"/>
          <w:sz w:val="17"/>
          <w:szCs w:val="17"/>
          <w:color w:val="auto"/>
        </w:rPr>
      </w:pPr>
    </w:p>
    <w:p>
      <w:pPr>
        <w:jc w:val="both"/>
        <w:ind w:right="160" w:firstLine="656"/>
        <w:spacing w:after="0" w:line="257" w:lineRule="auto"/>
        <w:tabs>
          <w:tab w:leader="none" w:pos="1296"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Facility Documents; and</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Conditions Precedent to Consummation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sz w:val="20"/>
          <w:szCs w:val="20"/>
          <w:color w:val="auto"/>
        </w:rPr>
      </w:pPr>
    </w:p>
    <w:p>
      <w:pPr>
        <w:jc w:val="center"/>
        <w:ind w:left="5620" w:right="840" w:hanging="4964"/>
        <w:spacing w:after="0" w:line="528" w:lineRule="auto"/>
        <w:tabs>
          <w:tab w:leader="none" w:pos="130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Confirmation Order has become a Final Order and such order has not been amended, modified, vacated, stayed, or reversed;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2" w:name="page383"/>
    <w:bookmarkEnd w:id="382"/>
    <w:p>
      <w:pPr>
        <w:ind w:left="-20" w:firstLine="656"/>
        <w:spacing w:after="0" w:line="264"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ind w:left="-20" w:right="80" w:firstLine="656"/>
        <w:spacing w:after="0" w:line="279" w:lineRule="auto"/>
        <w:tabs>
          <w:tab w:leader="none" w:pos="127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Credit Agreement, in form and substance satisfactory or reasonably satisfactory, as applicable, to the DIP Agent and the DIP Required Lenders in the manner set forth in the DIP Facility Documents;</w:t>
      </w:r>
    </w:p>
    <w:p>
      <w:pPr>
        <w:spacing w:after="0" w:line="171" w:lineRule="exact"/>
        <w:rPr>
          <w:rFonts w:ascii="Arial" w:cs="Arial" w:eastAsia="Arial" w:hAnsi="Arial"/>
          <w:sz w:val="17"/>
          <w:szCs w:val="17"/>
          <w:color w:val="auto"/>
        </w:rPr>
      </w:pPr>
    </w:p>
    <w:p>
      <w:pPr>
        <w:ind w:left="-20" w:right="200" w:firstLine="656"/>
        <w:spacing w:after="0" w:line="257"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New Senior Unsecured Notes Indentures,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ind w:left="-20" w:firstLine="656"/>
        <w:spacing w:after="0" w:line="259"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Any documents governing the New Tranche A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New Tranche A Senior Unsecured Notes have been satisfied or waived;</w:t>
      </w:r>
    </w:p>
    <w:p>
      <w:pPr>
        <w:spacing w:after="0" w:line="186" w:lineRule="exact"/>
        <w:rPr>
          <w:rFonts w:ascii="Arial" w:cs="Arial" w:eastAsia="Arial" w:hAnsi="Arial"/>
          <w:sz w:val="18"/>
          <w:szCs w:val="18"/>
          <w:color w:val="auto"/>
        </w:rPr>
      </w:pPr>
    </w:p>
    <w:p>
      <w:pPr>
        <w:ind w:left="-20" w:right="20" w:firstLine="656"/>
        <w:spacing w:after="0" w:line="264"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Any documents governing the New Tranche B Senior Unsecured Notes, which shall be in form and substance acceptable to the Debtors and the Required Consenting Noteholders, have become effective or will become effective concurrently with effectiveness of this Plan and all conditions precedent to issuance of the New Tranche B Senior Unsecured Notes have been satisfied or waived;</w:t>
      </w:r>
    </w:p>
    <w:p>
      <w:pPr>
        <w:spacing w:after="0" w:line="181" w:lineRule="exact"/>
        <w:rPr>
          <w:rFonts w:ascii="Arial" w:cs="Arial" w:eastAsia="Arial" w:hAnsi="Arial"/>
          <w:sz w:val="18"/>
          <w:szCs w:val="18"/>
          <w:color w:val="auto"/>
        </w:rPr>
      </w:pPr>
    </w:p>
    <w:p>
      <w:pPr>
        <w:ind w:left="-20" w:right="740" w:firstLine="656"/>
        <w:spacing w:after="0" w:line="277"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ind w:left="-20" w:right="460" w:firstLine="656"/>
        <w:spacing w:after="0" w:line="277" w:lineRule="auto"/>
        <w:tabs>
          <w:tab w:leader="none" w:pos="127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Debtors have received, or concurrently with the occurrence of the Effective Date will receive, $1,250,000,000 as contemplated in connection with the Backstop Commitment Agreement and the Rights Offering provided to the Prepetition Noteholders;</w:t>
      </w:r>
    </w:p>
    <w:p>
      <w:pPr>
        <w:spacing w:after="0" w:line="170" w:lineRule="exact"/>
        <w:rPr>
          <w:rFonts w:ascii="Arial" w:cs="Arial" w:eastAsia="Arial" w:hAnsi="Arial"/>
          <w:sz w:val="18"/>
          <w:szCs w:val="18"/>
          <w:color w:val="auto"/>
        </w:rPr>
      </w:pPr>
    </w:p>
    <w:p>
      <w:pPr>
        <w:ind w:left="-20" w:right="520" w:firstLine="656"/>
        <w:spacing w:after="0" w:line="308" w:lineRule="auto"/>
        <w:tabs>
          <w:tab w:leader="none" w:pos="1276" w:val="left"/>
        </w:tabs>
        <w:numPr>
          <w:ilvl w:val="0"/>
          <w:numId w:val="495"/>
        </w:numPr>
        <w:rPr>
          <w:rFonts w:ascii="Arial" w:cs="Arial" w:eastAsia="Arial" w:hAnsi="Arial"/>
          <w:sz w:val="17"/>
          <w:szCs w:val="17"/>
          <w:color w:val="auto"/>
        </w:rPr>
      </w:pPr>
      <w:r>
        <w:rPr>
          <w:rFonts w:ascii="Arial" w:cs="Arial" w:eastAsia="Arial" w:hAnsi="Arial"/>
          <w:sz w:val="17"/>
          <w:szCs w:val="17"/>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83" w:name="page384"/>
    <w:bookmarkEnd w:id="383"/>
    <w:p>
      <w:pPr>
        <w:ind w:firstLine="656"/>
        <w:spacing w:after="0" w:line="264" w:lineRule="auto"/>
        <w:tabs>
          <w:tab w:leader="none" w:pos="12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Irish Scheme of Arrangement has been approved by the High Court of Ireland,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81" w:lineRule="exact"/>
        <w:rPr>
          <w:rFonts w:ascii="Arial" w:cs="Arial" w:eastAsia="Arial" w:hAnsi="Arial"/>
          <w:sz w:val="18"/>
          <w:szCs w:val="18"/>
          <w:color w:val="auto"/>
        </w:rPr>
      </w:pPr>
    </w:p>
    <w:p>
      <w:pPr>
        <w:jc w:val="both"/>
        <w:ind w:right="480" w:firstLine="656"/>
        <w:spacing w:after="0" w:line="279" w:lineRule="auto"/>
        <w:tabs>
          <w:tab w:leader="none" w:pos="1285"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by the DIP Credit Agreement, the DIP Agent and the Required Lenders, and has become effective in accordance with its terms or will become effective concurrently with effectiveness of this Plan.</w:t>
      </w:r>
    </w:p>
    <w:p>
      <w:pPr>
        <w:spacing w:after="0" w:line="171" w:lineRule="exact"/>
        <w:rPr>
          <w:rFonts w:ascii="Arial" w:cs="Arial" w:eastAsia="Arial" w:hAnsi="Arial"/>
          <w:sz w:val="17"/>
          <w:szCs w:val="17"/>
          <w:color w:val="auto"/>
        </w:rPr>
      </w:pPr>
    </w:p>
    <w:p>
      <w:pPr>
        <w:ind w:right="160" w:firstLine="656"/>
        <w:spacing w:after="0" w:line="312" w:lineRule="auto"/>
        <w:tabs>
          <w:tab w:leader="none" w:pos="129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46" w:lineRule="exact"/>
        <w:rPr>
          <w:rFonts w:ascii="Arial" w:cs="Arial" w:eastAsia="Arial" w:hAnsi="Arial"/>
          <w:sz w:val="16"/>
          <w:szCs w:val="16"/>
          <w:color w:val="auto"/>
        </w:rPr>
      </w:pPr>
    </w:p>
    <w:p>
      <w:pPr>
        <w:ind w:right="60" w:firstLine="656"/>
        <w:spacing w:after="0" w:line="259" w:lineRule="auto"/>
        <w:tabs>
          <w:tab w:leader="none" w:pos="12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2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520" w:firstLine="656"/>
        <w:spacing w:after="0" w:line="277" w:lineRule="auto"/>
        <w:tabs>
          <w:tab w:leader="none" w:pos="12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right="180" w:firstLine="656"/>
        <w:spacing w:after="0" w:line="277" w:lineRule="auto"/>
        <w:tabs>
          <w:tab w:leader="none" w:pos="129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To the extent invoiced, all Ad Hoc Noteholder Committee Fees and Expenses and Prepetition Notes Indenture Trustee Fees and Expenses have been paid in full in Cash.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Waiver of Conditions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Subject to section 1127 of the Bankruptcy Code, the conditions to Confirmation and Consummation of this Plan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may be waived by the Debtors, with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4" w:name="page385"/>
    <w:bookmarkEnd w:id="384"/>
    <w:p>
      <w:pPr>
        <w:spacing w:after="0" w:line="279" w:lineRule="auto"/>
        <w:rPr>
          <w:sz w:val="20"/>
          <w:szCs w:val="20"/>
          <w:color w:val="auto"/>
        </w:rPr>
      </w:pPr>
      <w:r>
        <w:rPr>
          <w:rFonts w:ascii="Arial" w:cs="Arial" w:eastAsia="Arial" w:hAnsi="Arial"/>
          <w:sz w:val="17"/>
          <w:szCs w:val="17"/>
          <w:color w:val="auto"/>
        </w:rPr>
        <w:t>consent of the Required Consenting Noteholders in the manner set forth in the Restructuring Support Agreement, or, in the case of Article IX.B.15, B.19, and B.9, the Required Consenting Noteholders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Effect of Non-Occurrence of Conditions to Confirmation or Consummation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General</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5" w:name="page386"/>
    <w:bookmarkEnd w:id="385"/>
    <w:p>
      <w:pPr>
        <w:spacing w:after="0"/>
        <w:tabs>
          <w:tab w:leader="none" w:pos="640" w:val="left"/>
        </w:tabs>
        <w:rPr>
          <w:sz w:val="20"/>
          <w:szCs w:val="20"/>
          <w:color w:val="auto"/>
        </w:rPr>
      </w:pPr>
      <w:r>
        <w:rPr>
          <w:rFonts w:ascii="Arial" w:cs="Arial" w:eastAsia="Arial" w:hAnsi="Arial"/>
          <w:sz w:val="18"/>
          <w:szCs w:val="18"/>
          <w:i w:val="1"/>
          <w:i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Release of Claims and Causes of Action</w:t>
      </w:r>
    </w:p>
    <w:p>
      <w:pPr>
        <w:spacing w:after="0" w:line="221" w:lineRule="exact"/>
        <w:rPr>
          <w:sz w:val="20"/>
          <w:szCs w:val="20"/>
          <w:color w:val="auto"/>
        </w:rPr>
      </w:pPr>
    </w:p>
    <w:p>
      <w:pPr>
        <w:ind w:firstLine="656"/>
        <w:spacing w:after="0" w:line="284" w:lineRule="auto"/>
        <w:tabs>
          <w:tab w:leader="none" w:pos="1296" w:val="left"/>
        </w:tabs>
        <w:numPr>
          <w:ilvl w:val="0"/>
          <w:numId w:val="49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except as otherwise expressly provided in this Plan,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 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that the foregoing provisions of this Debtor Release shall not operate to waive or release: (i) any Causes of Action arising from willful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6" w:name="page387"/>
    <w:bookmarkEnd w:id="386"/>
    <w:p>
      <w:pPr>
        <w:spacing w:after="0" w:line="272" w:lineRule="auto"/>
        <w:rPr>
          <w:sz w:val="20"/>
          <w:szCs w:val="20"/>
          <w:color w:val="auto"/>
        </w:rPr>
      </w:pPr>
      <w:r>
        <w:rPr>
          <w:rFonts w:ascii="Arial" w:cs="Arial" w:eastAsia="Arial" w:hAnsi="Arial"/>
          <w:sz w:val="17"/>
          <w:szCs w:val="17"/>
          <w:b w:val="1"/>
          <w:bCs w:val="1"/>
          <w:color w:val="auto"/>
        </w:rPr>
        <w:t xml:space="preserve">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7"/>
          <w:szCs w:val="17"/>
          <w:b w:val="1"/>
          <w:bCs w:val="1"/>
          <w:u w:val="single" w:color="auto"/>
          <w:color w:val="auto"/>
        </w:rPr>
        <w:t>Article X.B</w:t>
      </w:r>
      <w:r>
        <w:rPr>
          <w:rFonts w:ascii="Arial" w:cs="Arial" w:eastAsia="Arial" w:hAnsi="Arial"/>
          <w:sz w:val="17"/>
          <w:szCs w:val="17"/>
          <w:b w:val="1"/>
          <w:bCs w:val="1"/>
          <w:color w:val="auto"/>
        </w:rPr>
        <w:t xml:space="preserve">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ind w:right="20" w:firstLine="656"/>
        <w:spacing w:after="0" w:line="286" w:lineRule="auto"/>
        <w:tabs>
          <w:tab w:leader="none" w:pos="1296" w:val="left"/>
        </w:tabs>
        <w:numPr>
          <w:ilvl w:val="0"/>
          <w:numId w:val="49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7" w:name="page388"/>
    <w:bookmarkEnd w:id="387"/>
    <w:p>
      <w:pPr>
        <w:ind w:right="20"/>
        <w:spacing w:after="0" w:line="287" w:lineRule="auto"/>
        <w:rPr>
          <w:sz w:val="20"/>
          <w:szCs w:val="20"/>
          <w:color w:val="auto"/>
        </w:rPr>
      </w:pPr>
      <w:r>
        <w:rPr>
          <w:rFonts w:ascii="Arial" w:cs="Arial" w:eastAsia="Arial" w:hAnsi="Arial"/>
          <w:sz w:val="16"/>
          <w:szCs w:val="16"/>
          <w:b w:val="1"/>
          <w:bCs w:val="1"/>
          <w:color w:val="auto"/>
        </w:rPr>
        <w:t xml:space="preserve">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(iii)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499"/>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8" w:name="page389"/>
    <w:bookmarkEnd w:id="388"/>
    <w:p>
      <w:pPr>
        <w:ind w:left="660" w:hanging="652"/>
        <w:spacing w:after="0"/>
        <w:tabs>
          <w:tab w:leader="none" w:pos="660" w:val="left"/>
        </w:tabs>
        <w:numPr>
          <w:ilvl w:val="0"/>
          <w:numId w:val="500"/>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501"/>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9" w:name="page390"/>
    <w:bookmarkEnd w:id="389"/>
    <w:p>
      <w:pPr>
        <w:spacing w:after="0" w:line="287" w:lineRule="auto"/>
        <w:rPr>
          <w:sz w:val="20"/>
          <w:szCs w:val="20"/>
          <w:color w:val="auto"/>
        </w:rPr>
      </w:pPr>
      <w:r>
        <w:rPr>
          <w:rFonts w:ascii="Arial" w:cs="Arial" w:eastAsia="Arial" w:hAnsi="Arial"/>
          <w:sz w:val="16"/>
          <w:szCs w:val="16"/>
          <w:color w:val="auto"/>
        </w:rPr>
        <w:t xml:space="preserve">restructuring of the Debtors, the approval of the Disclosure Statement or Confirmation or Consummation of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173" w:lineRule="exact"/>
        <w:rPr>
          <w:sz w:val="20"/>
          <w:szCs w:val="20"/>
          <w:color w:val="auto"/>
        </w:rPr>
      </w:pPr>
    </w:p>
    <w:p>
      <w:pPr>
        <w:ind w:left="640" w:hanging="632"/>
        <w:spacing w:after="0"/>
        <w:tabs>
          <w:tab w:leader="none" w:pos="640" w:val="left"/>
        </w:tabs>
        <w:numPr>
          <w:ilvl w:val="0"/>
          <w:numId w:val="502"/>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sz w:val="20"/>
          <w:szCs w:val="20"/>
          <w:color w:val="auto"/>
        </w:rPr>
      </w:pPr>
    </w:p>
    <w:p>
      <w:pPr>
        <w:ind w:left="980" w:hanging="324"/>
        <w:spacing w:after="0"/>
        <w:tabs>
          <w:tab w:leader="none" w:pos="980" w:val="left"/>
        </w:tabs>
        <w:numPr>
          <w:ilvl w:val="0"/>
          <w:numId w:val="503"/>
        </w:numPr>
        <w:rPr>
          <w:rFonts w:ascii="Arial" w:cs="Arial" w:eastAsia="Arial" w:hAnsi="Arial"/>
          <w:sz w:val="18"/>
          <w:szCs w:val="18"/>
          <w:color w:val="auto"/>
        </w:rPr>
      </w:pP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980" w:hanging="324"/>
        <w:spacing w:after="0"/>
        <w:tabs>
          <w:tab w:leader="none" w:pos="98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0" w:name="page391"/>
    <w:bookmarkEnd w:id="390"/>
    <w:p>
      <w:pPr>
        <w:ind w:right="160"/>
        <w:spacing w:after="0" w:line="259" w:lineRule="auto"/>
        <w:rPr>
          <w:sz w:val="20"/>
          <w:szCs w:val="20"/>
          <w:color w:val="auto"/>
        </w:rPr>
      </w:pP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and Exculpation contained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187" w:lineRule="exact"/>
        <w:rPr>
          <w:sz w:val="20"/>
          <w:szCs w:val="20"/>
          <w:color w:val="auto"/>
        </w:rPr>
      </w:pPr>
    </w:p>
    <w:p>
      <w:pPr>
        <w:ind w:left="660" w:hanging="652"/>
        <w:spacing w:after="0"/>
        <w:tabs>
          <w:tab w:leader="none" w:pos="660" w:val="left"/>
        </w:tabs>
        <w:numPr>
          <w:ilvl w:val="0"/>
          <w:numId w:val="505"/>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EXCEPT AS OTHERWISE EXPRESSLY PROVIDED IN THIS PLAN OR THE CONFIRMATION ORDER,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w:t>
      </w:r>
    </w:p>
    <w:p>
      <w:pPr>
        <w:ind w:firstLine="8"/>
        <w:spacing w:after="0" w:line="252" w:lineRule="auto"/>
        <w:tabs>
          <w:tab w:leader="none" w:pos="295"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192" w:lineRule="exact"/>
        <w:rPr>
          <w:sz w:val="20"/>
          <w:szCs w:val="20"/>
          <w:color w:val="auto"/>
        </w:rPr>
      </w:pPr>
    </w:p>
    <w:p>
      <w:pPr>
        <w:ind w:left="660" w:hanging="652"/>
        <w:spacing w:after="0"/>
        <w:tabs>
          <w:tab w:leader="none" w:pos="660" w:val="left"/>
        </w:tabs>
        <w:numPr>
          <w:ilvl w:val="0"/>
          <w:numId w:val="507"/>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1" w:name="page392"/>
    <w:bookmarkEnd w:id="391"/>
    <w:p>
      <w:pPr>
        <w:ind w:right="80"/>
        <w:spacing w:after="0" w:line="282" w:lineRule="auto"/>
        <w:rPr>
          <w:sz w:val="20"/>
          <w:szCs w:val="20"/>
          <w:color w:val="auto"/>
        </w:rPr>
      </w:pPr>
      <w:r>
        <w:rPr>
          <w:rFonts w:ascii="Arial" w:cs="Arial" w:eastAsia="Arial" w:hAnsi="Arial"/>
          <w:sz w:val="18"/>
          <w:szCs w:val="18"/>
          <w:b w:val="1"/>
          <w:bCs w:val="1"/>
          <w:color w:val="auto"/>
        </w:rPr>
        <w:t>ACCEPT OR REJECT THIS PLAN, AFFIRMATIVELY VOTED TO REJECT THIS PLAN OR IS CONCLUSIVELY PRESUMED TO REJECT THIS PLAN.</w:t>
      </w:r>
    </w:p>
    <w:p>
      <w:pPr>
        <w:spacing w:after="0" w:line="166" w:lineRule="exact"/>
        <w:rPr>
          <w:sz w:val="20"/>
          <w:szCs w:val="20"/>
          <w:color w:val="auto"/>
        </w:rPr>
      </w:pPr>
    </w:p>
    <w:p>
      <w:pPr>
        <w:ind w:left="660" w:hanging="652"/>
        <w:spacing w:after="0"/>
        <w:tabs>
          <w:tab w:leader="none" w:pos="660" w:val="left"/>
        </w:tabs>
        <w:numPr>
          <w:ilvl w:val="0"/>
          <w:numId w:val="508"/>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right="60"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509"/>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ind w:right="200" w:firstLine="656"/>
        <w:spacing w:after="0" w:line="264"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ind w:right="20" w:firstLine="656"/>
        <w:spacing w:after="0" w:line="259" w:lineRule="auto"/>
        <w:tabs>
          <w:tab w:leader="none" w:pos="972"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ind w:right="180" w:firstLine="656"/>
        <w:spacing w:after="0" w:line="308" w:lineRule="auto"/>
        <w:tabs>
          <w:tab w:leader="none" w:pos="972" w:val="left"/>
        </w:tabs>
        <w:numPr>
          <w:ilvl w:val="0"/>
          <w:numId w:val="510"/>
        </w:numPr>
        <w:rPr>
          <w:rFonts w:ascii="Arial" w:cs="Arial" w:eastAsia="Arial" w:hAnsi="Arial"/>
          <w:sz w:val="17"/>
          <w:szCs w:val="17"/>
          <w:color w:val="auto"/>
        </w:rPr>
      </w:pPr>
      <w:r>
        <w:rPr>
          <w:rFonts w:ascii="Arial" w:cs="Arial" w:eastAsia="Arial" w:hAnsi="Arial"/>
          <w:sz w:val="17"/>
          <w:szCs w:val="17"/>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2" w:name="page393"/>
    <w:bookmarkEnd w:id="392"/>
    <w:p>
      <w:pPr>
        <w:ind w:right="260"/>
        <w:spacing w:after="0" w:line="277" w:lineRule="auto"/>
        <w:rPr>
          <w:sz w:val="20"/>
          <w:szCs w:val="20"/>
          <w:color w:val="auto"/>
        </w:rPr>
      </w:pPr>
      <w:r>
        <w:rPr>
          <w:rFonts w:ascii="Arial" w:cs="Arial" w:eastAsia="Arial" w:hAnsi="Arial"/>
          <w:sz w:val="18"/>
          <w:szCs w:val="18"/>
          <w:color w:val="auto"/>
        </w:rPr>
        <w:t>the Effective Date to add Executory Contracts or Unexpired Leases to the list of Executory Contracts and Unexpired Leases to be assumed or rejected (as applicable);</w:t>
      </w:r>
    </w:p>
    <w:p>
      <w:pPr>
        <w:spacing w:after="0" w:line="170" w:lineRule="exact"/>
        <w:rPr>
          <w:sz w:val="20"/>
          <w:szCs w:val="20"/>
          <w:color w:val="auto"/>
        </w:rPr>
      </w:pPr>
    </w:p>
    <w:p>
      <w:pPr>
        <w:ind w:left="980" w:hanging="324"/>
        <w:spacing w:after="0"/>
        <w:tabs>
          <w:tab w:leader="none" w:pos="9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1"/>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72"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right="20" w:firstLine="656"/>
        <w:spacing w:after="0" w:line="342" w:lineRule="auto"/>
        <w:tabs>
          <w:tab w:leader="none" w:pos="97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right="240" w:firstLine="656"/>
        <w:spacing w:after="0" w:line="277" w:lineRule="auto"/>
        <w:tabs>
          <w:tab w:leader="none" w:pos="972"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right="140" w:firstLine="656"/>
        <w:spacing w:after="0" w:line="277" w:lineRule="auto"/>
        <w:tabs>
          <w:tab w:leader="none" w:pos="96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ind w:right="580" w:firstLine="656"/>
        <w:spacing w:after="0" w:line="264" w:lineRule="auto"/>
        <w:tabs>
          <w:tab w:leader="none" w:pos="96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180" w:firstLine="656"/>
        <w:spacing w:after="0" w:line="277" w:lineRule="auto"/>
        <w:tabs>
          <w:tab w:leader="none" w:pos="96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420" w:firstLine="656"/>
        <w:spacing w:after="0" w:line="277" w:lineRule="auto"/>
        <w:tabs>
          <w:tab w:leader="none" w:pos="968" w:val="left"/>
        </w:tabs>
        <w:numPr>
          <w:ilvl w:val="0"/>
          <w:numId w:val="511"/>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3" w:name="page394"/>
    <w:bookmarkEnd w:id="393"/>
    <w:p>
      <w:pPr>
        <w:ind w:left="660"/>
        <w:spacing w:after="0"/>
        <w:rPr>
          <w:sz w:val="20"/>
          <w:szCs w:val="20"/>
          <w:color w:val="auto"/>
        </w:rPr>
      </w:pPr>
      <w:r>
        <w:rPr>
          <w:rFonts w:ascii="Arial" w:cs="Arial" w:eastAsia="Arial" w:hAnsi="Arial"/>
          <w:sz w:val="18"/>
          <w:szCs w:val="18"/>
          <w:color w:val="auto"/>
        </w:rPr>
        <w:t>16. enter an order concluding or closing the Chapter 11 Cases.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Notwithstanding the foregoing, (i) any dispute arising under or in connection with the Exit Loan Facility or the New Senior Unsecured Notes Indentures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512"/>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512"/>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513"/>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the Effective Date, the current and former members of the Committee, if any,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limited purpose of pursuing claims and final fee applications filed pursuant to sections 330 and 331 of the Bankruptcy Code. Following the completion of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4" w:name="page395"/>
    <w:bookmarkEnd w:id="394"/>
    <w:p>
      <w:pPr>
        <w:ind w:right="320"/>
        <w:spacing w:after="0" w:line="277" w:lineRule="auto"/>
        <w:rPr>
          <w:sz w:val="20"/>
          <w:szCs w:val="20"/>
          <w:color w:val="auto"/>
        </w:rPr>
      </w:pPr>
      <w:r>
        <w:rPr>
          <w:rFonts w:ascii="Arial" w:cs="Arial" w:eastAsia="Arial" w:hAnsi="Arial"/>
          <w:sz w:val="18"/>
          <w:szCs w:val="18"/>
          <w:color w:val="auto"/>
        </w:rPr>
        <w:t>Committee’s remaining duties set forth above, the Committee will be dissolved, and the retention or employment of the Committee’s respective attorneys, accountants and other agents will terminate without further notice to, or action by, any Entity.</w:t>
      </w:r>
    </w:p>
    <w:p>
      <w:pPr>
        <w:spacing w:after="0" w:line="170" w:lineRule="exact"/>
        <w:rPr>
          <w:sz w:val="20"/>
          <w:szCs w:val="20"/>
          <w:color w:val="auto"/>
        </w:rPr>
      </w:pPr>
    </w:p>
    <w:p>
      <w:pPr>
        <w:ind w:left="660" w:hanging="652"/>
        <w:spacing w:after="0"/>
        <w:tabs>
          <w:tab w:leader="none" w:pos="660" w:val="left"/>
        </w:tabs>
        <w:numPr>
          <w:ilvl w:val="0"/>
          <w:numId w:val="514"/>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1127(a) of the Bankruptcy Code;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Facility Documents, in accordance with section 1127(b) of the Bankruptcy Code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85" w:lineRule="exact"/>
        <w:rPr>
          <w:sz w:val="20"/>
          <w:szCs w:val="20"/>
          <w:color w:val="auto"/>
        </w:rPr>
      </w:pPr>
    </w:p>
    <w:p>
      <w:pPr>
        <w:ind w:left="640" w:hanging="632"/>
        <w:spacing w:after="0"/>
        <w:tabs>
          <w:tab w:leader="none" w:pos="640" w:val="left"/>
        </w:tabs>
        <w:numPr>
          <w:ilvl w:val="0"/>
          <w:numId w:val="516"/>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5" w:name="page396"/>
    <w:bookmarkEnd w:id="395"/>
    <w:p>
      <w:pPr>
        <w:ind w:right="140"/>
        <w:spacing w:after="0" w:line="259" w:lineRule="auto"/>
        <w:rPr>
          <w:sz w:val="20"/>
          <w:szCs w:val="20"/>
          <w:color w:val="auto"/>
        </w:rPr>
      </w:pPr>
      <w:r>
        <w:rPr>
          <w:rFonts w:ascii="Arial" w:cs="Arial" w:eastAsia="Arial" w:hAnsi="Arial"/>
          <w:sz w:val="18"/>
          <w:szCs w:val="18"/>
          <w:color w:val="auto"/>
        </w:rPr>
        <w:t>hereto will be deemed null and void except as may be set forth in a separate order entered by the Bankruptcy Court; and (3) nothing contained in this Plan will: (a) 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187" w:lineRule="exact"/>
        <w:rPr>
          <w:sz w:val="20"/>
          <w:szCs w:val="20"/>
          <w:color w:val="auto"/>
        </w:rPr>
      </w:pPr>
    </w:p>
    <w:p>
      <w:pPr>
        <w:ind w:left="660" w:hanging="652"/>
        <w:spacing w:after="0"/>
        <w:tabs>
          <w:tab w:leader="none" w:pos="660" w:val="left"/>
        </w:tabs>
        <w:numPr>
          <w:ilvl w:val="0"/>
          <w:numId w:val="517"/>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518"/>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54" w:lineRule="exact"/>
        <w:rPr>
          <w:sz w:val="20"/>
          <w:szCs w:val="20"/>
          <w:color w:val="auto"/>
        </w:rPr>
      </w:pPr>
    </w:p>
    <w:p>
      <w:pPr>
        <w:ind w:left="660" w:hanging="652"/>
        <w:spacing w:after="0"/>
        <w:tabs>
          <w:tab w:leader="none" w:pos="660" w:val="left"/>
        </w:tabs>
        <w:numPr>
          <w:ilvl w:val="0"/>
          <w:numId w:val="519"/>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520"/>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6" w:name="page397"/>
    <w:bookmarkEnd w:id="396"/>
    <w:p>
      <w:pPr>
        <w:ind w:left="660" w:hanging="652"/>
        <w:spacing w:after="0"/>
        <w:tabs>
          <w:tab w:leader="none" w:pos="660" w:val="left"/>
        </w:tabs>
        <w:numPr>
          <w:ilvl w:val="0"/>
          <w:numId w:val="521"/>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kdoorley@akingump.com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397" w:name="page398"/>
    <w:bookmarkEnd w:id="397"/>
    <w:p>
      <w:pPr>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522"/>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523"/>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 construed and enforced in accordance with, the laws of New York, without giving effect to the principles of conflicts of law of such jurisdiction.</w:t>
      </w:r>
    </w:p>
    <w:p>
      <w:pPr>
        <w:spacing w:after="0" w:line="166" w:lineRule="exact"/>
        <w:rPr>
          <w:sz w:val="20"/>
          <w:szCs w:val="20"/>
          <w:color w:val="auto"/>
        </w:rPr>
      </w:pPr>
    </w:p>
    <w:p>
      <w:pPr>
        <w:ind w:left="660" w:hanging="652"/>
        <w:spacing w:after="0"/>
        <w:tabs>
          <w:tab w:leader="none" w:pos="660" w:val="left"/>
        </w:tabs>
        <w:numPr>
          <w:ilvl w:val="0"/>
          <w:numId w:val="524"/>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24" w:lineRule="exact"/>
        <w:rPr>
          <w:sz w:val="20"/>
          <w:szCs w:val="20"/>
          <w:color w:val="auto"/>
        </w:rPr>
      </w:pPr>
    </w:p>
    <w:p>
      <w:pPr>
        <w:ind w:left="660" w:hanging="652"/>
        <w:spacing w:after="0"/>
        <w:tabs>
          <w:tab w:leader="none" w:pos="660" w:val="left"/>
        </w:tabs>
        <w:numPr>
          <w:ilvl w:val="0"/>
          <w:numId w:val="525"/>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8" w:name="page399"/>
    <w:bookmarkEnd w:id="398"/>
    <w:p>
      <w:pPr>
        <w:ind w:left="640" w:hanging="632"/>
        <w:spacing w:after="0"/>
        <w:tabs>
          <w:tab w:leader="none" w:pos="640" w:val="left"/>
        </w:tabs>
        <w:numPr>
          <w:ilvl w:val="0"/>
          <w:numId w:val="526"/>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527"/>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528"/>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529"/>
        </w:numPr>
        <w:rPr>
          <w:rFonts w:ascii="Arial" w:cs="Arial" w:eastAsia="Arial" w:hAnsi="Arial"/>
          <w:sz w:val="18"/>
          <w:szCs w:val="18"/>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color w:val="auto"/>
        </w:rPr>
        <w:t>Dated: June 28, 2019</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WEATHERFORD INTERNATIONAL PLC AND ITS AFFILIATE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 Bausch</w:t>
            </w:r>
          </w:p>
        </w:tc>
        <w:tc>
          <w:tcPr>
            <w:tcW w:w="40" w:type="dxa"/>
            <w:vAlign w:val="bottom"/>
          </w:tcPr>
          <w:p>
            <w:pPr>
              <w:spacing w:after="0"/>
              <w:rPr>
                <w:sz w:val="20"/>
                <w:szCs w:val="20"/>
                <w:color w:val="auto"/>
              </w:rPr>
            </w:pPr>
          </w:p>
        </w:tc>
      </w:tr>
      <w:tr>
        <w:trPr>
          <w:trHeight w:val="210"/>
        </w:trPr>
        <w:tc>
          <w:tcPr>
            <w:tcW w:w="6360" w:type="dxa"/>
            <w:vAlign w:val="bottom"/>
          </w:tcPr>
          <w:p>
            <w:pPr>
              <w:ind w:left="5720"/>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18"/>
                <w:szCs w:val="18"/>
                <w:color w:val="auto"/>
              </w:rPr>
            </w:pPr>
          </w:p>
        </w:tc>
      </w:tr>
      <w:tr>
        <w:trPr>
          <w:trHeight w:val="426"/>
        </w:trPr>
        <w:tc>
          <w:tcPr>
            <w:tcW w:w="636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6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BF9DA8"/>
    <w:multiLevelType w:val="hybridMultilevel"/>
    <w:lvl w:ilvl="0">
      <w:lvlJc w:val="left"/>
      <w:lvlText w:val="*"/>
      <w:numFmt w:val="bullet"/>
      <w:start w:val="1"/>
    </w:lvl>
  </w:abstractNum>
  <w:abstractNum w:abstractNumId="1">
    <w:nsid w:val="21A2ECCA"/>
    <w:multiLevelType w:val="hybridMultilevel"/>
    <w:lvl w:ilvl="0">
      <w:lvlJc w:val="left"/>
      <w:lvlText w:val="**"/>
      <w:numFmt w:val="bullet"/>
      <w:start w:val="1"/>
    </w:lvl>
  </w:abstractNum>
  <w:abstractNum w:abstractNumId="2">
    <w:nsid w:val="4D5C4899"/>
    <w:multiLevelType w:val="hybridMultilevel"/>
    <w:lvl w:ilvl="0">
      <w:lvlJc w:val="left"/>
      <w:lvlText w:val="(%1)"/>
      <w:numFmt w:val="lowerRoman"/>
      <w:start w:val="1"/>
    </w:lvl>
  </w:abstractNum>
  <w:abstractNum w:abstractNumId="3">
    <w:nsid w:val="3C3B72B2"/>
    <w:multiLevelType w:val="hybridMultilevel"/>
    <w:lvl w:ilvl="0">
      <w:lvlJc w:val="left"/>
      <w:lvlText w:val="*"/>
      <w:numFmt w:val="bullet"/>
      <w:start w:val="1"/>
    </w:lvl>
  </w:abstractNum>
  <w:abstractNum w:abstractNumId="4">
    <w:nsid w:val="155EC4C2"/>
    <w:multiLevelType w:val="hybridMultilevel"/>
    <w:lvl w:ilvl="0">
      <w:lvlJc w:val="left"/>
      <w:lvlText w:val="**"/>
      <w:numFmt w:val="bullet"/>
      <w:start w:val="1"/>
    </w:lvl>
  </w:abstractNum>
  <w:abstractNum w:abstractNumId="5">
    <w:nsid w:val="65D2A137"/>
    <w:multiLevelType w:val="hybridMultilevel"/>
    <w:lvl w:ilvl="0">
      <w:lvlJc w:val="left"/>
      <w:lvlText w:val="***"/>
      <w:numFmt w:val="bullet"/>
      <w:start w:val="1"/>
    </w:lvl>
  </w:abstractNum>
  <w:abstractNum w:abstractNumId="6">
    <w:nsid w:val="6EBB1F2A"/>
    <w:multiLevelType w:val="hybridMultilevel"/>
    <w:lvl w:ilvl="0">
      <w:lvlJc w:val="left"/>
      <w:lvlText w:val="(%1)"/>
      <w:numFmt w:val="decimal"/>
      <w:start w:val="1"/>
    </w:lvl>
  </w:abstractNum>
  <w:abstractNum w:abstractNumId="7">
    <w:nsid w:val="6FBF29CB"/>
    <w:multiLevelType w:val="hybridMultilevel"/>
    <w:lvl w:ilvl="0">
      <w:lvlJc w:val="left"/>
      <w:lvlText w:val="·"/>
      <w:numFmt w:val="bullet"/>
      <w:start w:val="1"/>
    </w:lvl>
  </w:abstractNum>
  <w:abstractNum w:abstractNumId="8">
    <w:nsid w:val="550B8808"/>
    <w:multiLevelType w:val="hybridMultilevel"/>
    <w:lvl w:ilvl="0">
      <w:lvlJc w:val="left"/>
      <w:lvlText w:val="(%1)"/>
      <w:numFmt w:val="decimal"/>
      <w:start w:val="2"/>
    </w:lvl>
  </w:abstractNum>
  <w:abstractNum w:abstractNumId="9">
    <w:nsid w:val="34CC3ACF"/>
    <w:multiLevelType w:val="hybridMultilevel"/>
    <w:lvl w:ilvl="0">
      <w:lvlJc w:val="left"/>
      <w:lvlText w:val="·"/>
      <w:numFmt w:val="bullet"/>
      <w:start w:val="1"/>
    </w:lvl>
  </w:abstractNum>
  <w:abstractNum w:abstractNumId="10">
    <w:nsid w:val="4E556261"/>
    <w:multiLevelType w:val="hybridMultilevel"/>
    <w:lvl w:ilvl="0">
      <w:lvlJc w:val="left"/>
      <w:lvlText w:val="%1"/>
      <w:numFmt w:val="upperLetter"/>
      <w:start w:val="1"/>
    </w:lvl>
    <w:lvl w:ilvl="1">
      <w:lvlJc w:val="left"/>
      <w:lvlText w:val="·"/>
      <w:numFmt w:val="bullet"/>
      <w:start w:val="1"/>
    </w:lvl>
  </w:abstractNum>
  <w:abstractNum w:abstractNumId="11">
    <w:nsid w:val="4C672FC9"/>
    <w:multiLevelType w:val="hybridMultilevel"/>
    <w:lvl w:ilvl="0">
      <w:lvlJc w:val="left"/>
      <w:lvlText w:val="%1."/>
      <w:numFmt w:val="decimal"/>
      <w:start w:val="1"/>
    </w:lvl>
  </w:abstractNum>
  <w:abstractNum w:abstractNumId="12">
    <w:nsid w:val="52A311C3"/>
    <w:multiLevelType w:val="hybridMultilevel"/>
    <w:lvl w:ilvl="0">
      <w:lvlJc w:val="left"/>
      <w:lvlText w:val="%1."/>
      <w:numFmt w:val="decimal"/>
      <w:start w:val="2"/>
    </w:lvl>
  </w:abstractNum>
  <w:abstractNum w:abstractNumId="13">
    <w:nsid w:val="44EF6B80"/>
    <w:multiLevelType w:val="hybridMultilevel"/>
    <w:lvl w:ilvl="0">
      <w:lvlJc w:val="left"/>
      <w:lvlText w:val="·"/>
      <w:numFmt w:val="bullet"/>
      <w:start w:val="1"/>
    </w:lvl>
  </w:abstractNum>
  <w:abstractNum w:abstractNumId="14">
    <w:nsid w:val="12FCDE5E"/>
    <w:multiLevelType w:val="hybridMultilevel"/>
    <w:lvl w:ilvl="0">
      <w:lvlJc w:val="left"/>
      <w:lvlText w:val="·"/>
      <w:numFmt w:val="bullet"/>
      <w:start w:val="1"/>
    </w:lvl>
  </w:abstractNum>
  <w:abstractNum w:abstractNumId="15">
    <w:nsid w:val="4A1D606E"/>
    <w:multiLevelType w:val="hybridMultilevel"/>
    <w:lvl w:ilvl="0">
      <w:lvlJc w:val="left"/>
      <w:lvlText w:val="%1."/>
      <w:numFmt w:val="decimal"/>
      <w:start w:val="3"/>
    </w:lvl>
  </w:abstractNum>
  <w:abstractNum w:abstractNumId="16">
    <w:nsid w:val="4382503"/>
    <w:multiLevelType w:val="hybridMultilevel"/>
    <w:lvl w:ilvl="0">
      <w:lvlJc w:val="left"/>
      <w:lvlText w:val="%1."/>
      <w:numFmt w:val="upperLetter"/>
      <w:start w:val="2"/>
    </w:lvl>
  </w:abstractNum>
  <w:abstractNum w:abstractNumId="17">
    <w:nsid w:val="59B76E28"/>
    <w:multiLevelType w:val="hybridMultilevel"/>
    <w:lvl w:ilvl="0">
      <w:lvlJc w:val="left"/>
      <w:lvlText w:val="%1."/>
      <w:numFmt w:val="upperLetter"/>
      <w:start w:val="1"/>
    </w:lvl>
  </w:abstractNum>
  <w:abstractNum w:abstractNumId="18">
    <w:nsid w:val="4252C2DA"/>
    <w:multiLevelType w:val="hybridMultilevel"/>
    <w:lvl w:ilvl="0">
      <w:lvlJc w:val="left"/>
      <w:lvlText w:val="%1."/>
      <w:numFmt w:val="upperLetter"/>
      <w:start w:val="2"/>
    </w:lvl>
  </w:abstractNum>
  <w:abstractNum w:abstractNumId="19">
    <w:nsid w:val="6A92EF4C"/>
    <w:multiLevelType w:val="hybridMultilevel"/>
    <w:lvl w:ilvl="0">
      <w:lvlJc w:val="left"/>
      <w:lvlText w:val="%1."/>
      <w:numFmt w:val="decimal"/>
      <w:start w:val="1"/>
    </w:lvl>
  </w:abstractNum>
  <w:abstractNum w:abstractNumId="20">
    <w:nsid w:val="41ED20D7"/>
    <w:multiLevelType w:val="hybridMultilevel"/>
    <w:lvl w:ilvl="0">
      <w:lvlJc w:val="left"/>
      <w:lvlText w:val="(%1)"/>
      <w:numFmt w:val="lowerLetter"/>
      <w:start w:val="1"/>
    </w:lvl>
  </w:abstractNum>
  <w:abstractNum w:abstractNumId="21">
    <w:nsid w:val="E6B3F6A"/>
    <w:multiLevelType w:val="hybridMultilevel"/>
    <w:lvl w:ilvl="0">
      <w:lvlJc w:val="left"/>
      <w:lvlText w:val="(%1)"/>
      <w:numFmt w:val="lowerLetter"/>
      <w:start w:val="2"/>
    </w:lvl>
  </w:abstractNum>
  <w:abstractNum w:abstractNumId="22">
    <w:nsid w:val="3EB21819"/>
    <w:multiLevelType w:val="hybridMultilevel"/>
    <w:lvl w:ilvl="0">
      <w:lvlJc w:val="left"/>
      <w:lvlText w:val="(%1)"/>
      <w:numFmt w:val="lowerLetter"/>
      <w:start w:val="3"/>
    </w:lvl>
  </w:abstractNum>
  <w:abstractNum w:abstractNumId="23">
    <w:nsid w:val="41531DED"/>
    <w:multiLevelType w:val="hybridMultilevel"/>
    <w:lvl w:ilvl="0">
      <w:lvlJc w:val="left"/>
      <w:lvlText w:val="(%1)"/>
      <w:numFmt w:val="lowerLetter"/>
      <w:start w:val="4"/>
    </w:lvl>
  </w:abstractNum>
  <w:abstractNum w:abstractNumId="24">
    <w:nsid w:val="6353CD2"/>
    <w:multiLevelType w:val="hybridMultilevel"/>
    <w:lvl w:ilvl="0">
      <w:lvlJc w:val="left"/>
      <w:lvlText w:val="%1."/>
      <w:numFmt w:val="decimal"/>
      <w:start w:val="2"/>
    </w:lvl>
  </w:abstractNum>
  <w:abstractNum w:abstractNumId="25">
    <w:nsid w:val="683CAAD3"/>
    <w:multiLevelType w:val="hybridMultilevel"/>
    <w:lvl w:ilvl="0">
      <w:lvlJc w:val="left"/>
      <w:lvlText w:val="%1."/>
      <w:numFmt w:val="decimal"/>
      <w:start w:val="3"/>
    </w:lvl>
  </w:abstractNum>
  <w:abstractNum w:abstractNumId="26">
    <w:nsid w:val="313C7C99"/>
    <w:multiLevelType w:val="hybridMultilevel"/>
    <w:lvl w:ilvl="0">
      <w:lvlJc w:val="left"/>
      <w:lvlText w:val="%1."/>
      <w:numFmt w:val="decimal"/>
      <w:start w:val="4"/>
    </w:lvl>
  </w:abstractNum>
  <w:abstractNum w:abstractNumId="27">
    <w:nsid w:val="519EB94C"/>
    <w:multiLevelType w:val="hybridMultilevel"/>
    <w:lvl w:ilvl="0">
      <w:lvlJc w:val="left"/>
      <w:lvlText w:val="%1."/>
      <w:numFmt w:val="upperLetter"/>
      <w:start w:val="3"/>
    </w:lvl>
  </w:abstractNum>
  <w:abstractNum w:abstractNumId="28">
    <w:nsid w:val="39DF2579"/>
    <w:multiLevelType w:val="hybridMultilevel"/>
    <w:lvl w:ilvl="0">
      <w:lvlJc w:val="left"/>
      <w:lvlText w:val="%1."/>
      <w:numFmt w:val="decimal"/>
      <w:start w:val="1"/>
    </w:lvl>
  </w:abstractNum>
  <w:abstractNum w:abstractNumId="29">
    <w:nsid w:val="126E008B"/>
    <w:multiLevelType w:val="hybridMultilevel"/>
    <w:lvl w:ilvl="0">
      <w:lvlJc w:val="left"/>
      <w:lvlText w:val="%1."/>
      <w:numFmt w:val="decimal"/>
      <w:start w:val="2"/>
    </w:lvl>
  </w:abstractNum>
  <w:abstractNum w:abstractNumId="30">
    <w:nsid w:val="34DFBC00"/>
    <w:multiLevelType w:val="hybridMultilevel"/>
    <w:lvl w:ilvl="0">
      <w:lvlJc w:val="left"/>
      <w:lvlText w:val="%1."/>
      <w:numFmt w:val="decimal"/>
      <w:start w:val="3"/>
    </w:lvl>
  </w:abstractNum>
  <w:abstractNum w:abstractNumId="31">
    <w:nsid w:val="1F9EC322"/>
    <w:multiLevelType w:val="hybridMultilevel"/>
    <w:lvl w:ilvl="0">
      <w:lvlJc w:val="left"/>
      <w:lvlText w:val="%1."/>
      <w:numFmt w:val="decimal"/>
      <w:start w:val="4"/>
    </w:lvl>
  </w:abstractNum>
  <w:abstractNum w:abstractNumId="32">
    <w:nsid w:val="3410ED56"/>
    <w:multiLevelType w:val="hybridMultilevel"/>
    <w:lvl w:ilvl="0">
      <w:lvlJc w:val="left"/>
      <w:lvlText w:val="%1."/>
      <w:numFmt w:val="decimal"/>
      <w:start w:val="5"/>
    </w:lvl>
  </w:abstractNum>
  <w:abstractNum w:abstractNumId="33">
    <w:nsid w:val="23C049A"/>
    <w:multiLevelType w:val="hybridMultilevel"/>
    <w:lvl w:ilvl="0">
      <w:lvlJc w:val="left"/>
      <w:lvlText w:val="%1."/>
      <w:numFmt w:val="decimal"/>
      <w:start w:val="6"/>
    </w:lvl>
  </w:abstractNum>
  <w:abstractNum w:abstractNumId="34">
    <w:nsid w:val="5BDA35D4"/>
    <w:multiLevelType w:val="hybridMultilevel"/>
    <w:lvl w:ilvl="0">
      <w:lvlJc w:val="left"/>
      <w:lvlText w:val="%1."/>
      <w:numFmt w:val="decimal"/>
      <w:start w:val="7"/>
    </w:lvl>
  </w:abstractNum>
  <w:abstractNum w:abstractNumId="35">
    <w:nsid w:val="496FB218"/>
    <w:multiLevelType w:val="hybridMultilevel"/>
    <w:lvl w:ilvl="0">
      <w:lvlJc w:val="left"/>
      <w:lvlText w:val="%1."/>
      <w:numFmt w:val="upperLetter"/>
      <w:start w:val="4"/>
    </w:lvl>
    <w:lvl w:ilvl="1">
      <w:lvlJc w:val="left"/>
      <w:lvlText w:val="%2."/>
      <w:numFmt w:val="decimal"/>
      <w:start w:val="1"/>
    </w:lvl>
  </w:abstractNum>
  <w:abstractNum w:abstractNumId="36">
    <w:nsid w:val="680EA5D1"/>
    <w:multiLevelType w:val="hybridMultilevel"/>
    <w:lvl w:ilvl="0">
      <w:lvlJc w:val="left"/>
      <w:lvlText w:val="%1."/>
      <w:numFmt w:val="decimal"/>
      <w:start w:val="2"/>
    </w:lvl>
  </w:abstractNum>
  <w:abstractNum w:abstractNumId="37">
    <w:nsid w:val="4A9554FE"/>
    <w:multiLevelType w:val="hybridMultilevel"/>
    <w:lvl w:ilvl="0">
      <w:lvlJc w:val="left"/>
      <w:lvlText w:val="(%1)"/>
      <w:numFmt w:val="lowerLetter"/>
      <w:start w:val="1"/>
    </w:lvl>
  </w:abstractNum>
  <w:abstractNum w:abstractNumId="38">
    <w:nsid w:val="392EDBE4"/>
    <w:multiLevelType w:val="hybridMultilevel"/>
    <w:lvl w:ilvl="0">
      <w:lvlJc w:val="left"/>
      <w:lvlText w:val="(%1)"/>
      <w:numFmt w:val="lowerLetter"/>
      <w:start w:val="2"/>
    </w:lvl>
  </w:abstractNum>
  <w:abstractNum w:abstractNumId="39">
    <w:nsid w:val="3D1A2DD9"/>
    <w:multiLevelType w:val="hybridMultilevel"/>
    <w:lvl w:ilvl="0">
      <w:lvlJc w:val="left"/>
      <w:lvlText w:val="%1."/>
      <w:numFmt w:val="decimal"/>
      <w:start w:val="3"/>
    </w:lvl>
  </w:abstractNum>
  <w:abstractNum w:abstractNumId="40">
    <w:nsid w:val="7F618FCD"/>
    <w:multiLevelType w:val="hybridMultilevel"/>
    <w:lvl w:ilvl="0">
      <w:lvlJc w:val="left"/>
      <w:lvlText w:val="%1."/>
      <w:numFmt w:val="decimal"/>
      <w:start w:val="4"/>
    </w:lvl>
  </w:abstractNum>
  <w:abstractNum w:abstractNumId="41">
    <w:nsid w:val="7843E45"/>
    <w:multiLevelType w:val="hybridMultilevel"/>
    <w:lvl w:ilvl="0">
      <w:lvlJc w:val="left"/>
      <w:lvlText w:val="%1."/>
      <w:numFmt w:val="decimal"/>
      <w:start w:val="5"/>
    </w:lvl>
  </w:abstractNum>
  <w:abstractNum w:abstractNumId="42">
    <w:nsid w:val="9815DA3"/>
    <w:multiLevelType w:val="hybridMultilevel"/>
    <w:lvl w:ilvl="0">
      <w:lvlJc w:val="left"/>
      <w:lvlText w:val="(%1)"/>
      <w:numFmt w:val="decimal"/>
      <w:start w:val="2"/>
    </w:lvl>
    <w:lvl w:ilvl="1">
      <w:lvlJc w:val="left"/>
      <w:lvlText w:val="·"/>
      <w:numFmt w:val="bullet"/>
      <w:start w:val="1"/>
    </w:lvl>
  </w:abstractNum>
  <w:abstractNum w:abstractNumId="43">
    <w:nsid w:val="5204A191"/>
    <w:multiLevelType w:val="hybridMultilevel"/>
    <w:lvl w:ilvl="0">
      <w:lvlJc w:val="left"/>
      <w:lvlText w:val="·"/>
      <w:numFmt w:val="bullet"/>
      <w:start w:val="1"/>
    </w:lvl>
  </w:abstractNum>
  <w:abstractNum w:abstractNumId="44">
    <w:nsid w:val="4C73A9C6"/>
    <w:multiLevelType w:val="hybridMultilevel"/>
    <w:lvl w:ilvl="0">
      <w:lvlJc w:val="left"/>
      <w:lvlText w:val="(%1)"/>
      <w:numFmt w:val="decimal"/>
      <w:start w:val="4"/>
    </w:lvl>
  </w:abstractNum>
  <w:abstractNum w:abstractNumId="45">
    <w:nsid w:val="1C7E3C01"/>
    <w:multiLevelType w:val="hybridMultilevel"/>
    <w:lvl w:ilvl="0">
      <w:lvlJc w:val="left"/>
      <w:lvlText w:val="%1."/>
      <w:numFmt w:val="decimal"/>
      <w:start w:val="6"/>
    </w:lvl>
  </w:abstractNum>
  <w:abstractNum w:abstractNumId="46">
    <w:nsid w:val="1C2201FF"/>
    <w:multiLevelType w:val="hybridMultilevel"/>
    <w:lvl w:ilvl="0">
      <w:lvlJc w:val="left"/>
      <w:lvlText w:val="%1."/>
      <w:numFmt w:val="decimal"/>
      <w:start w:val="7"/>
    </w:lvl>
  </w:abstractNum>
  <w:abstractNum w:abstractNumId="47">
    <w:nsid w:val="50ABCEC9"/>
    <w:multiLevelType w:val="hybridMultilevel"/>
    <w:lvl w:ilvl="0">
      <w:lvlJc w:val="left"/>
      <w:lvlText w:val="%1."/>
      <w:numFmt w:val="decimal"/>
      <w:start w:val="8"/>
    </w:lvl>
  </w:abstractNum>
  <w:abstractNum w:abstractNumId="48">
    <w:nsid w:val="7635AA2A"/>
    <w:multiLevelType w:val="hybridMultilevel"/>
    <w:lvl w:ilvl="0">
      <w:lvlJc w:val="left"/>
      <w:lvlText w:val="%1."/>
      <w:numFmt w:val="upperLetter"/>
      <w:start w:val="1"/>
    </w:lvl>
  </w:abstractNum>
  <w:abstractNum w:abstractNumId="49">
    <w:nsid w:val="5E74C4D9"/>
    <w:multiLevelType w:val="hybridMultilevel"/>
    <w:lvl w:ilvl="0">
      <w:lvlJc w:val="left"/>
      <w:lvlText w:val="%1."/>
      <w:numFmt w:val="decimal"/>
      <w:start w:val="1"/>
    </w:lvl>
  </w:abstractNum>
  <w:abstractNum w:abstractNumId="50">
    <w:nsid w:val="3B3EBE15"/>
    <w:multiLevelType w:val="hybridMultilevel"/>
    <w:lvl w:ilvl="0">
      <w:lvlJc w:val="left"/>
      <w:lvlText w:val="(%1)"/>
      <w:numFmt w:val="lowerLetter"/>
      <w:start w:val="1"/>
    </w:lvl>
  </w:abstractNum>
  <w:abstractNum w:abstractNumId="51">
    <w:nsid w:val="3822CB01"/>
    <w:multiLevelType w:val="hybridMultilevel"/>
    <w:lvl w:ilvl="0">
      <w:lvlJc w:val="left"/>
      <w:lvlText w:val="·"/>
      <w:numFmt w:val="bullet"/>
      <w:start w:val="1"/>
    </w:lvl>
    <w:lvl w:ilvl="1">
      <w:lvlJc w:val="left"/>
      <w:lvlText w:val="(%2)"/>
      <w:numFmt w:val="lowerLetter"/>
      <w:start w:val="2"/>
    </w:lvl>
  </w:abstractNum>
  <w:abstractNum w:abstractNumId="52">
    <w:nsid w:val="6CE00443"/>
    <w:multiLevelType w:val="hybridMultilevel"/>
    <w:lvl w:ilvl="0">
      <w:lvlJc w:val="left"/>
      <w:lvlText w:val="(%1)"/>
      <w:numFmt w:val="lowerLetter"/>
      <w:start w:val="3"/>
    </w:lvl>
  </w:abstractNum>
  <w:abstractNum w:abstractNumId="53">
    <w:nsid w:val="79F0D62F"/>
    <w:multiLevelType w:val="hybridMultilevel"/>
    <w:lvl w:ilvl="0">
      <w:lvlJc w:val="left"/>
      <w:lvlText w:val="%1."/>
      <w:numFmt w:val="decimal"/>
      <w:start w:val="2"/>
    </w:lvl>
  </w:abstractNum>
  <w:abstractNum w:abstractNumId="54">
    <w:nsid w:val="7975E8EE"/>
    <w:multiLevelType w:val="hybridMultilevel"/>
    <w:lvl w:ilvl="0">
      <w:lvlJc w:val="left"/>
      <w:lvlText w:val="%1."/>
      <w:numFmt w:val="decimal"/>
      <w:start w:val="3"/>
    </w:lvl>
  </w:abstractNum>
  <w:abstractNum w:abstractNumId="55">
    <w:nsid w:val="73154115"/>
    <w:multiLevelType w:val="hybridMultilevel"/>
    <w:lvl w:ilvl="0">
      <w:lvlJc w:val="left"/>
      <w:lvlText w:val="%1."/>
      <w:numFmt w:val="decimal"/>
      <w:start w:val="4"/>
    </w:lvl>
  </w:abstractNum>
  <w:abstractNum w:abstractNumId="56">
    <w:nsid w:val="622D8102"/>
    <w:multiLevelType w:val="hybridMultilevel"/>
    <w:lvl w:ilvl="0">
      <w:lvlJc w:val="left"/>
      <w:lvlText w:val="%1."/>
      <w:numFmt w:val="decimal"/>
      <w:start w:val="5"/>
    </w:lvl>
  </w:abstractNum>
  <w:abstractNum w:abstractNumId="57">
    <w:nsid w:val="2AB26587"/>
    <w:multiLevelType w:val="hybridMultilevel"/>
    <w:lvl w:ilvl="0">
      <w:lvlJc w:val="left"/>
      <w:lvlText w:val="·"/>
      <w:numFmt w:val="bullet"/>
      <w:start w:val="1"/>
    </w:lvl>
  </w:abstractNum>
  <w:abstractNum w:abstractNumId="58">
    <w:nsid w:val="44B3FA61"/>
    <w:multiLevelType w:val="hybridMultilevel"/>
    <w:lvl w:ilvl="0">
      <w:lvlJc w:val="left"/>
      <w:lvlText w:val="·"/>
      <w:numFmt w:val="bullet"/>
      <w:start w:val="1"/>
    </w:lvl>
  </w:abstractNum>
  <w:abstractNum w:abstractNumId="59">
    <w:nsid w:val="1C0CA67C"/>
    <w:multiLevelType w:val="hybridMultilevel"/>
    <w:lvl w:ilvl="0">
      <w:lvlJc w:val="left"/>
      <w:lvlText w:val="%1."/>
      <w:numFmt w:val="decimal"/>
      <w:start w:val="6"/>
    </w:lvl>
  </w:abstractNum>
  <w:abstractNum w:abstractNumId="60">
    <w:nsid w:val="3D206613"/>
    <w:multiLevelType w:val="hybridMultilevel"/>
    <w:lvl w:ilvl="0">
      <w:lvlJc w:val="left"/>
      <w:lvlText w:val="%1."/>
      <w:numFmt w:val="decimal"/>
      <w:start w:val="7"/>
    </w:lvl>
  </w:abstractNum>
  <w:abstractNum w:abstractNumId="61">
    <w:nsid w:val="7993B662"/>
    <w:multiLevelType w:val="hybridMultilevel"/>
    <w:lvl w:ilvl="0">
      <w:lvlJc w:val="left"/>
      <w:lvlText w:val="%1."/>
      <w:numFmt w:val="decimal"/>
      <w:start w:val="8"/>
    </w:lvl>
  </w:abstractNum>
  <w:abstractNum w:abstractNumId="62">
    <w:nsid w:val="3BAB699E"/>
    <w:multiLevelType w:val="hybridMultilevel"/>
    <w:lvl w:ilvl="0">
      <w:lvlJc w:val="left"/>
      <w:lvlText w:val="%1."/>
      <w:numFmt w:val="upperLetter"/>
      <w:start w:val="2"/>
    </w:lvl>
  </w:abstractNum>
  <w:abstractNum w:abstractNumId="63">
    <w:nsid w:val="71315369"/>
    <w:multiLevelType w:val="hybridMultilevel"/>
    <w:lvl w:ilvl="0">
      <w:lvlJc w:val="left"/>
      <w:lvlText w:val="%1."/>
      <w:numFmt w:val="upperLetter"/>
      <w:start w:val="3"/>
    </w:lvl>
  </w:abstractNum>
  <w:abstractNum w:abstractNumId="64">
    <w:nsid w:val="7BCFBAFC"/>
    <w:multiLevelType w:val="hybridMultilevel"/>
    <w:lvl w:ilvl="0">
      <w:lvlJc w:val="left"/>
      <w:lvlText w:val="%1."/>
      <w:numFmt w:val="decimal"/>
      <w:start w:val="1"/>
    </w:lvl>
  </w:abstractNum>
  <w:abstractNum w:abstractNumId="65">
    <w:nsid w:val="17859F72"/>
    <w:multiLevelType w:val="hybridMultilevel"/>
    <w:lvl w:ilvl="0">
      <w:lvlJc w:val="left"/>
      <w:lvlText w:val="%1."/>
      <w:numFmt w:val="decimal"/>
      <w:start w:val="2"/>
    </w:lvl>
  </w:abstractNum>
  <w:abstractNum w:abstractNumId="66">
    <w:nsid w:val="3AA10581"/>
    <w:multiLevelType w:val="hybridMultilevel"/>
    <w:lvl w:ilvl="0">
      <w:lvlJc w:val="left"/>
      <w:lvlText w:val="%1."/>
      <w:numFmt w:val="decimal"/>
      <w:start w:val="3"/>
    </w:lvl>
  </w:abstractNum>
  <w:abstractNum w:abstractNumId="67">
    <w:nsid w:val="63DE60CD"/>
    <w:multiLevelType w:val="hybridMultilevel"/>
    <w:lvl w:ilvl="0">
      <w:lvlJc w:val="left"/>
      <w:lvlText w:val="%1."/>
      <w:numFmt w:val="decimal"/>
      <w:start w:val="4"/>
    </w:lvl>
  </w:abstractNum>
  <w:abstractNum w:abstractNumId="68">
    <w:nsid w:val="621AF471"/>
    <w:multiLevelType w:val="hybridMultilevel"/>
    <w:lvl w:ilvl="0">
      <w:lvlJc w:val="left"/>
      <w:lvlText w:val="%1."/>
      <w:numFmt w:val="upperLetter"/>
      <w:start w:val="4"/>
    </w:lvl>
  </w:abstractNum>
  <w:abstractNum w:abstractNumId="69">
    <w:nsid w:val="73CFE165"/>
    <w:multiLevelType w:val="hybridMultilevel"/>
    <w:lvl w:ilvl="0">
      <w:lvlJc w:val="left"/>
      <w:lvlText w:val="%1."/>
      <w:numFmt w:val="upperLetter"/>
      <w:start w:val="1"/>
    </w:lvl>
  </w:abstractNum>
  <w:abstractNum w:abstractNumId="70">
    <w:nsid w:val="20F88EA6"/>
    <w:multiLevelType w:val="hybridMultilevel"/>
    <w:lvl w:ilvl="0">
      <w:lvlJc w:val="left"/>
      <w:lvlText w:val="%1."/>
      <w:numFmt w:val="upperLetter"/>
      <w:start w:val="2"/>
    </w:lvl>
  </w:abstractNum>
  <w:abstractNum w:abstractNumId="71">
    <w:nsid w:val="617C843E"/>
    <w:multiLevelType w:val="hybridMultilevel"/>
    <w:lvl w:ilvl="0">
      <w:lvlJc w:val="left"/>
      <w:lvlText w:val="%1."/>
      <w:numFmt w:val="decimal"/>
      <w:start w:val="1"/>
    </w:lvl>
  </w:abstractNum>
  <w:abstractNum w:abstractNumId="72">
    <w:nsid w:val="7B541FAB"/>
    <w:multiLevelType w:val="hybridMultilevel"/>
    <w:lvl w:ilvl="0">
      <w:lvlJc w:val="left"/>
      <w:lvlText w:val="(%1)"/>
      <w:numFmt w:val="lowerLetter"/>
      <w:start w:val="1"/>
    </w:lvl>
  </w:abstractNum>
  <w:abstractNum w:abstractNumId="73">
    <w:nsid w:val="2A79EC49"/>
    <w:multiLevelType w:val="hybridMultilevel"/>
    <w:lvl w:ilvl="0">
      <w:lvlJc w:val="left"/>
      <w:lvlText w:val="%1."/>
      <w:numFmt w:val="decimal"/>
      <w:start w:val="2"/>
    </w:lvl>
  </w:abstractNum>
  <w:abstractNum w:abstractNumId="74">
    <w:nsid w:val="338125CF"/>
    <w:multiLevelType w:val="hybridMultilevel"/>
    <w:lvl w:ilvl="0">
      <w:lvlJc w:val="left"/>
      <w:lvlText w:val="%1."/>
      <w:numFmt w:val="decimal"/>
      <w:start w:val="3"/>
    </w:lvl>
  </w:abstractNum>
  <w:abstractNum w:abstractNumId="75">
    <w:nsid w:val="47C7C971"/>
    <w:multiLevelType w:val="hybridMultilevel"/>
    <w:lvl w:ilvl="0">
      <w:lvlJc w:val="left"/>
      <w:lvlText w:val="%1."/>
      <w:numFmt w:val="upperLetter"/>
      <w:start w:val="3"/>
    </w:lvl>
    <w:lvl w:ilvl="1">
      <w:lvlJc w:val="left"/>
      <w:lvlText w:val="%2."/>
      <w:numFmt w:val="decimal"/>
      <w:start w:val="1"/>
    </w:lvl>
  </w:abstractNum>
  <w:abstractNum w:abstractNumId="76">
    <w:nsid w:val="46F8284B"/>
    <w:multiLevelType w:val="hybridMultilevel"/>
    <w:lvl w:ilvl="0">
      <w:lvlJc w:val="left"/>
      <w:lvlText w:val="(%1)"/>
      <w:numFmt w:val="decimal"/>
      <w:start w:val="5"/>
    </w:lvl>
  </w:abstractNum>
  <w:abstractNum w:abstractNumId="77">
    <w:nsid w:val="4FA327CE"/>
    <w:multiLevelType w:val="hybridMultilevel"/>
    <w:lvl w:ilvl="0">
      <w:lvlJc w:val="left"/>
      <w:lvlText w:val="%1."/>
      <w:numFmt w:val="decimal"/>
      <w:start w:val="2"/>
    </w:lvl>
  </w:abstractNum>
  <w:abstractNum w:abstractNumId="78">
    <w:nsid w:val="1873983A"/>
    <w:multiLevelType w:val="hybridMultilevel"/>
    <w:lvl w:ilvl="0">
      <w:lvlJc w:val="left"/>
      <w:lvlText w:val="(%1)"/>
      <w:numFmt w:val="lowerLetter"/>
      <w:start w:val="1"/>
    </w:lvl>
  </w:abstractNum>
  <w:abstractNum w:abstractNumId="79">
    <w:nsid w:val="3D2DD275"/>
    <w:multiLevelType w:val="hybridMultilevel"/>
    <w:lvl w:ilvl="0">
      <w:lvlJc w:val="left"/>
      <w:lvlText w:val="·"/>
      <w:numFmt w:val="bullet"/>
      <w:start w:val="1"/>
    </w:lvl>
  </w:abstractNum>
  <w:abstractNum w:abstractNumId="80">
    <w:nsid w:val="2E17ECA7"/>
    <w:multiLevelType w:val="hybridMultilevel"/>
    <w:lvl w:ilvl="0">
      <w:lvlJc w:val="left"/>
      <w:lvlText w:val="(%1)"/>
      <w:numFmt w:val="lowerLetter"/>
      <w:start w:val="2"/>
    </w:lvl>
  </w:abstractNum>
  <w:abstractNum w:abstractNumId="81">
    <w:nsid w:val="53B2564F"/>
    <w:multiLevelType w:val="hybridMultilevel"/>
    <w:lvl w:ilvl="0">
      <w:lvlJc w:val="left"/>
      <w:lvlText w:val="·"/>
      <w:numFmt w:val="bullet"/>
      <w:start w:val="1"/>
    </w:lvl>
  </w:abstractNum>
  <w:abstractNum w:abstractNumId="82">
    <w:nsid w:val="75509D76"/>
    <w:multiLevelType w:val="hybridMultilevel"/>
    <w:lvl w:ilvl="0">
      <w:lvlJc w:val="left"/>
      <w:lvlText w:val="·"/>
      <w:numFmt w:val="bullet"/>
      <w:start w:val="1"/>
    </w:lvl>
  </w:abstractNum>
  <w:abstractNum w:abstractNumId="83">
    <w:nsid w:val="1AF7F0EA"/>
    <w:multiLevelType w:val="hybridMultilevel"/>
    <w:lvl w:ilvl="0">
      <w:lvlJc w:val="left"/>
      <w:lvlText w:val="(%1)"/>
      <w:numFmt w:val="lowerLetter"/>
      <w:start w:val="3"/>
    </w:lvl>
  </w:abstractNum>
  <w:abstractNum w:abstractNumId="84">
    <w:nsid w:val="4DA32C7E"/>
    <w:multiLevelType w:val="hybridMultilevel"/>
    <w:lvl w:ilvl="0">
      <w:lvlJc w:val="left"/>
      <w:lvlText w:val="·"/>
      <w:numFmt w:val="bullet"/>
      <w:start w:val="1"/>
    </w:lvl>
  </w:abstractNum>
  <w:abstractNum w:abstractNumId="85">
    <w:nsid w:val="6EC68664"/>
    <w:multiLevelType w:val="hybridMultilevel"/>
    <w:lvl w:ilvl="0">
      <w:lvlJc w:val="left"/>
      <w:lvlText w:val="·"/>
      <w:numFmt w:val="bullet"/>
      <w:start w:val="1"/>
    </w:lvl>
  </w:abstractNum>
  <w:abstractNum w:abstractNumId="86">
    <w:nsid w:val="E0D31FF"/>
    <w:multiLevelType w:val="hybridMultilevel"/>
    <w:lvl w:ilvl="0">
      <w:lvlJc w:val="left"/>
      <w:lvlText w:val="(%1)"/>
      <w:numFmt w:val="lowerLetter"/>
      <w:start w:val="4"/>
    </w:lvl>
  </w:abstractNum>
  <w:abstractNum w:abstractNumId="87">
    <w:nsid w:val="2FD0AD81"/>
    <w:multiLevelType w:val="hybridMultilevel"/>
    <w:lvl w:ilvl="0">
      <w:lvlJc w:val="left"/>
      <w:lvlText w:val="·"/>
      <w:numFmt w:val="bullet"/>
      <w:start w:val="1"/>
    </w:lvl>
  </w:abstractNum>
  <w:abstractNum w:abstractNumId="88">
    <w:nsid w:val="1978EBEB"/>
    <w:multiLevelType w:val="hybridMultilevel"/>
    <w:lvl w:ilvl="0">
      <w:lvlJc w:val="left"/>
      <w:lvlText w:val="(%1)"/>
      <w:numFmt w:val="lowerLetter"/>
      <w:start w:val="5"/>
    </w:lvl>
  </w:abstractNum>
  <w:abstractNum w:abstractNumId="89">
    <w:nsid w:val="52C12C61"/>
    <w:multiLevelType w:val="hybridMultilevel"/>
    <w:lvl w:ilvl="0">
      <w:lvlJc w:val="left"/>
      <w:lvlText w:val="·"/>
      <w:numFmt w:val="bullet"/>
      <w:start w:val="1"/>
    </w:lvl>
  </w:abstractNum>
  <w:abstractNum w:abstractNumId="90">
    <w:nsid w:val="4BDD53FD"/>
    <w:multiLevelType w:val="hybridMultilevel"/>
    <w:lvl w:ilvl="0">
      <w:lvlJc w:val="left"/>
      <w:lvlText w:val="·"/>
      <w:numFmt w:val="bullet"/>
      <w:start w:val="1"/>
    </w:lvl>
  </w:abstractNum>
  <w:abstractNum w:abstractNumId="91">
    <w:nsid w:val="569951FE"/>
    <w:multiLevelType w:val="hybridMultilevel"/>
    <w:lvl w:ilvl="0">
      <w:lvlJc w:val="left"/>
      <w:lvlText w:val="(%1)"/>
      <w:numFmt w:val="lowerLetter"/>
      <w:start w:val="6"/>
    </w:lvl>
  </w:abstractNum>
  <w:abstractNum w:abstractNumId="92">
    <w:nsid w:val="4C54E2C3"/>
    <w:multiLevelType w:val="hybridMultilevel"/>
    <w:lvl w:ilvl="0">
      <w:lvlJc w:val="left"/>
      <w:lvlText w:val="·"/>
      <w:numFmt w:val="bullet"/>
      <w:start w:val="1"/>
    </w:lvl>
  </w:abstractNum>
  <w:abstractNum w:abstractNumId="93">
    <w:nsid w:val="788BD9B"/>
    <w:multiLevelType w:val="hybridMultilevel"/>
    <w:lvl w:ilvl="0">
      <w:lvlJc w:val="left"/>
      <w:lvlText w:val="(%1)"/>
      <w:numFmt w:val="lowerLetter"/>
      <w:start w:val="7"/>
    </w:lvl>
  </w:abstractNum>
  <w:abstractNum w:abstractNumId="94">
    <w:nsid w:val="47CAA567"/>
    <w:multiLevelType w:val="hybridMultilevel"/>
    <w:lvl w:ilvl="0">
      <w:lvlJc w:val="left"/>
      <w:lvlText w:val="·"/>
      <w:numFmt w:val="bullet"/>
      <w:start w:val="1"/>
    </w:lvl>
    <w:lvl w:ilvl="1">
      <w:lvlJc w:val="left"/>
      <w:lvlText w:val="·"/>
      <w:numFmt w:val="bullet"/>
      <w:start w:val="1"/>
    </w:lvl>
  </w:abstractNum>
  <w:abstractNum w:abstractNumId="95">
    <w:nsid w:val="48249DBF"/>
    <w:multiLevelType w:val="hybridMultilevel"/>
    <w:lvl w:ilvl="0">
      <w:lvlJc w:val="left"/>
      <w:lvlText w:val="·"/>
      <w:numFmt w:val="bullet"/>
      <w:start w:val="1"/>
    </w:lvl>
    <w:lvl w:ilvl="1">
      <w:lvlJc w:val="left"/>
      <w:lvlText w:val="·"/>
      <w:numFmt w:val="bullet"/>
      <w:start w:val="1"/>
    </w:lvl>
  </w:abstractNum>
  <w:abstractNum w:abstractNumId="96">
    <w:nsid w:val="1F0E5D0D"/>
    <w:multiLevelType w:val="hybridMultilevel"/>
    <w:lvl w:ilvl="0">
      <w:lvlJc w:val="left"/>
      <w:lvlText w:val="·"/>
      <w:numFmt w:val="bullet"/>
      <w:start w:val="1"/>
    </w:lvl>
  </w:abstractNum>
  <w:abstractNum w:abstractNumId="97">
    <w:nsid w:val="26BAAE9"/>
    <w:multiLevelType w:val="hybridMultilevel"/>
    <w:lvl w:ilvl="0">
      <w:lvlJc w:val="left"/>
      <w:lvlText w:val="(%1)"/>
      <w:numFmt w:val="lowerLetter"/>
      <w:start w:val="8"/>
    </w:lvl>
  </w:abstractNum>
  <w:abstractNum w:abstractNumId="98">
    <w:nsid w:val="2C02FE8C"/>
    <w:multiLevelType w:val="hybridMultilevel"/>
    <w:lvl w:ilvl="0">
      <w:lvlJc w:val="left"/>
      <w:lvlText w:val="·"/>
      <w:numFmt w:val="bullet"/>
      <w:start w:val="1"/>
    </w:lvl>
  </w:abstractNum>
  <w:abstractNum w:abstractNumId="99">
    <w:nsid w:val="129517E"/>
    <w:multiLevelType w:val="hybridMultilevel"/>
    <w:lvl w:ilvl="0">
      <w:lvlJc w:val="left"/>
      <w:lvlText w:val="(%1)"/>
      <w:numFmt w:val="lowerRoman"/>
      <w:start w:val="1"/>
    </w:lvl>
  </w:abstractNum>
  <w:abstractNum w:abstractNumId="100">
    <w:nsid w:val="763B8C4E"/>
    <w:multiLevelType w:val="hybridMultilevel"/>
    <w:lvl w:ilvl="0">
      <w:lvlJc w:val="left"/>
      <w:lvlText w:val="·"/>
      <w:numFmt w:val="bullet"/>
      <w:start w:val="1"/>
    </w:lvl>
  </w:abstractNum>
  <w:abstractNum w:abstractNumId="101">
    <w:nsid w:val="4CFB8D32"/>
    <w:multiLevelType w:val="hybridMultilevel"/>
    <w:lvl w:ilvl="0">
      <w:lvlJc w:val="left"/>
      <w:lvlText w:val="(%1)"/>
      <w:numFmt w:val="lowerLetter"/>
      <w:start w:val="10"/>
    </w:lvl>
  </w:abstractNum>
  <w:abstractNum w:abstractNumId="102">
    <w:nsid w:val="62A5D5BD"/>
    <w:multiLevelType w:val="hybridMultilevel"/>
    <w:lvl w:ilvl="0">
      <w:lvlJc w:val="left"/>
      <w:lvlText w:val="(%1)"/>
      <w:numFmt w:val="decimal"/>
      <w:start w:val="5"/>
    </w:lvl>
    <w:lvl w:ilvl="1">
      <w:lvlJc w:val="left"/>
      <w:lvlText w:val="·"/>
      <w:numFmt w:val="bullet"/>
      <w:start w:val="1"/>
    </w:lvl>
  </w:abstractNum>
  <w:abstractNum w:abstractNumId="103">
    <w:nsid w:val="718FABF9"/>
    <w:multiLevelType w:val="hybridMultilevel"/>
    <w:lvl w:ilvl="0">
      <w:lvlJc w:val="left"/>
      <w:lvlText w:val="·"/>
      <w:numFmt w:val="bullet"/>
      <w:start w:val="1"/>
    </w:lvl>
  </w:abstractNum>
  <w:abstractNum w:abstractNumId="104">
    <w:nsid w:val="7775797C"/>
    <w:multiLevelType w:val="hybridMultilevel"/>
    <w:lvl w:ilvl="0">
      <w:lvlJc w:val="left"/>
      <w:lvlText w:val="(%1)"/>
      <w:numFmt w:val="lowerLetter"/>
      <w:start w:val="11"/>
    </w:lvl>
  </w:abstractNum>
  <w:abstractNum w:abstractNumId="105">
    <w:nsid w:val="1626FB8C"/>
    <w:multiLevelType w:val="hybridMultilevel"/>
    <w:lvl w:ilvl="0">
      <w:lvlJc w:val="left"/>
      <w:lvlText w:val="·"/>
      <w:numFmt w:val="bullet"/>
      <w:start w:val="1"/>
    </w:lvl>
  </w:abstractNum>
  <w:abstractNum w:abstractNumId="106">
    <w:nsid w:val="3957756A"/>
    <w:multiLevelType w:val="hybridMultilevel"/>
    <w:lvl w:ilvl="0">
      <w:lvlJc w:val="left"/>
      <w:lvlText w:val="(%1)"/>
      <w:numFmt w:val="lowerLetter"/>
      <w:start w:val="12"/>
    </w:lvl>
  </w:abstractNum>
  <w:abstractNum w:abstractNumId="107">
    <w:nsid w:val="3E6DA1C7"/>
    <w:multiLevelType w:val="hybridMultilevel"/>
    <w:lvl w:ilvl="0">
      <w:lvlJc w:val="left"/>
      <w:lvlText w:val="%1."/>
      <w:numFmt w:val="decimal"/>
      <w:start w:val="2"/>
    </w:lvl>
    <w:lvl w:ilvl="1">
      <w:lvlJc w:val="left"/>
      <w:lvlText w:val="·"/>
      <w:numFmt w:val="bullet"/>
      <w:start w:val="1"/>
    </w:lvl>
  </w:abstractNum>
  <w:abstractNum w:abstractNumId="108">
    <w:nsid w:val="65CA235B"/>
    <w:multiLevelType w:val="hybridMultilevel"/>
    <w:lvl w:ilvl="0">
      <w:lvlJc w:val="left"/>
      <w:lvlText w:val="%1."/>
      <w:numFmt w:val="decimal"/>
      <w:start w:val="4"/>
    </w:lvl>
  </w:abstractNum>
  <w:abstractNum w:abstractNumId="109">
    <w:nsid w:val="51CB0DA4"/>
    <w:multiLevelType w:val="hybridMultilevel"/>
    <w:lvl w:ilvl="0">
      <w:lvlJc w:val="left"/>
      <w:lvlText w:val="%1."/>
      <w:numFmt w:val="upperLetter"/>
      <w:start w:val="4"/>
    </w:lvl>
  </w:abstractNum>
  <w:abstractNum w:abstractNumId="110">
    <w:nsid w:val="7B9B743C"/>
    <w:multiLevelType w:val="hybridMultilevel"/>
    <w:lvl w:ilvl="0">
      <w:lvlJc w:val="left"/>
      <w:lvlText w:val="%1."/>
      <w:numFmt w:val="decimal"/>
      <w:start w:val="1"/>
    </w:lvl>
  </w:abstractNum>
  <w:abstractNum w:abstractNumId="111">
    <w:nsid w:val="13E21002"/>
    <w:multiLevelType w:val="hybridMultilevel"/>
    <w:lvl w:ilvl="0">
      <w:lvlJc w:val="left"/>
      <w:lvlText w:val="%1."/>
      <w:numFmt w:val="decimal"/>
      <w:start w:val="2"/>
    </w:lvl>
  </w:abstractNum>
  <w:abstractNum w:abstractNumId="112">
    <w:nsid w:val="257D63F4"/>
    <w:multiLevelType w:val="hybridMultilevel"/>
    <w:lvl w:ilvl="0">
      <w:lvlJc w:val="left"/>
      <w:lvlText w:val="%1."/>
      <w:numFmt w:val="decimal"/>
      <w:start w:val="3"/>
    </w:lvl>
  </w:abstractNum>
  <w:abstractNum w:abstractNumId="113">
    <w:nsid w:val="70EC11B2"/>
    <w:multiLevelType w:val="hybridMultilevel"/>
    <w:lvl w:ilvl="0">
      <w:lvlJc w:val="left"/>
      <w:lvlText w:val="%1."/>
      <w:numFmt w:val="decimal"/>
      <w:start w:val="4"/>
    </w:lvl>
  </w:abstractNum>
  <w:abstractNum w:abstractNumId="114">
    <w:nsid w:val="2EDA00ED"/>
    <w:multiLevelType w:val="hybridMultilevel"/>
    <w:lvl w:ilvl="0">
      <w:lvlJc w:val="left"/>
      <w:lvlText w:val="%1."/>
      <w:numFmt w:val="decimal"/>
      <w:start w:val="5"/>
    </w:lvl>
  </w:abstractNum>
  <w:abstractNum w:abstractNumId="115">
    <w:nsid w:val="73209072"/>
    <w:multiLevelType w:val="hybridMultilevel"/>
    <w:lvl w:ilvl="0">
      <w:lvlJc w:val="left"/>
      <w:lvlText w:val="%1."/>
      <w:numFmt w:val="decimal"/>
      <w:start w:val="6"/>
    </w:lvl>
  </w:abstractNum>
  <w:abstractNum w:abstractNumId="116">
    <w:nsid w:val="5FB29816"/>
    <w:multiLevelType w:val="hybridMultilevel"/>
    <w:lvl w:ilvl="0">
      <w:lvlJc w:val="left"/>
      <w:lvlText w:val="%1."/>
      <w:numFmt w:val="upperLetter"/>
      <w:start w:val="5"/>
    </w:lvl>
  </w:abstractNum>
  <w:abstractNum w:abstractNumId="117">
    <w:nsid w:val="3CE732EC"/>
    <w:multiLevelType w:val="hybridMultilevel"/>
    <w:lvl w:ilvl="0">
      <w:lvlJc w:val="left"/>
      <w:lvlText w:val="%1."/>
      <w:numFmt w:val="decimal"/>
      <w:start w:val="2"/>
    </w:lvl>
  </w:abstractNum>
  <w:abstractNum w:abstractNumId="118">
    <w:nsid w:val="22F13DF3"/>
    <w:multiLevelType w:val="hybridMultilevel"/>
    <w:lvl w:ilvl="0">
      <w:lvlJc w:val="left"/>
      <w:lvlText w:val="%1"/>
      <w:numFmt w:val="decimal"/>
      <w:start w:val="11"/>
    </w:lvl>
    <w:lvl w:ilvl="1">
      <w:lvlJc w:val="left"/>
      <w:lvlText w:val="%2."/>
      <w:numFmt w:val="decimal"/>
      <w:start w:val="3"/>
    </w:lvl>
  </w:abstractNum>
  <w:abstractNum w:abstractNumId="119">
    <w:nsid w:val="792B8401"/>
    <w:multiLevelType w:val="hybridMultilevel"/>
    <w:lvl w:ilvl="0">
      <w:lvlJc w:val="left"/>
      <w:lvlText w:val="%1."/>
      <w:numFmt w:val="decimal"/>
      <w:start w:val="4"/>
    </w:lvl>
  </w:abstractNum>
  <w:abstractNum w:abstractNumId="120">
    <w:nsid w:val="FA85F4D"/>
    <w:multiLevelType w:val="hybridMultilevel"/>
    <w:lvl w:ilvl="0">
      <w:lvlJc w:val="left"/>
      <w:lvlText w:val="%1."/>
      <w:numFmt w:val="decimal"/>
      <w:start w:val="5"/>
    </w:lvl>
  </w:abstractNum>
  <w:abstractNum w:abstractNumId="121">
    <w:nsid w:val="6ECE91F0"/>
    <w:multiLevelType w:val="hybridMultilevel"/>
    <w:lvl w:ilvl="0">
      <w:lvlJc w:val="left"/>
      <w:lvlText w:val="%1."/>
      <w:numFmt w:val="decimal"/>
      <w:start w:val="6"/>
    </w:lvl>
  </w:abstractNum>
  <w:abstractNum w:abstractNumId="122">
    <w:nsid w:val="4FC4D600"/>
    <w:multiLevelType w:val="hybridMultilevel"/>
    <w:lvl w:ilvl="0">
      <w:lvlJc w:val="left"/>
      <w:lvlText w:val="%1."/>
      <w:numFmt w:val="decimal"/>
      <w:start w:val="7"/>
    </w:lvl>
  </w:abstractNum>
  <w:abstractNum w:abstractNumId="123">
    <w:nsid w:val="5BFD4210"/>
    <w:multiLevelType w:val="hybridMultilevel"/>
    <w:lvl w:ilvl="0">
      <w:lvlJc w:val="left"/>
      <w:lvlText w:val="%1."/>
      <w:numFmt w:val="decimal"/>
      <w:start w:val="8"/>
    </w:lvl>
  </w:abstractNum>
  <w:abstractNum w:abstractNumId="124">
    <w:nsid w:val="76574F8B"/>
    <w:multiLevelType w:val="hybridMultilevel"/>
    <w:lvl w:ilvl="0">
      <w:lvlJc w:val="left"/>
      <w:lvlText w:val="%1."/>
      <w:numFmt w:val="decimal"/>
      <w:start w:val="9"/>
    </w:lvl>
  </w:abstractNum>
  <w:abstractNum w:abstractNumId="125">
    <w:nsid w:val="178F7B67"/>
    <w:multiLevelType w:val="hybridMultilevel"/>
    <w:lvl w:ilvl="0">
      <w:lvlJc w:val="left"/>
      <w:lvlText w:val="%1."/>
      <w:numFmt w:val="decimal"/>
      <w:start w:val="10"/>
    </w:lvl>
  </w:abstractNum>
  <w:abstractNum w:abstractNumId="126">
    <w:nsid w:val="2421DFCF"/>
    <w:multiLevelType w:val="hybridMultilevel"/>
    <w:lvl w:ilvl="0">
      <w:lvlJc w:val="left"/>
      <w:lvlText w:val="%1."/>
      <w:numFmt w:val="decimal"/>
      <w:start w:val="11"/>
    </w:lvl>
  </w:abstractNum>
  <w:abstractNum w:abstractNumId="127">
    <w:nsid w:val="1565AC99"/>
    <w:multiLevelType w:val="hybridMultilevel"/>
    <w:lvl w:ilvl="0">
      <w:lvlJc w:val="left"/>
      <w:lvlText w:val="%1."/>
      <w:numFmt w:val="decimal"/>
      <w:start w:val="12"/>
    </w:lvl>
  </w:abstractNum>
  <w:abstractNum w:abstractNumId="128">
    <w:nsid w:val="19FB2650"/>
    <w:multiLevelType w:val="hybridMultilevel"/>
    <w:lvl w:ilvl="0">
      <w:lvlJc w:val="left"/>
      <w:lvlText w:val="%1."/>
      <w:numFmt w:val="decimal"/>
      <w:start w:val="13"/>
    </w:lvl>
  </w:abstractNum>
  <w:abstractNum w:abstractNumId="129">
    <w:nsid w:val="5024DE5B"/>
    <w:multiLevelType w:val="hybridMultilevel"/>
    <w:lvl w:ilvl="0">
      <w:lvlJc w:val="left"/>
      <w:lvlText w:val="%1."/>
      <w:numFmt w:val="decimal"/>
      <w:start w:val="14"/>
    </w:lvl>
  </w:abstractNum>
  <w:abstractNum w:abstractNumId="130">
    <w:nsid w:val="168EFE17"/>
    <w:multiLevelType w:val="hybridMultilevel"/>
    <w:lvl w:ilvl="0">
      <w:lvlJc w:val="left"/>
      <w:lvlText w:val="(%1)"/>
      <w:numFmt w:val="decimal"/>
      <w:start w:val="6"/>
    </w:lvl>
  </w:abstractNum>
  <w:abstractNum w:abstractNumId="131">
    <w:nsid w:val="1036B29F"/>
    <w:multiLevelType w:val="hybridMultilevel"/>
    <w:lvl w:ilvl="0">
      <w:lvlJc w:val="left"/>
      <w:lvlText w:val="%1."/>
      <w:numFmt w:val="decimal"/>
      <w:start w:val="15"/>
    </w:lvl>
  </w:abstractNum>
  <w:abstractNum w:abstractNumId="132">
    <w:nsid w:val="1D206B8E"/>
    <w:multiLevelType w:val="hybridMultilevel"/>
    <w:lvl w:ilvl="0">
      <w:lvlJc w:val="left"/>
      <w:lvlText w:val="%1."/>
      <w:numFmt w:val="decimal"/>
      <w:start w:val="16"/>
    </w:lvl>
  </w:abstractNum>
  <w:abstractNum w:abstractNumId="133">
    <w:nsid w:val="7934D3D4"/>
    <w:multiLevelType w:val="hybridMultilevel"/>
    <w:lvl w:ilvl="0">
      <w:lvlJc w:val="left"/>
      <w:lvlText w:val="%1."/>
      <w:numFmt w:val="decimal"/>
      <w:start w:val="17"/>
    </w:lvl>
  </w:abstractNum>
  <w:abstractNum w:abstractNumId="134">
    <w:nsid w:val="1C65E98"/>
    <w:multiLevelType w:val="hybridMultilevel"/>
    <w:lvl w:ilvl="0">
      <w:lvlJc w:val="left"/>
      <w:lvlText w:val="%1."/>
      <w:numFmt w:val="decimal"/>
      <w:start w:val="18"/>
    </w:lvl>
  </w:abstractNum>
  <w:abstractNum w:abstractNumId="135">
    <w:nsid w:val="1495E50A"/>
    <w:multiLevelType w:val="hybridMultilevel"/>
    <w:lvl w:ilvl="0">
      <w:lvlJc w:val="left"/>
      <w:lvlText w:val="%1."/>
      <w:numFmt w:val="decimal"/>
      <w:start w:val="19"/>
    </w:lvl>
  </w:abstractNum>
  <w:abstractNum w:abstractNumId="136">
    <w:nsid w:val="F5BCF61"/>
    <w:multiLevelType w:val="hybridMultilevel"/>
    <w:lvl w:ilvl="0">
      <w:lvlJc w:val="left"/>
      <w:lvlText w:val="%1."/>
      <w:numFmt w:val="decimal"/>
      <w:start w:val="20"/>
    </w:lvl>
  </w:abstractNum>
  <w:abstractNum w:abstractNumId="137">
    <w:nsid w:val="3B1DD403"/>
    <w:multiLevelType w:val="hybridMultilevel"/>
    <w:lvl w:ilvl="0">
      <w:lvlJc w:val="left"/>
      <w:lvlText w:val="%1."/>
      <w:numFmt w:val="decimal"/>
      <w:start w:val="21"/>
    </w:lvl>
  </w:abstractNum>
  <w:abstractNum w:abstractNumId="138">
    <w:nsid w:val="530386D1"/>
    <w:multiLevelType w:val="hybridMultilevel"/>
    <w:lvl w:ilvl="0">
      <w:lvlJc w:val="left"/>
      <w:lvlText w:val="%1."/>
      <w:numFmt w:val="decimal"/>
      <w:start w:val="22"/>
    </w:lvl>
  </w:abstractNum>
  <w:abstractNum w:abstractNumId="139">
    <w:nsid w:val="7525F2BC"/>
    <w:multiLevelType w:val="hybridMultilevel"/>
    <w:lvl w:ilvl="0">
      <w:lvlJc w:val="left"/>
      <w:lvlText w:val="%1."/>
      <w:numFmt w:val="decimal"/>
      <w:start w:val="23"/>
    </w:lvl>
  </w:abstractNum>
  <w:abstractNum w:abstractNumId="140">
    <w:nsid w:val="CE8E1A7"/>
    <w:multiLevelType w:val="hybridMultilevel"/>
    <w:lvl w:ilvl="0">
      <w:lvlJc w:val="left"/>
      <w:lvlText w:val="%1."/>
      <w:numFmt w:val="upperLetter"/>
      <w:start w:val="6"/>
    </w:lvl>
    <w:lvl w:ilvl="1">
      <w:lvlJc w:val="left"/>
      <w:lvlText w:val="%2."/>
      <w:numFmt w:val="decimal"/>
      <w:start w:val="1"/>
    </w:lvl>
  </w:abstractNum>
  <w:abstractNum w:abstractNumId="141">
    <w:nsid w:val="4E9EFB0D"/>
    <w:multiLevelType w:val="hybridMultilevel"/>
    <w:lvl w:ilvl="0">
      <w:lvlJc w:val="left"/>
      <w:lvlText w:val="(%1)"/>
      <w:numFmt w:val="lowerLetter"/>
      <w:start w:val="1"/>
    </w:lvl>
  </w:abstractNum>
  <w:abstractNum w:abstractNumId="142">
    <w:nsid w:val="90802BE"/>
    <w:multiLevelType w:val="hybridMultilevel"/>
    <w:lvl w:ilvl="0">
      <w:lvlJc w:val="left"/>
      <w:lvlText w:val="%1."/>
      <w:numFmt w:val="decimal"/>
      <w:start w:val="2"/>
    </w:lvl>
  </w:abstractNum>
  <w:abstractNum w:abstractNumId="143">
    <w:nsid w:val="3266459B"/>
    <w:multiLevelType w:val="hybridMultilevel"/>
    <w:lvl w:ilvl="0">
      <w:lvlJc w:val="left"/>
      <w:lvlText w:val="%1."/>
      <w:numFmt w:val="decimal"/>
      <w:start w:val="3"/>
    </w:lvl>
  </w:abstractNum>
  <w:abstractNum w:abstractNumId="144">
    <w:nsid w:val="3F8B0CBF"/>
    <w:multiLevelType w:val="hybridMultilevel"/>
    <w:lvl w:ilvl="0">
      <w:lvlJc w:val="left"/>
      <w:lvlText w:val="%1."/>
      <w:numFmt w:val="decimal"/>
      <w:start w:val="4"/>
    </w:lvl>
  </w:abstractNum>
  <w:abstractNum w:abstractNumId="145">
    <w:nsid w:val="37E203AB"/>
    <w:multiLevelType w:val="hybridMultilevel"/>
    <w:lvl w:ilvl="0">
      <w:lvlJc w:val="left"/>
      <w:lvlText w:val="%1."/>
      <w:numFmt w:val="decimal"/>
      <w:start w:val="5"/>
    </w:lvl>
  </w:abstractNum>
  <w:abstractNum w:abstractNumId="146">
    <w:nsid w:val="2586D60E"/>
    <w:multiLevelType w:val="hybridMultilevel"/>
    <w:lvl w:ilvl="0">
      <w:lvlJc w:val="left"/>
      <w:lvlText w:val="%1."/>
      <w:numFmt w:val="decimal"/>
      <w:start w:val="6"/>
    </w:lvl>
  </w:abstractNum>
  <w:abstractNum w:abstractNumId="147">
    <w:nsid w:val="1F3DA4D5"/>
    <w:multiLevelType w:val="hybridMultilevel"/>
    <w:lvl w:ilvl="0">
      <w:lvlJc w:val="left"/>
      <w:lvlText w:val="%1."/>
      <w:numFmt w:val="decimal"/>
      <w:start w:val="7"/>
    </w:lvl>
  </w:abstractNum>
  <w:abstractNum w:abstractNumId="148">
    <w:nsid w:val="74C93698"/>
    <w:multiLevelType w:val="hybridMultilevel"/>
    <w:lvl w:ilvl="0">
      <w:lvlJc w:val="left"/>
      <w:lvlText w:val="%1."/>
      <w:numFmt w:val="decimal"/>
      <w:start w:val="8"/>
    </w:lvl>
  </w:abstractNum>
  <w:abstractNum w:abstractNumId="149">
    <w:nsid w:val="48781401"/>
    <w:multiLevelType w:val="hybridMultilevel"/>
    <w:lvl w:ilvl="0">
      <w:lvlJc w:val="left"/>
      <w:lvlText w:val="%1."/>
      <w:numFmt w:val="decimal"/>
      <w:start w:val="9"/>
    </w:lvl>
  </w:abstractNum>
  <w:abstractNum w:abstractNumId="150">
    <w:nsid w:val="186928D6"/>
    <w:multiLevelType w:val="hybridMultilevel"/>
    <w:lvl w:ilvl="0">
      <w:lvlJc w:val="left"/>
      <w:lvlText w:val="%1."/>
      <w:numFmt w:val="decimal"/>
      <w:start w:val="10"/>
    </w:lvl>
  </w:abstractNum>
  <w:abstractNum w:abstractNumId="151">
    <w:nsid w:val="47195E5"/>
    <w:multiLevelType w:val="hybridMultilevel"/>
    <w:lvl w:ilvl="0">
      <w:lvlJc w:val="left"/>
      <w:lvlText w:val="%1."/>
      <w:numFmt w:val="upperLetter"/>
      <w:start w:val="7"/>
    </w:lvl>
  </w:abstractNum>
  <w:abstractNum w:abstractNumId="152">
    <w:nsid w:val="3746A5F2"/>
    <w:multiLevelType w:val="hybridMultilevel"/>
    <w:lvl w:ilvl="0">
      <w:lvlJc w:val="left"/>
      <w:lvlText w:val="%1."/>
      <w:numFmt w:val="decimal"/>
      <w:start w:val="2"/>
    </w:lvl>
  </w:abstractNum>
  <w:abstractNum w:abstractNumId="153">
    <w:nsid w:val="682DFED6"/>
    <w:multiLevelType w:val="hybridMultilevel"/>
    <w:lvl w:ilvl="0">
      <w:lvlJc w:val="left"/>
      <w:lvlText w:val="%1."/>
      <w:numFmt w:val="decimal"/>
      <w:start w:val="3"/>
    </w:lvl>
  </w:abstractNum>
  <w:abstractNum w:abstractNumId="154">
    <w:nsid w:val="606ED7F6"/>
    <w:multiLevelType w:val="hybridMultilevel"/>
    <w:lvl w:ilvl="0">
      <w:lvlJc w:val="left"/>
      <w:lvlText w:val="%1."/>
      <w:numFmt w:val="decimal"/>
      <w:start w:val="4"/>
    </w:lvl>
    <w:lvl w:ilvl="1">
      <w:lvlJc w:val="left"/>
      <w:lvlText w:val="(%2)"/>
      <w:numFmt w:val="lowerLetter"/>
      <w:start w:val="1"/>
    </w:lvl>
  </w:abstractNum>
  <w:abstractNum w:abstractNumId="155">
    <w:nsid w:val="2D9DF57D"/>
    <w:multiLevelType w:val="hybridMultilevel"/>
    <w:lvl w:ilvl="0">
      <w:lvlJc w:val="left"/>
      <w:lvlText w:val="(%1)"/>
      <w:numFmt w:val="lowerLetter"/>
      <w:start w:val="2"/>
    </w:lvl>
  </w:abstractNum>
  <w:abstractNum w:abstractNumId="156">
    <w:nsid w:val="7FBD7A3E"/>
    <w:multiLevelType w:val="hybridMultilevel"/>
    <w:lvl w:ilvl="0">
      <w:lvlJc w:val="left"/>
      <w:lvlText w:val="(%1)"/>
      <w:numFmt w:val="lowerLetter"/>
      <w:start w:val="3"/>
    </w:lvl>
  </w:abstractNum>
  <w:abstractNum w:abstractNumId="157">
    <w:nsid w:val="490B7C5"/>
    <w:multiLevelType w:val="hybridMultilevel"/>
    <w:lvl w:ilvl="0">
      <w:lvlJc w:val="left"/>
      <w:lvlText w:val="(%1)"/>
      <w:numFmt w:val="lowerLetter"/>
      <w:start w:val="4"/>
    </w:lvl>
  </w:abstractNum>
  <w:abstractNum w:abstractNumId="158">
    <w:nsid w:val="4303A216"/>
    <w:multiLevelType w:val="hybridMultilevel"/>
    <w:lvl w:ilvl="0">
      <w:lvlJc w:val="left"/>
      <w:lvlText w:val="·"/>
      <w:numFmt w:val="bullet"/>
      <w:start w:val="1"/>
    </w:lvl>
  </w:abstractNum>
  <w:abstractNum w:abstractNumId="159">
    <w:nsid w:val="19B8A08E"/>
    <w:multiLevelType w:val="hybridMultilevel"/>
    <w:lvl w:ilvl="0">
      <w:lvlJc w:val="left"/>
      <w:lvlText w:val="%1."/>
      <w:numFmt w:val="decimal"/>
      <w:start w:val="4"/>
    </w:lvl>
    <w:lvl w:ilvl="1">
      <w:lvlJc w:val="left"/>
      <w:lvlText w:val="·"/>
      <w:numFmt w:val="bullet"/>
      <w:start w:val="1"/>
    </w:lvl>
  </w:abstractNum>
  <w:abstractNum w:abstractNumId="160">
    <w:nsid w:val="54B59621"/>
    <w:multiLevelType w:val="hybridMultilevel"/>
    <w:lvl w:ilvl="0">
      <w:lvlJc w:val="left"/>
      <w:lvlText w:val="%1."/>
      <w:numFmt w:val="decimal"/>
      <w:start w:val="6"/>
    </w:lvl>
  </w:abstractNum>
  <w:abstractNum w:abstractNumId="161">
    <w:nsid w:val="5992A02E"/>
    <w:multiLevelType w:val="hybridMultilevel"/>
    <w:lvl w:ilvl="0">
      <w:lvlJc w:val="left"/>
      <w:lvlText w:val="%1."/>
      <w:numFmt w:val="decimal"/>
      <w:start w:val="8"/>
    </w:lvl>
  </w:abstractNum>
  <w:abstractNum w:abstractNumId="162">
    <w:nsid w:val="29EF532D"/>
    <w:multiLevelType w:val="hybridMultilevel"/>
    <w:lvl w:ilvl="0">
      <w:lvlJc w:val="left"/>
      <w:lvlText w:val="%1."/>
      <w:numFmt w:val="decimal"/>
      <w:start w:val="9"/>
    </w:lvl>
  </w:abstractNum>
  <w:abstractNum w:abstractNumId="163">
    <w:nsid w:val="71D601AF"/>
    <w:multiLevelType w:val="hybridMultilevel"/>
    <w:lvl w:ilvl="0">
      <w:lvlJc w:val="left"/>
      <w:lvlText w:val="%1."/>
      <w:numFmt w:val="upperLetter"/>
      <w:start w:val="8"/>
    </w:lvl>
  </w:abstractNum>
  <w:abstractNum w:abstractNumId="164">
    <w:nsid w:val="52C77402"/>
    <w:multiLevelType w:val="hybridMultilevel"/>
    <w:lvl w:ilvl="0">
      <w:lvlJc w:val="left"/>
      <w:lvlText w:val="(%1)"/>
      <w:numFmt w:val="lowerLetter"/>
      <w:start w:val="1"/>
    </w:lvl>
  </w:abstractNum>
  <w:abstractNum w:abstractNumId="165">
    <w:nsid w:val="2BB5B1C6"/>
    <w:multiLevelType w:val="hybridMultilevel"/>
    <w:lvl w:ilvl="0">
      <w:lvlJc w:val="left"/>
      <w:lvlText w:val="(%1)"/>
      <w:numFmt w:val="lowerLetter"/>
      <w:start w:val="2"/>
    </w:lvl>
  </w:abstractNum>
  <w:abstractNum w:abstractNumId="166">
    <w:nsid w:val="66BE6B9"/>
    <w:multiLevelType w:val="hybridMultilevel"/>
    <w:lvl w:ilvl="0">
      <w:lvlJc w:val="left"/>
      <w:lvlText w:val="(%1)"/>
      <w:numFmt w:val="lowerLetter"/>
      <w:start w:val="3"/>
    </w:lvl>
  </w:abstractNum>
  <w:abstractNum w:abstractNumId="167">
    <w:nsid w:val="62234363"/>
    <w:multiLevelType w:val="hybridMultilevel"/>
    <w:lvl w:ilvl="0">
      <w:lvlJc w:val="left"/>
      <w:lvlText w:val="(%1)"/>
      <w:numFmt w:val="lowerLetter"/>
      <w:start w:val="4"/>
    </w:lvl>
  </w:abstractNum>
  <w:abstractNum w:abstractNumId="168">
    <w:nsid w:val="66D385C9"/>
    <w:multiLevelType w:val="hybridMultilevel"/>
    <w:lvl w:ilvl="0">
      <w:lvlJc w:val="left"/>
      <w:lvlText w:val="%1."/>
      <w:numFmt w:val="decimal"/>
      <w:start w:val="2"/>
    </w:lvl>
  </w:abstractNum>
  <w:abstractNum w:abstractNumId="169">
    <w:nsid w:val="596F6D8A"/>
    <w:multiLevelType w:val="hybridMultilevel"/>
    <w:lvl w:ilvl="0">
      <w:lvlJc w:val="left"/>
      <w:lvlText w:val="%1."/>
      <w:numFmt w:val="decimal"/>
      <w:start w:val="3"/>
    </w:lvl>
  </w:abstractNum>
  <w:abstractNum w:abstractNumId="170">
    <w:nsid w:val="5749361F"/>
    <w:multiLevelType w:val="hybridMultilevel"/>
    <w:lvl w:ilvl="0">
      <w:lvlJc w:val="left"/>
      <w:lvlText w:val="%1."/>
      <w:numFmt w:val="decimal"/>
      <w:start w:val="4"/>
    </w:lvl>
  </w:abstractNum>
  <w:abstractNum w:abstractNumId="171">
    <w:nsid w:val="73BC6770"/>
    <w:multiLevelType w:val="hybridMultilevel"/>
    <w:lvl w:ilvl="0">
      <w:lvlJc w:val="left"/>
      <w:lvlText w:val="%1."/>
      <w:numFmt w:val="upperLetter"/>
      <w:start w:val="9"/>
    </w:lvl>
  </w:abstractNum>
  <w:abstractNum w:abstractNumId="172">
    <w:nsid w:val="280E6897"/>
    <w:multiLevelType w:val="hybridMultilevel"/>
    <w:lvl w:ilvl="0">
      <w:lvlJc w:val="left"/>
      <w:lvlText w:val="%1."/>
      <w:numFmt w:val="decimal"/>
      <w:start w:val="1"/>
    </w:lvl>
  </w:abstractNum>
  <w:abstractNum w:abstractNumId="173">
    <w:nsid w:val="605138DE"/>
    <w:multiLevelType w:val="hybridMultilevel"/>
    <w:lvl w:ilvl="0">
      <w:lvlJc w:val="left"/>
      <w:lvlText w:val="%1"/>
      <w:numFmt w:val="decimal"/>
      <w:start w:val="1"/>
    </w:lvl>
    <w:lvl w:ilvl="1">
      <w:lvlJc w:val="left"/>
      <w:lvlText w:val="(%2)"/>
      <w:numFmt w:val="lowerLetter"/>
      <w:start w:val="1"/>
    </w:lvl>
  </w:abstractNum>
  <w:abstractNum w:abstractNumId="174">
    <w:nsid w:val="2622AD0C"/>
    <w:multiLevelType w:val="hybridMultilevel"/>
    <w:lvl w:ilvl="0">
      <w:lvlJc w:val="left"/>
      <w:lvlText w:val="%1."/>
      <w:numFmt w:val="decimal"/>
      <w:start w:val="2"/>
    </w:lvl>
    <w:lvl w:ilvl="1">
      <w:lvlJc w:val="left"/>
      <w:lvlText w:val="%2"/>
      <w:numFmt w:val="lowerLetter"/>
      <w:start w:val="1"/>
    </w:lvl>
  </w:abstractNum>
  <w:abstractNum w:abstractNumId="175">
    <w:nsid w:val="67997556"/>
    <w:multiLevelType w:val="hybridMultilevel"/>
    <w:lvl w:ilvl="0">
      <w:lvlJc w:val="left"/>
      <w:lvlText w:val="(%1)"/>
      <w:numFmt w:val="lowerLetter"/>
      <w:start w:val="1"/>
    </w:lvl>
  </w:abstractNum>
  <w:abstractNum w:abstractNumId="176">
    <w:nsid w:val="18333C89"/>
    <w:multiLevelType w:val="hybridMultilevel"/>
    <w:lvl w:ilvl="0">
      <w:lvlJc w:val="left"/>
      <w:lvlText w:val="(%1)"/>
      <w:numFmt w:val="lowerLetter"/>
      <w:start w:val="4"/>
    </w:lvl>
  </w:abstractNum>
  <w:abstractNum w:abstractNumId="177">
    <w:nsid w:val="4BA9831A"/>
    <w:multiLevelType w:val="hybridMultilevel"/>
    <w:lvl w:ilvl="0">
      <w:lvlJc w:val="left"/>
      <w:lvlText w:val="%1"/>
      <w:numFmt w:val="decimal"/>
      <w:start w:val="1"/>
    </w:lvl>
    <w:lvl w:ilvl="1">
      <w:lvlJc w:val="left"/>
      <w:lvlText w:val="(%2)"/>
      <w:numFmt w:val="lowerLetter"/>
      <w:start w:val="11"/>
    </w:lvl>
  </w:abstractNum>
  <w:abstractNum w:abstractNumId="178">
    <w:nsid w:val="6D71A2B"/>
    <w:multiLevelType w:val="hybridMultilevel"/>
    <w:lvl w:ilvl="0">
      <w:lvlJc w:val="left"/>
      <w:lvlText w:val="%1."/>
      <w:numFmt w:val="decimal"/>
      <w:start w:val="3"/>
    </w:lvl>
    <w:lvl w:ilvl="1">
      <w:lvlJc w:val="left"/>
      <w:lvlText w:val="%2"/>
      <w:numFmt w:val="lowerLetter"/>
      <w:start w:val="1"/>
    </w:lvl>
  </w:abstractNum>
  <w:abstractNum w:abstractNumId="179">
    <w:nsid w:val="CFC7321"/>
    <w:multiLevelType w:val="hybridMultilevel"/>
    <w:lvl w:ilvl="0">
      <w:lvlJc w:val="left"/>
      <w:lvlText w:val="%1."/>
      <w:numFmt w:val="decimal"/>
      <w:start w:val="4"/>
    </w:lvl>
  </w:abstractNum>
  <w:abstractNum w:abstractNumId="180">
    <w:nsid w:val="1421971B"/>
    <w:multiLevelType w:val="hybridMultilevel"/>
    <w:lvl w:ilvl="0">
      <w:lvlJc w:val="left"/>
      <w:lvlText w:val="%1."/>
      <w:numFmt w:val="upperLetter"/>
      <w:start w:val="10"/>
    </w:lvl>
  </w:abstractNum>
  <w:abstractNum w:abstractNumId="181">
    <w:nsid w:val="1F404301"/>
    <w:multiLevelType w:val="hybridMultilevel"/>
    <w:lvl w:ilvl="0">
      <w:lvlJc w:val="left"/>
      <w:lvlText w:val="%1."/>
      <w:numFmt w:val="decimal"/>
      <w:start w:val="1"/>
    </w:lvl>
  </w:abstractNum>
  <w:abstractNum w:abstractNumId="182">
    <w:nsid w:val="116E0907"/>
    <w:multiLevelType w:val="hybridMultilevel"/>
    <w:lvl w:ilvl="0">
      <w:lvlJc w:val="left"/>
      <w:lvlText w:val="%1."/>
      <w:numFmt w:val="decimal"/>
      <w:start w:val="2"/>
    </w:lvl>
    <w:lvl w:ilvl="1">
      <w:lvlJc w:val="left"/>
      <w:lvlText w:val="(%2)"/>
      <w:numFmt w:val="lowerLetter"/>
      <w:start w:val="1"/>
    </w:lvl>
  </w:abstractNum>
  <w:abstractNum w:abstractNumId="183">
    <w:nsid w:val="4B683D0D"/>
    <w:multiLevelType w:val="hybridMultilevel"/>
    <w:lvl w:ilvl="0">
      <w:lvlJc w:val="left"/>
      <w:lvlText w:val="(%1)"/>
      <w:numFmt w:val="lowerLetter"/>
      <w:start w:val="2"/>
    </w:lvl>
  </w:abstractNum>
  <w:abstractNum w:abstractNumId="184">
    <w:nsid w:val="76E41D8"/>
    <w:multiLevelType w:val="hybridMultilevel"/>
    <w:lvl w:ilvl="0">
      <w:lvlJc w:val="left"/>
      <w:lvlText w:val="(%1)"/>
      <w:numFmt w:val="lowerRoman"/>
      <w:start w:val="1"/>
    </w:lvl>
  </w:abstractNum>
  <w:abstractNum w:abstractNumId="185">
    <w:nsid w:val="71DCE0FD"/>
    <w:multiLevelType w:val="hybridMultilevel"/>
    <w:lvl w:ilvl="0">
      <w:lvlJc w:val="left"/>
      <w:lvlText w:val="%1."/>
      <w:numFmt w:val="decimal"/>
      <w:start w:val="3"/>
    </w:lvl>
  </w:abstractNum>
  <w:abstractNum w:abstractNumId="186">
    <w:nsid w:val="7906328B"/>
    <w:multiLevelType w:val="hybridMultilevel"/>
    <w:lvl w:ilvl="0">
      <w:lvlJc w:val="left"/>
      <w:lvlText w:val="%1."/>
      <w:numFmt w:val="decimal"/>
      <w:start w:val="4"/>
    </w:lvl>
  </w:abstractNum>
  <w:abstractNum w:abstractNumId="187">
    <w:nsid w:val="72BBC16"/>
    <w:multiLevelType w:val="hybridMultilevel"/>
    <w:lvl w:ilvl="0">
      <w:lvlJc w:val="left"/>
      <w:lvlText w:val="%1."/>
      <w:numFmt w:val="decimal"/>
      <w:start w:val="5"/>
    </w:lvl>
  </w:abstractNum>
  <w:abstractNum w:abstractNumId="188">
    <w:nsid w:val="766D98C2"/>
    <w:multiLevelType w:val="hybridMultilevel"/>
    <w:lvl w:ilvl="0">
      <w:lvlJc w:val="left"/>
      <w:lvlText w:val="%1."/>
      <w:numFmt w:val="decimal"/>
      <w:start w:val="6"/>
    </w:lvl>
    <w:lvl w:ilvl="1">
      <w:lvlJc w:val="left"/>
      <w:lvlText w:val="(%2)"/>
      <w:numFmt w:val="lowerLetter"/>
      <w:start w:val="1"/>
    </w:lvl>
  </w:abstractNum>
  <w:abstractNum w:abstractNumId="189">
    <w:nsid w:val="3C09D4A1"/>
    <w:multiLevelType w:val="hybridMultilevel"/>
    <w:lvl w:ilvl="0">
      <w:lvlJc w:val="left"/>
      <w:lvlText w:val="(%1)"/>
      <w:numFmt w:val="lowerLetter"/>
      <w:start w:val="2"/>
    </w:lvl>
  </w:abstractNum>
  <w:abstractNum w:abstractNumId="190">
    <w:nsid w:val="20E45CA4"/>
    <w:multiLevelType w:val="hybridMultilevel"/>
    <w:lvl w:ilvl="0">
      <w:lvlJc w:val="left"/>
      <w:lvlText w:val="%1."/>
      <w:numFmt w:val="decimal"/>
      <w:start w:val="7"/>
    </w:lvl>
  </w:abstractNum>
  <w:abstractNum w:abstractNumId="191">
    <w:nsid w:val="4B232EE3"/>
    <w:multiLevelType w:val="hybridMultilevel"/>
    <w:lvl w:ilvl="0">
      <w:lvlJc w:val="left"/>
      <w:lvlText w:val="(%1)"/>
      <w:numFmt w:val="upperLetter"/>
      <w:start w:val="35"/>
    </w:lvl>
    <w:lvl w:ilvl="1">
      <w:lvlJc w:val="left"/>
      <w:lvlText w:val="%2"/>
      <w:numFmt w:val="decimal"/>
      <w:start w:val="1"/>
    </w:lvl>
  </w:abstractNum>
  <w:abstractNum w:abstractNumId="192">
    <w:nsid w:val="159C74CF"/>
    <w:multiLevelType w:val="hybridMultilevel"/>
    <w:lvl w:ilvl="0">
      <w:lvlJc w:val="left"/>
      <w:lvlText w:val="(%1)"/>
      <w:numFmt w:val="upperLetter"/>
      <w:start w:val="61"/>
    </w:lvl>
    <w:lvl w:ilvl="1">
      <w:lvlJc w:val="left"/>
      <w:lvlText w:val="%2."/>
      <w:numFmt w:val="decimal"/>
      <w:start w:val="8"/>
    </w:lvl>
  </w:abstractNum>
  <w:abstractNum w:abstractNumId="193">
    <w:nsid w:val="4AD3AFD2"/>
    <w:multiLevelType w:val="hybridMultilevel"/>
    <w:lvl w:ilvl="0">
      <w:lvlJc w:val="left"/>
      <w:lvlText w:val="%1."/>
      <w:numFmt w:val="decimal"/>
      <w:start w:val="9"/>
    </w:lvl>
  </w:abstractNum>
  <w:abstractNum w:abstractNumId="194">
    <w:nsid w:val="3CF93092"/>
    <w:multiLevelType w:val="hybridMultilevel"/>
    <w:lvl w:ilvl="0">
      <w:lvlJc w:val="left"/>
      <w:lvlText w:val="%1."/>
      <w:numFmt w:val="decimal"/>
      <w:start w:val="10"/>
    </w:lvl>
  </w:abstractNum>
  <w:abstractNum w:abstractNumId="195">
    <w:nsid w:val="6863E8D2"/>
    <w:multiLevelType w:val="hybridMultilevel"/>
    <w:lvl w:ilvl="0">
      <w:lvlJc w:val="left"/>
      <w:lvlText w:val="%1."/>
      <w:numFmt w:val="upperLetter"/>
      <w:start w:val="11"/>
    </w:lvl>
  </w:abstractNum>
  <w:abstractNum w:abstractNumId="196">
    <w:nsid w:val="76896198"/>
    <w:multiLevelType w:val="hybridMultilevel"/>
    <w:lvl w:ilvl="0">
      <w:lvlJc w:val="left"/>
      <w:lvlText w:val="(%1)"/>
      <w:numFmt w:val="lowerLetter"/>
      <w:start w:val="1"/>
    </w:lvl>
  </w:abstractNum>
  <w:abstractNum w:abstractNumId="197">
    <w:nsid w:val="4365174B"/>
    <w:multiLevelType w:val="hybridMultilevel"/>
    <w:lvl w:ilvl="0">
      <w:lvlJc w:val="left"/>
      <w:lvlText w:val="(%1)"/>
      <w:numFmt w:val="lowerLetter"/>
      <w:start w:val="7"/>
    </w:lvl>
  </w:abstractNum>
  <w:abstractNum w:abstractNumId="198">
    <w:nsid w:val="4A872C35"/>
    <w:multiLevelType w:val="hybridMultilevel"/>
    <w:lvl w:ilvl="0">
      <w:lvlJc w:val="left"/>
      <w:lvlText w:val="%1."/>
      <w:numFmt w:val="upperLetter"/>
      <w:start w:val="12"/>
    </w:lvl>
  </w:abstractNum>
  <w:abstractNum w:abstractNumId="199">
    <w:nsid w:val="5D5CE761"/>
    <w:multiLevelType w:val="hybridMultilevel"/>
    <w:lvl w:ilvl="0">
      <w:lvlJc w:val="left"/>
      <w:lvlText w:val="%1."/>
      <w:numFmt w:val="decimal"/>
      <w:start w:val="1"/>
    </w:lvl>
  </w:abstractNum>
  <w:abstractNum w:abstractNumId="200">
    <w:nsid w:val="1CD484D5"/>
    <w:multiLevelType w:val="hybridMultilevel"/>
    <w:lvl w:ilvl="0">
      <w:lvlJc w:val="left"/>
      <w:lvlText w:val="%1."/>
      <w:numFmt w:val="decimal"/>
      <w:start w:val="2"/>
    </w:lvl>
  </w:abstractNum>
  <w:abstractNum w:abstractNumId="201">
    <w:nsid w:val="21D06255"/>
    <w:multiLevelType w:val="hybridMultilevel"/>
    <w:lvl w:ilvl="0">
      <w:lvlJc w:val="left"/>
      <w:lvlText w:val="%1."/>
      <w:numFmt w:val="decimal"/>
      <w:start w:val="3"/>
    </w:lvl>
  </w:abstractNum>
  <w:abstractNum w:abstractNumId="202">
    <w:nsid w:val="51194ED1"/>
    <w:multiLevelType w:val="hybridMultilevel"/>
    <w:lvl w:ilvl="0">
      <w:lvlJc w:val="left"/>
      <w:lvlText w:val="%1."/>
      <w:numFmt w:val="decimal"/>
      <w:start w:val="4"/>
    </w:lvl>
  </w:abstractNum>
  <w:abstractNum w:abstractNumId="203">
    <w:nsid w:val="44E2ED6C"/>
    <w:multiLevelType w:val="hybridMultilevel"/>
    <w:lvl w:ilvl="0">
      <w:lvlJc w:val="left"/>
      <w:lvlText w:val="%1."/>
      <w:numFmt w:val="decimal"/>
      <w:start w:val="5"/>
    </w:lvl>
  </w:abstractNum>
  <w:abstractNum w:abstractNumId="204">
    <w:nsid w:val="2219B33"/>
    <w:multiLevelType w:val="hybridMultilevel"/>
    <w:lvl w:ilvl="0">
      <w:lvlJc w:val="left"/>
      <w:lvlText w:val="%1."/>
      <w:numFmt w:val="decimal"/>
      <w:start w:val="6"/>
    </w:lvl>
  </w:abstractNum>
  <w:abstractNum w:abstractNumId="205">
    <w:nsid w:val="773BFBDD"/>
    <w:multiLevelType w:val="hybridMultilevel"/>
    <w:lvl w:ilvl="0">
      <w:lvlJc w:val="left"/>
      <w:lvlText w:val="%1."/>
      <w:numFmt w:val="decimal"/>
      <w:start w:val="7"/>
    </w:lvl>
  </w:abstractNum>
  <w:abstractNum w:abstractNumId="206">
    <w:nsid w:val="2C7C62C2"/>
    <w:multiLevelType w:val="hybridMultilevel"/>
    <w:lvl w:ilvl="0">
      <w:lvlJc w:val="left"/>
      <w:lvlText w:val="%1."/>
      <w:numFmt w:val="decimal"/>
      <w:start w:val="8"/>
    </w:lvl>
  </w:abstractNum>
  <w:abstractNum w:abstractNumId="207">
    <w:nsid w:val="1A54D7BC"/>
    <w:multiLevelType w:val="hybridMultilevel"/>
    <w:lvl w:ilvl="0">
      <w:lvlJc w:val="left"/>
      <w:lvlText w:val="%1."/>
      <w:numFmt w:val="decimal"/>
      <w:start w:val="9"/>
    </w:lvl>
  </w:abstractNum>
  <w:abstractNum w:abstractNumId="208">
    <w:nsid w:val="42E57EF7"/>
    <w:multiLevelType w:val="hybridMultilevel"/>
    <w:lvl w:ilvl="0">
      <w:lvlJc w:val="left"/>
      <w:lvlText w:val="%1."/>
      <w:numFmt w:val="decimal"/>
      <w:start w:val="10"/>
    </w:lvl>
  </w:abstractNum>
  <w:abstractNum w:abstractNumId="209">
    <w:nsid w:val="33537CED"/>
    <w:multiLevelType w:val="hybridMultilevel"/>
    <w:lvl w:ilvl="0">
      <w:lvlJc w:val="left"/>
      <w:lvlText w:val="%1."/>
      <w:numFmt w:val="decimal"/>
      <w:start w:val="11"/>
    </w:lvl>
  </w:abstractNum>
  <w:abstractNum w:abstractNumId="210">
    <w:nsid w:val="27514ADE"/>
    <w:multiLevelType w:val="hybridMultilevel"/>
    <w:lvl w:ilvl="0">
      <w:lvlJc w:val="left"/>
      <w:lvlText w:val="%1."/>
      <w:numFmt w:val="decimal"/>
      <w:start w:val="12"/>
    </w:lvl>
  </w:abstractNum>
  <w:abstractNum w:abstractNumId="211">
    <w:nsid w:val="57071613"/>
    <w:multiLevelType w:val="hybridMultilevel"/>
    <w:lvl w:ilvl="0">
      <w:lvlJc w:val="left"/>
      <w:lvlText w:val="%1."/>
      <w:numFmt w:val="decimal"/>
      <w:start w:val="13"/>
    </w:lvl>
  </w:abstractNum>
  <w:abstractNum w:abstractNumId="212">
    <w:nsid w:val="5293BFEF"/>
    <w:multiLevelType w:val="hybridMultilevel"/>
    <w:lvl w:ilvl="0">
      <w:lvlJc w:val="left"/>
      <w:lvlText w:val="%1."/>
      <w:numFmt w:val="decimal"/>
      <w:start w:val="14"/>
    </w:lvl>
  </w:abstractNum>
  <w:abstractNum w:abstractNumId="213">
    <w:nsid w:val="38BF53E5"/>
    <w:multiLevelType w:val="hybridMultilevel"/>
    <w:lvl w:ilvl="0">
      <w:lvlJc w:val="left"/>
      <w:lvlText w:val="%1."/>
      <w:numFmt w:val="decimal"/>
      <w:start w:val="15"/>
    </w:lvl>
  </w:abstractNum>
  <w:abstractNum w:abstractNumId="214">
    <w:nsid w:val="226F5320"/>
    <w:multiLevelType w:val="hybridMultilevel"/>
    <w:lvl w:ilvl="0">
      <w:lvlJc w:val="left"/>
      <w:lvlText w:val="%1."/>
      <w:numFmt w:val="decimal"/>
      <w:start w:val="16"/>
    </w:lvl>
  </w:abstractNum>
  <w:abstractNum w:abstractNumId="215">
    <w:nsid w:val="5A0201C7"/>
    <w:multiLevelType w:val="hybridMultilevel"/>
    <w:lvl w:ilvl="0">
      <w:lvlJc w:val="left"/>
      <w:lvlText w:val="%1."/>
      <w:numFmt w:val="decimal"/>
      <w:start w:val="17"/>
    </w:lvl>
  </w:abstractNum>
  <w:abstractNum w:abstractNumId="216">
    <w:nsid w:val="2A9C34E2"/>
    <w:multiLevelType w:val="hybridMultilevel"/>
    <w:lvl w:ilvl="0">
      <w:lvlJc w:val="left"/>
      <w:lvlText w:val="%1."/>
      <w:numFmt w:val="decimal"/>
      <w:start w:val="18"/>
    </w:lvl>
  </w:abstractNum>
  <w:abstractNum w:abstractNumId="217">
    <w:nsid w:val="1B7585AB"/>
    <w:multiLevelType w:val="hybridMultilevel"/>
    <w:lvl w:ilvl="0">
      <w:lvlJc w:val="left"/>
      <w:lvlText w:val="%1."/>
      <w:numFmt w:val="decimal"/>
      <w:start w:val="19"/>
    </w:lvl>
  </w:abstractNum>
  <w:abstractNum w:abstractNumId="218">
    <w:nsid w:val="612DBDDD"/>
    <w:multiLevelType w:val="hybridMultilevel"/>
    <w:lvl w:ilvl="0">
      <w:lvlJc w:val="left"/>
      <w:lvlText w:val="%1."/>
      <w:numFmt w:val="upperLetter"/>
      <w:start w:val="1"/>
    </w:lvl>
  </w:abstractNum>
  <w:abstractNum w:abstractNumId="219">
    <w:nsid w:val="2109CDA4"/>
    <w:multiLevelType w:val="hybridMultilevel"/>
    <w:lvl w:ilvl="0">
      <w:lvlJc w:val="left"/>
      <w:lvlText w:val="%1."/>
      <w:numFmt w:val="decimal"/>
      <w:start w:val="1"/>
    </w:lvl>
  </w:abstractNum>
  <w:abstractNum w:abstractNumId="220">
    <w:nsid w:val="577F5A4D"/>
    <w:multiLevelType w:val="hybridMultilevel"/>
    <w:lvl w:ilvl="0">
      <w:lvlJc w:val="left"/>
      <w:lvlText w:val="%1."/>
      <w:numFmt w:val="decimal"/>
      <w:start w:val="2"/>
    </w:lvl>
  </w:abstractNum>
  <w:abstractNum w:abstractNumId="221">
    <w:nsid w:val="2121A81"/>
    <w:multiLevelType w:val="hybridMultilevel"/>
    <w:lvl w:ilvl="0">
      <w:lvlJc w:val="left"/>
      <w:lvlText w:val="%1."/>
      <w:numFmt w:val="decimal"/>
      <w:start w:val="3"/>
    </w:lvl>
  </w:abstractNum>
  <w:abstractNum w:abstractNumId="222">
    <w:nsid w:val="6C2CFC88"/>
    <w:multiLevelType w:val="hybridMultilevel"/>
    <w:lvl w:ilvl="0">
      <w:lvlJc w:val="left"/>
      <w:lvlText w:val="%1."/>
      <w:numFmt w:val="decimal"/>
      <w:start w:val="4"/>
    </w:lvl>
  </w:abstractNum>
  <w:abstractNum w:abstractNumId="223">
    <w:nsid w:val="6D1BCF1C"/>
    <w:multiLevelType w:val="hybridMultilevel"/>
    <w:lvl w:ilvl="0">
      <w:lvlJc w:val="left"/>
      <w:lvlText w:val="%1."/>
      <w:numFmt w:val="decimal"/>
      <w:start w:val="5"/>
    </w:lvl>
  </w:abstractNum>
  <w:abstractNum w:abstractNumId="224">
    <w:nsid w:val="4CE5CA53"/>
    <w:multiLevelType w:val="hybridMultilevel"/>
    <w:lvl w:ilvl="0">
      <w:lvlJc w:val="left"/>
      <w:lvlText w:val="%1."/>
      <w:numFmt w:val="decimal"/>
      <w:start w:val="6"/>
    </w:lvl>
  </w:abstractNum>
  <w:abstractNum w:abstractNumId="225">
    <w:nsid w:val="29262D1A"/>
    <w:multiLevelType w:val="hybridMultilevel"/>
    <w:lvl w:ilvl="0">
      <w:lvlJc w:val="left"/>
      <w:lvlText w:val="%1."/>
      <w:numFmt w:val="decimal"/>
      <w:start w:val="7"/>
    </w:lvl>
  </w:abstractNum>
  <w:abstractNum w:abstractNumId="226">
    <w:nsid w:val="557FB7EE"/>
    <w:multiLevelType w:val="hybridMultilevel"/>
    <w:lvl w:ilvl="0">
      <w:lvlJc w:val="left"/>
      <w:lvlText w:val="%1."/>
      <w:numFmt w:val="decimal"/>
      <w:start w:val="8"/>
    </w:lvl>
  </w:abstractNum>
  <w:abstractNum w:abstractNumId="227">
    <w:nsid w:val="436F2BEB"/>
    <w:multiLevelType w:val="hybridMultilevel"/>
    <w:lvl w:ilvl="0">
      <w:lvlJc w:val="left"/>
      <w:lvlText w:val="%1."/>
      <w:numFmt w:val="decimal"/>
      <w:start w:val="9"/>
    </w:lvl>
  </w:abstractNum>
  <w:abstractNum w:abstractNumId="228">
    <w:nsid w:val="6C8B4466"/>
    <w:multiLevelType w:val="hybridMultilevel"/>
    <w:lvl w:ilvl="0">
      <w:lvlJc w:val="left"/>
      <w:lvlText w:val="%1."/>
      <w:numFmt w:val="decimal"/>
      <w:start w:val="10"/>
    </w:lvl>
  </w:abstractNum>
  <w:abstractNum w:abstractNumId="229">
    <w:nsid w:val="2006E424"/>
    <w:multiLevelType w:val="hybridMultilevel"/>
    <w:lvl w:ilvl="0">
      <w:lvlJc w:val="left"/>
      <w:lvlText w:val="%1."/>
      <w:numFmt w:val="decimal"/>
      <w:start w:val="11"/>
    </w:lvl>
  </w:abstractNum>
  <w:abstractNum w:abstractNumId="230">
    <w:nsid w:val="20CC134C"/>
    <w:multiLevelType w:val="hybridMultilevel"/>
    <w:lvl w:ilvl="0">
      <w:lvlJc w:val="left"/>
      <w:lvlText w:val="%1."/>
      <w:numFmt w:val="decimal"/>
      <w:start w:val="12"/>
    </w:lvl>
  </w:abstractNum>
  <w:abstractNum w:abstractNumId="231">
    <w:nsid w:val="95FC93B"/>
    <w:multiLevelType w:val="hybridMultilevel"/>
    <w:lvl w:ilvl="0">
      <w:lvlJc w:val="left"/>
      <w:lvlText w:val="%1."/>
      <w:numFmt w:val="upperLetter"/>
      <w:start w:val="2"/>
    </w:lvl>
  </w:abstractNum>
  <w:abstractNum w:abstractNumId="232">
    <w:nsid w:val="41D74679"/>
    <w:multiLevelType w:val="hybridMultilevel"/>
    <w:lvl w:ilvl="0">
      <w:lvlJc w:val="left"/>
      <w:lvlText w:val="%1."/>
      <w:numFmt w:val="decimal"/>
      <w:start w:val="1"/>
    </w:lvl>
  </w:abstractNum>
  <w:abstractNum w:abstractNumId="233">
    <w:nsid w:val="71E5621E"/>
    <w:multiLevelType w:val="hybridMultilevel"/>
    <w:lvl w:ilvl="0">
      <w:lvlJc w:val="left"/>
      <w:lvlText w:val="%1."/>
      <w:numFmt w:val="decimal"/>
      <w:start w:val="2"/>
    </w:lvl>
  </w:abstractNum>
  <w:abstractNum w:abstractNumId="234">
    <w:nsid w:val="4E42B6A8"/>
    <w:multiLevelType w:val="hybridMultilevel"/>
    <w:lvl w:ilvl="0">
      <w:lvlJc w:val="left"/>
      <w:lvlText w:val="%1."/>
      <w:numFmt w:val="decimal"/>
      <w:start w:val="3"/>
    </w:lvl>
  </w:abstractNum>
  <w:abstractNum w:abstractNumId="235">
    <w:nsid w:val="43F8E1AC"/>
    <w:multiLevelType w:val="hybridMultilevel"/>
    <w:lvl w:ilvl="0">
      <w:lvlJc w:val="left"/>
      <w:lvlText w:val="%1."/>
      <w:numFmt w:val="decimal"/>
      <w:start w:val="4"/>
    </w:lvl>
  </w:abstractNum>
  <w:abstractNum w:abstractNumId="236">
    <w:nsid w:val="69215DFB"/>
    <w:multiLevelType w:val="hybridMultilevel"/>
    <w:lvl w:ilvl="0">
      <w:lvlJc w:val="left"/>
      <w:lvlText w:val="%1."/>
      <w:numFmt w:val="decimal"/>
      <w:start w:val="5"/>
    </w:lvl>
  </w:abstractNum>
  <w:abstractNum w:abstractNumId="237">
    <w:nsid w:val="7ABF196A"/>
    <w:multiLevelType w:val="hybridMultilevel"/>
    <w:lvl w:ilvl="0">
      <w:lvlJc w:val="left"/>
      <w:lvlText w:val="%1."/>
      <w:numFmt w:val="decimal"/>
      <w:start w:val="6"/>
    </w:lvl>
  </w:abstractNum>
  <w:abstractNum w:abstractNumId="238">
    <w:nsid w:val="5E4DB968"/>
    <w:multiLevelType w:val="hybridMultilevel"/>
    <w:lvl w:ilvl="0">
      <w:lvlJc w:val="left"/>
      <w:lvlText w:val="%1."/>
      <w:numFmt w:val="lowerRoman"/>
      <w:start w:val="1"/>
    </w:lvl>
  </w:abstractNum>
  <w:abstractNum w:abstractNumId="239">
    <w:nsid w:val="2C06DCF3"/>
    <w:multiLevelType w:val="hybridMultilevel"/>
    <w:lvl w:ilvl="0">
      <w:lvlJc w:val="left"/>
      <w:lvlText w:val="%1."/>
      <w:numFmt w:val="decimal"/>
      <w:start w:val="7"/>
    </w:lvl>
  </w:abstractNum>
  <w:abstractNum w:abstractNumId="240">
    <w:nsid w:val="2E129658"/>
    <w:multiLevelType w:val="hybridMultilevel"/>
    <w:lvl w:ilvl="0">
      <w:lvlJc w:val="left"/>
      <w:lvlText w:val="%1."/>
      <w:numFmt w:val="upperLetter"/>
      <w:start w:val="3"/>
    </w:lvl>
  </w:abstractNum>
  <w:abstractNum w:abstractNumId="241">
    <w:nsid w:val="59F0446"/>
    <w:multiLevelType w:val="hybridMultilevel"/>
    <w:lvl w:ilvl="0">
      <w:lvlJc w:val="left"/>
      <w:lvlText w:val="%1."/>
      <w:numFmt w:val="decimal"/>
      <w:start w:val="2"/>
    </w:lvl>
  </w:abstractNum>
  <w:abstractNum w:abstractNumId="242">
    <w:nsid w:val="30DF306"/>
    <w:multiLevelType w:val="hybridMultilevel"/>
    <w:lvl w:ilvl="0">
      <w:lvlJc w:val="left"/>
      <w:lvlText w:val="%1."/>
      <w:numFmt w:val="decimal"/>
      <w:start w:val="3"/>
    </w:lvl>
  </w:abstractNum>
  <w:abstractNum w:abstractNumId="243">
    <w:nsid w:val="A65647"/>
    <w:multiLevelType w:val="hybridMultilevel"/>
    <w:lvl w:ilvl="0">
      <w:lvlJc w:val="left"/>
      <w:lvlText w:val="%1."/>
      <w:numFmt w:val="decimal"/>
      <w:start w:val="4"/>
    </w:lvl>
  </w:abstractNum>
  <w:abstractNum w:abstractNumId="244">
    <w:nsid w:val="3E5E582B"/>
    <w:multiLevelType w:val="hybridMultilevel"/>
    <w:lvl w:ilvl="0">
      <w:lvlJc w:val="left"/>
      <w:lvlText w:val="%1."/>
      <w:numFmt w:val="decimal"/>
      <w:start w:val="5"/>
    </w:lvl>
  </w:abstractNum>
  <w:abstractNum w:abstractNumId="245">
    <w:nsid w:val="257D4626"/>
    <w:multiLevelType w:val="hybridMultilevel"/>
    <w:lvl w:ilvl="0">
      <w:lvlJc w:val="left"/>
      <w:lvlText w:val="%1."/>
      <w:numFmt w:val="decimal"/>
      <w:start w:val="6"/>
    </w:lvl>
  </w:abstractNum>
  <w:abstractNum w:abstractNumId="246">
    <w:nsid w:val="5AA8580E"/>
    <w:multiLevelType w:val="hybridMultilevel"/>
    <w:lvl w:ilvl="0">
      <w:lvlJc w:val="left"/>
      <w:lvlText w:val="%1."/>
      <w:numFmt w:val="decimal"/>
      <w:start w:val="7"/>
    </w:lvl>
  </w:abstractNum>
  <w:abstractNum w:abstractNumId="247">
    <w:nsid w:val="68FA8D0D"/>
    <w:multiLevelType w:val="hybridMultilevel"/>
    <w:lvl w:ilvl="0">
      <w:lvlJc w:val="left"/>
      <w:lvlText w:val="%1."/>
      <w:numFmt w:val="decimal"/>
      <w:start w:val="8"/>
    </w:lvl>
  </w:abstractNum>
  <w:abstractNum w:abstractNumId="248">
    <w:nsid w:val="40F2CBD2"/>
    <w:multiLevelType w:val="hybridMultilevel"/>
    <w:lvl w:ilvl="0">
      <w:lvlJc w:val="left"/>
      <w:lvlText w:val="%1."/>
      <w:numFmt w:val="upperLetter"/>
      <w:start w:val="4"/>
    </w:lvl>
  </w:abstractNum>
  <w:abstractNum w:abstractNumId="249">
    <w:nsid w:val="3BD615EB"/>
    <w:multiLevelType w:val="hybridMultilevel"/>
    <w:lvl w:ilvl="0">
      <w:lvlJc w:val="left"/>
      <w:lvlText w:val="%1."/>
      <w:numFmt w:val="decimal"/>
      <w:start w:val="2"/>
    </w:lvl>
  </w:abstractNum>
  <w:abstractNum w:abstractNumId="250">
    <w:nsid w:val="A045AB2"/>
    <w:multiLevelType w:val="hybridMultilevel"/>
    <w:lvl w:ilvl="0">
      <w:lvlJc w:val="left"/>
      <w:lvlText w:val="(%1)"/>
      <w:numFmt w:val="decimal"/>
      <w:start w:val="7"/>
    </w:lvl>
  </w:abstractNum>
  <w:abstractNum w:abstractNumId="251">
    <w:nsid w:val="1872261F"/>
    <w:multiLevelType w:val="hybridMultilevel"/>
    <w:lvl w:ilvl="0">
      <w:lvlJc w:val="left"/>
      <w:lvlText w:val="%1."/>
      <w:numFmt w:val="decimal"/>
      <w:start w:val="3"/>
    </w:lvl>
  </w:abstractNum>
  <w:abstractNum w:abstractNumId="252">
    <w:nsid w:val="3DE8306C"/>
    <w:multiLevelType w:val="hybridMultilevel"/>
    <w:lvl w:ilvl="0">
      <w:lvlJc w:val="left"/>
      <w:lvlText w:val="%1."/>
      <w:numFmt w:val="decimal"/>
      <w:start w:val="4"/>
    </w:lvl>
  </w:abstractNum>
  <w:abstractNum w:abstractNumId="253">
    <w:nsid w:val="7631573A"/>
    <w:multiLevelType w:val="hybridMultilevel"/>
    <w:lvl w:ilvl="0">
      <w:lvlJc w:val="left"/>
      <w:lvlText w:val="%1."/>
      <w:numFmt w:val="decimal"/>
      <w:start w:val="5"/>
    </w:lvl>
  </w:abstractNum>
  <w:abstractNum w:abstractNumId="254">
    <w:nsid w:val="58DF53B"/>
    <w:multiLevelType w:val="hybridMultilevel"/>
    <w:lvl w:ilvl="0">
      <w:lvlJc w:val="left"/>
      <w:lvlText w:val="%1."/>
      <w:numFmt w:val="decimal"/>
      <w:start w:val="6"/>
    </w:lvl>
  </w:abstractNum>
  <w:abstractNum w:abstractNumId="255">
    <w:nsid w:val="ACDFAC0"/>
    <w:multiLevelType w:val="hybridMultilevel"/>
    <w:lvl w:ilvl="0">
      <w:lvlJc w:val="left"/>
      <w:lvlText w:val="%1."/>
      <w:numFmt w:val="decimal"/>
      <w:start w:val="7"/>
    </w:lvl>
  </w:abstractNum>
  <w:abstractNum w:abstractNumId="256">
    <w:nsid w:val="1F578454"/>
    <w:multiLevelType w:val="hybridMultilevel"/>
    <w:lvl w:ilvl="0">
      <w:lvlJc w:val="left"/>
      <w:lvlText w:val="%1."/>
      <w:numFmt w:val="decimal"/>
      <w:start w:val="8"/>
    </w:lvl>
  </w:abstractNum>
  <w:abstractNum w:abstractNumId="257">
    <w:nsid w:val="5B0DAD2A"/>
    <w:multiLevelType w:val="hybridMultilevel"/>
    <w:lvl w:ilvl="0">
      <w:lvlJc w:val="left"/>
      <w:lvlText w:val="%1."/>
      <w:numFmt w:val="decimal"/>
      <w:start w:val="9"/>
    </w:lvl>
  </w:abstractNum>
  <w:abstractNum w:abstractNumId="258">
    <w:nsid w:val="4E3D26AB"/>
    <w:multiLevelType w:val="hybridMultilevel"/>
    <w:lvl w:ilvl="0">
      <w:lvlJc w:val="left"/>
      <w:lvlText w:val="%1."/>
      <w:numFmt w:val="decimal"/>
      <w:start w:val="10"/>
    </w:lvl>
  </w:abstractNum>
  <w:abstractNum w:abstractNumId="259">
    <w:nsid w:val="BE2C8BA"/>
    <w:multiLevelType w:val="hybridMultilevel"/>
    <w:lvl w:ilvl="0">
      <w:lvlJc w:val="left"/>
      <w:lvlText w:val="%1."/>
      <w:numFmt w:val="decimal"/>
      <w:start w:val="11"/>
    </w:lvl>
  </w:abstractNum>
  <w:abstractNum w:abstractNumId="260">
    <w:nsid w:val="7B14914E"/>
    <w:multiLevelType w:val="hybridMultilevel"/>
    <w:lvl w:ilvl="0">
      <w:lvlJc w:val="left"/>
      <w:lvlText w:val="·"/>
      <w:numFmt w:val="bullet"/>
      <w:start w:val="1"/>
    </w:lvl>
  </w:abstractNum>
  <w:abstractNum w:abstractNumId="261">
    <w:nsid w:val="6F0939F8"/>
    <w:multiLevelType w:val="hybridMultilevel"/>
    <w:lvl w:ilvl="0">
      <w:lvlJc w:val="left"/>
      <w:lvlText w:val="%1."/>
      <w:numFmt w:val="decimal"/>
      <w:start w:val="12"/>
    </w:lvl>
  </w:abstractNum>
  <w:abstractNum w:abstractNumId="262">
    <w:nsid w:val="154291F6"/>
    <w:multiLevelType w:val="hybridMultilevel"/>
    <w:lvl w:ilvl="0">
      <w:lvlJc w:val="left"/>
      <w:lvlText w:val="·"/>
      <w:numFmt w:val="bullet"/>
      <w:start w:val="1"/>
    </w:lvl>
  </w:abstractNum>
  <w:abstractNum w:abstractNumId="263">
    <w:nsid w:val="3CEBD7C7"/>
    <w:multiLevelType w:val="hybridMultilevel"/>
    <w:lvl w:ilvl="0">
      <w:lvlJc w:val="left"/>
      <w:lvlText w:val="%1."/>
      <w:numFmt w:val="decimal"/>
      <w:start w:val="13"/>
    </w:lvl>
  </w:abstractNum>
  <w:abstractNum w:abstractNumId="264">
    <w:nsid w:val="60EE9C16"/>
    <w:multiLevelType w:val="hybridMultilevel"/>
    <w:lvl w:ilvl="0">
      <w:lvlJc w:val="left"/>
      <w:lvlText w:val="%1."/>
      <w:numFmt w:val="decimal"/>
      <w:start w:val="14"/>
    </w:lvl>
  </w:abstractNum>
  <w:abstractNum w:abstractNumId="265">
    <w:nsid w:val="6385489E"/>
    <w:multiLevelType w:val="hybridMultilevel"/>
    <w:lvl w:ilvl="0">
      <w:lvlJc w:val="left"/>
      <w:lvlText w:val="%1."/>
      <w:numFmt w:val="decimal"/>
      <w:start w:val="15"/>
    </w:lvl>
  </w:abstractNum>
  <w:abstractNum w:abstractNumId="266">
    <w:nsid w:val="E4B973"/>
    <w:multiLevelType w:val="hybridMultilevel"/>
    <w:lvl w:ilvl="0">
      <w:lvlJc w:val="left"/>
      <w:lvlText w:val="%1."/>
      <w:numFmt w:val="decimal"/>
      <w:start w:val="16"/>
    </w:lvl>
  </w:abstractNum>
  <w:abstractNum w:abstractNumId="267">
    <w:nsid w:val="4A0FFA11"/>
    <w:multiLevelType w:val="hybridMultilevel"/>
    <w:lvl w:ilvl="0">
      <w:lvlJc w:val="left"/>
      <w:lvlText w:val="%1."/>
      <w:numFmt w:val="decimal"/>
      <w:start w:val="17"/>
    </w:lvl>
  </w:abstractNum>
  <w:abstractNum w:abstractNumId="268">
    <w:nsid w:val="5E446208"/>
    <w:multiLevelType w:val="hybridMultilevel"/>
    <w:lvl w:ilvl="0">
      <w:lvlJc w:val="left"/>
      <w:lvlText w:val="%1."/>
      <w:numFmt w:val="decimal"/>
      <w:start w:val="18"/>
    </w:lvl>
  </w:abstractNum>
  <w:abstractNum w:abstractNumId="269">
    <w:nsid w:val="5F3272DB"/>
    <w:multiLevelType w:val="hybridMultilevel"/>
    <w:lvl w:ilvl="0">
      <w:lvlJc w:val="left"/>
      <w:lvlText w:val="%1."/>
      <w:numFmt w:val="upperLetter"/>
      <w:start w:val="5"/>
    </w:lvl>
  </w:abstractNum>
  <w:abstractNum w:abstractNumId="270">
    <w:nsid w:val="7616D704"/>
    <w:multiLevelType w:val="hybridMultilevel"/>
    <w:lvl w:ilvl="0">
      <w:lvlJc w:val="left"/>
      <w:lvlText w:val="%1."/>
      <w:numFmt w:val="decimal"/>
      <w:start w:val="1"/>
    </w:lvl>
  </w:abstractNum>
  <w:abstractNum w:abstractNumId="271">
    <w:nsid w:val="C56F860"/>
    <w:multiLevelType w:val="hybridMultilevel"/>
    <w:lvl w:ilvl="0">
      <w:lvlJc w:val="left"/>
      <w:lvlText w:val="%1."/>
      <w:numFmt w:val="decimal"/>
      <w:start w:val="2"/>
    </w:lvl>
  </w:abstractNum>
  <w:abstractNum w:abstractNumId="272">
    <w:nsid w:val="64D17722"/>
    <w:multiLevelType w:val="hybridMultilevel"/>
    <w:lvl w:ilvl="0">
      <w:lvlJc w:val="left"/>
      <w:lvlText w:val="%1."/>
      <w:numFmt w:val="decimal"/>
      <w:start w:val="3"/>
    </w:lvl>
  </w:abstractNum>
  <w:abstractNum w:abstractNumId="273">
    <w:nsid w:val="7924CA0A"/>
    <w:multiLevelType w:val="hybridMultilevel"/>
    <w:lvl w:ilvl="0">
      <w:lvlJc w:val="left"/>
      <w:lvlText w:val="%1."/>
      <w:numFmt w:val="decimal"/>
      <w:start w:val="4"/>
    </w:lvl>
  </w:abstractNum>
  <w:abstractNum w:abstractNumId="274">
    <w:nsid w:val="CFD4EA7"/>
    <w:multiLevelType w:val="hybridMultilevel"/>
    <w:lvl w:ilvl="0">
      <w:lvlJc w:val="left"/>
      <w:lvlText w:val="%1."/>
      <w:numFmt w:val="decimal"/>
      <w:start w:val="5"/>
    </w:lvl>
  </w:abstractNum>
  <w:abstractNum w:abstractNumId="275">
    <w:nsid w:val="232FCF4D"/>
    <w:multiLevelType w:val="hybridMultilevel"/>
    <w:lvl w:ilvl="0">
      <w:lvlJc w:val="left"/>
      <w:lvlText w:val="%1."/>
      <w:numFmt w:val="decimal"/>
      <w:start w:val="6"/>
    </w:lvl>
  </w:abstractNum>
  <w:abstractNum w:abstractNumId="276">
    <w:nsid w:val="1EA21031"/>
    <w:multiLevelType w:val="hybridMultilevel"/>
    <w:lvl w:ilvl="0">
      <w:lvlJc w:val="left"/>
      <w:lvlText w:val="%1."/>
      <w:numFmt w:val="upperLetter"/>
      <w:start w:val="6"/>
    </w:lvl>
    <w:lvl w:ilvl="1">
      <w:lvlJc w:val="left"/>
      <w:lvlText w:val="%2."/>
      <w:numFmt w:val="decimal"/>
      <w:start w:val="1"/>
    </w:lvl>
  </w:abstractNum>
  <w:abstractNum w:abstractNumId="277">
    <w:nsid w:val="67A5A6B5"/>
    <w:multiLevelType w:val="hybridMultilevel"/>
    <w:lvl w:ilvl="0">
      <w:lvlJc w:val="left"/>
      <w:lvlText w:val="%1."/>
      <w:numFmt w:val="decimal"/>
      <w:start w:val="2"/>
    </w:lvl>
  </w:abstractNum>
  <w:abstractNum w:abstractNumId="278">
    <w:nsid w:val="C2A5C5B"/>
    <w:multiLevelType w:val="hybridMultilevel"/>
    <w:lvl w:ilvl="0">
      <w:lvlJc w:val="left"/>
      <w:lvlText w:val="%1."/>
      <w:numFmt w:val="upperLetter"/>
      <w:start w:val="1"/>
    </w:lvl>
  </w:abstractNum>
  <w:abstractNum w:abstractNumId="279">
    <w:nsid w:val="5F94DC03"/>
    <w:multiLevelType w:val="hybridMultilevel"/>
    <w:lvl w:ilvl="0">
      <w:lvlJc w:val="left"/>
      <w:lvlText w:val="%1."/>
      <w:numFmt w:val="decimal"/>
      <w:start w:val="1"/>
    </w:lvl>
  </w:abstractNum>
  <w:abstractNum w:abstractNumId="280">
    <w:nsid w:val="237BBCA0"/>
    <w:multiLevelType w:val="hybridMultilevel"/>
    <w:lvl w:ilvl="0">
      <w:lvlJc w:val="left"/>
      <w:lvlText w:val="(%1)"/>
      <w:numFmt w:val="decimal"/>
      <w:start w:val="8"/>
    </w:lvl>
  </w:abstractNum>
  <w:abstractNum w:abstractNumId="281">
    <w:nsid w:val="162EB70D"/>
    <w:multiLevelType w:val="hybridMultilevel"/>
    <w:lvl w:ilvl="0">
      <w:lvlJc w:val="left"/>
      <w:lvlText w:val="%1."/>
      <w:numFmt w:val="decimal"/>
      <w:start w:val="2"/>
    </w:lvl>
  </w:abstractNum>
  <w:abstractNum w:abstractNumId="282">
    <w:nsid w:val="78070222"/>
    <w:multiLevelType w:val="hybridMultilevel"/>
    <w:lvl w:ilvl="0">
      <w:lvlJc w:val="left"/>
      <w:lvlText w:val="%1."/>
      <w:numFmt w:val="upperLetter"/>
      <w:start w:val="1"/>
    </w:lvl>
    <w:lvl w:ilvl="1">
      <w:lvlJc w:val="left"/>
      <w:lvlText w:val="·"/>
      <w:numFmt w:val="bullet"/>
      <w:start w:val="1"/>
    </w:lvl>
  </w:abstractNum>
  <w:abstractNum w:abstractNumId="283">
    <w:nsid w:val="6163ED0D"/>
    <w:multiLevelType w:val="hybridMultilevel"/>
    <w:lvl w:ilvl="0">
      <w:lvlJc w:val="left"/>
      <w:lvlText w:val="%1."/>
      <w:numFmt w:val="decimal"/>
      <w:start w:val="1"/>
    </w:lvl>
  </w:abstractNum>
  <w:abstractNum w:abstractNumId="284">
    <w:nsid w:val="C600E47"/>
    <w:multiLevelType w:val="hybridMultilevel"/>
    <w:lvl w:ilvl="0">
      <w:lvlJc w:val="left"/>
      <w:lvlText w:val="%1."/>
      <w:numFmt w:val="decimal"/>
      <w:start w:val="2"/>
    </w:lvl>
  </w:abstractNum>
  <w:abstractNum w:abstractNumId="285">
    <w:nsid w:val="7D94F75D"/>
    <w:multiLevelType w:val="hybridMultilevel"/>
    <w:lvl w:ilvl="0">
      <w:lvlJc w:val="left"/>
      <w:lvlText w:val="%1."/>
      <w:numFmt w:val="decimal"/>
      <w:start w:val="3"/>
    </w:lvl>
  </w:abstractNum>
  <w:abstractNum w:abstractNumId="286">
    <w:nsid w:val="6C31E7CD"/>
    <w:multiLevelType w:val="hybridMultilevel"/>
    <w:lvl w:ilvl="0">
      <w:lvlJc w:val="left"/>
      <w:lvlText w:val="(%1)"/>
      <w:numFmt w:val="lowerLetter"/>
      <w:start w:val="2"/>
    </w:lvl>
  </w:abstractNum>
  <w:abstractNum w:abstractNumId="287">
    <w:nsid w:val="2BB7929B"/>
    <w:multiLevelType w:val="hybridMultilevel"/>
    <w:lvl w:ilvl="0">
      <w:lvlJc w:val="left"/>
      <w:lvlText w:val="%1."/>
      <w:numFmt w:val="decimal"/>
      <w:start w:val="4"/>
    </w:lvl>
  </w:abstractNum>
  <w:abstractNum w:abstractNumId="288">
    <w:nsid w:val="58A2A487"/>
    <w:multiLevelType w:val="hybridMultilevel"/>
    <w:lvl w:ilvl="0">
      <w:lvlJc w:val="left"/>
      <w:lvlText w:val="·"/>
      <w:numFmt w:val="bullet"/>
      <w:start w:val="1"/>
    </w:lvl>
    <w:lvl w:ilvl="1">
      <w:lvlJc w:val="left"/>
      <w:lvlText w:val="(%2)"/>
      <w:numFmt w:val="lowerLetter"/>
      <w:start w:val="1"/>
    </w:lvl>
  </w:abstractNum>
  <w:abstractNum w:abstractNumId="289">
    <w:nsid w:val="3A6F0E78"/>
    <w:multiLevelType w:val="hybridMultilevel"/>
    <w:lvl w:ilvl="0">
      <w:lvlJc w:val="left"/>
      <w:lvlText w:val="·"/>
      <w:numFmt w:val="bullet"/>
      <w:start w:val="1"/>
    </w:lvl>
  </w:abstractNum>
  <w:abstractNum w:abstractNumId="290">
    <w:nsid w:val="379A5B56"/>
    <w:multiLevelType w:val="hybridMultilevel"/>
    <w:lvl w:ilvl="0">
      <w:lvlJc w:val="left"/>
      <w:lvlText w:val="(%1)"/>
      <w:numFmt w:val="lowerLetter"/>
      <w:start w:val="2"/>
    </w:lvl>
  </w:abstractNum>
  <w:abstractNum w:abstractNumId="291">
    <w:nsid w:val="53B735D5"/>
    <w:multiLevelType w:val="hybridMultilevel"/>
    <w:lvl w:ilvl="0">
      <w:lvlJc w:val="left"/>
      <w:lvlText w:val="·"/>
      <w:numFmt w:val="bullet"/>
      <w:start w:val="1"/>
    </w:lvl>
  </w:abstractNum>
  <w:abstractNum w:abstractNumId="292">
    <w:nsid w:val="29784870"/>
    <w:multiLevelType w:val="hybridMultilevel"/>
    <w:lvl w:ilvl="0">
      <w:lvlJc w:val="left"/>
      <w:lvlText w:val="·"/>
      <w:numFmt w:val="bullet"/>
      <w:start w:val="1"/>
    </w:lvl>
  </w:abstractNum>
  <w:abstractNum w:abstractNumId="293">
    <w:nsid w:val="4CDCED4C"/>
    <w:multiLevelType w:val="hybridMultilevel"/>
    <w:lvl w:ilvl="0">
      <w:lvlJc w:val="left"/>
      <w:lvlText w:val="%1."/>
      <w:numFmt w:val="decimal"/>
      <w:start w:val="5"/>
    </w:lvl>
  </w:abstractNum>
  <w:abstractNum w:abstractNumId="294">
    <w:nsid w:val="10A30D9C"/>
    <w:multiLevelType w:val="hybridMultilevel"/>
    <w:lvl w:ilvl="0">
      <w:lvlJc w:val="left"/>
      <w:lvlText w:val="%1."/>
      <w:numFmt w:val="decimal"/>
      <w:start w:val="6"/>
    </w:lvl>
  </w:abstractNum>
  <w:abstractNum w:abstractNumId="295">
    <w:nsid w:val="A66E486"/>
    <w:multiLevelType w:val="hybridMultilevel"/>
    <w:lvl w:ilvl="0">
      <w:lvlJc w:val="left"/>
      <w:lvlText w:val="%1."/>
      <w:numFmt w:val="decimal"/>
      <w:start w:val="7"/>
    </w:lvl>
  </w:abstractNum>
  <w:abstractNum w:abstractNumId="296">
    <w:nsid w:val="306235EA"/>
    <w:multiLevelType w:val="hybridMultilevel"/>
    <w:lvl w:ilvl="0">
      <w:lvlJc w:val="left"/>
      <w:lvlText w:val="%1."/>
      <w:numFmt w:val="decimal"/>
      <w:start w:val="8"/>
    </w:lvl>
  </w:abstractNum>
  <w:abstractNum w:abstractNumId="297">
    <w:nsid w:val="1187C70F"/>
    <w:multiLevelType w:val="hybridMultilevel"/>
    <w:lvl w:ilvl="0">
      <w:lvlJc w:val="left"/>
      <w:lvlText w:val="%1."/>
      <w:numFmt w:val="decimal"/>
      <w:start w:val="9"/>
    </w:lvl>
  </w:abstractNum>
  <w:abstractNum w:abstractNumId="298">
    <w:nsid w:val="5476DE98"/>
    <w:multiLevelType w:val="hybridMultilevel"/>
    <w:lvl w:ilvl="0">
      <w:lvlJc w:val="left"/>
      <w:lvlText w:val="%1."/>
      <w:numFmt w:val="decimal"/>
      <w:start w:val="10"/>
    </w:lvl>
  </w:abstractNum>
  <w:abstractNum w:abstractNumId="299">
    <w:nsid w:val="EA697F2"/>
    <w:multiLevelType w:val="hybridMultilevel"/>
    <w:lvl w:ilvl="0">
      <w:lvlJc w:val="left"/>
      <w:lvlText w:val="%1."/>
      <w:numFmt w:val="decimal"/>
      <w:start w:val="11"/>
    </w:lvl>
  </w:abstractNum>
  <w:abstractNum w:abstractNumId="300">
    <w:nsid w:val="70BA39EB"/>
    <w:multiLevelType w:val="hybridMultilevel"/>
    <w:lvl w:ilvl="0">
      <w:lvlJc w:val="left"/>
      <w:lvlText w:val="(%1)"/>
      <w:numFmt w:val="lowerLetter"/>
      <w:start w:val="3"/>
    </w:lvl>
    <w:lvl w:ilvl="1">
      <w:lvlJc w:val="left"/>
      <w:lvlText w:val="%2."/>
      <w:numFmt w:val="decimal"/>
      <w:start w:val="12"/>
    </w:lvl>
  </w:abstractNum>
  <w:abstractNum w:abstractNumId="301">
    <w:nsid w:val="4A8DB59C"/>
    <w:multiLevelType w:val="hybridMultilevel"/>
    <w:lvl w:ilvl="0">
      <w:lvlJc w:val="left"/>
      <w:lvlText w:val="·"/>
      <w:numFmt w:val="bullet"/>
      <w:start w:val="1"/>
    </w:lvl>
  </w:abstractNum>
  <w:abstractNum w:abstractNumId="302">
    <w:nsid w:val="1AFD9053"/>
    <w:multiLevelType w:val="hybridMultilevel"/>
    <w:lvl w:ilvl="0">
      <w:lvlJc w:val="left"/>
      <w:lvlText w:val="·"/>
      <w:numFmt w:val="bullet"/>
      <w:start w:val="1"/>
    </w:lvl>
    <w:lvl w:ilvl="1">
      <w:lvlJc w:val="left"/>
      <w:lvlText w:val="·"/>
      <w:numFmt w:val="bullet"/>
      <w:start w:val="1"/>
    </w:lvl>
  </w:abstractNum>
  <w:abstractNum w:abstractNumId="303">
    <w:nsid w:val="558BB10D"/>
    <w:multiLevelType w:val="hybridMultilevel"/>
    <w:lvl w:ilvl="0">
      <w:lvlJc w:val="left"/>
      <w:lvlText w:val="·"/>
      <w:numFmt w:val="bullet"/>
      <w:start w:val="1"/>
    </w:lvl>
  </w:abstractNum>
  <w:abstractNum w:abstractNumId="304">
    <w:nsid w:val="43B27FA7"/>
    <w:multiLevelType w:val="hybridMultilevel"/>
    <w:lvl w:ilvl="0">
      <w:lvlJc w:val="left"/>
      <w:lvlText w:val="%1."/>
      <w:numFmt w:val="upperLetter"/>
      <w:start w:val="1"/>
    </w:lvl>
  </w:abstractNum>
  <w:abstractNum w:abstractNumId="305">
    <w:nsid w:val="27FADEFA"/>
    <w:multiLevelType w:val="hybridMultilevel"/>
    <w:lvl w:ilvl="0">
      <w:lvlJc w:val="left"/>
      <w:lvlText w:val="%1."/>
      <w:numFmt w:val="upperLetter"/>
      <w:start w:val="2"/>
    </w:lvl>
  </w:abstractNum>
  <w:abstractNum w:abstractNumId="306">
    <w:nsid w:val="78BB805A"/>
    <w:multiLevelType w:val="hybridMultilevel"/>
    <w:lvl w:ilvl="0">
      <w:lvlJc w:val="left"/>
      <w:lvlText w:val="%1."/>
      <w:numFmt w:val="upperLetter"/>
      <w:start w:val="3"/>
    </w:lvl>
  </w:abstractNum>
  <w:abstractNum w:abstractNumId="307">
    <w:nsid w:val="62548FD8"/>
    <w:multiLevelType w:val="hybridMultilevel"/>
    <w:lvl w:ilvl="0">
      <w:lvlJc w:val="left"/>
      <w:lvlText w:val="%1."/>
      <w:numFmt w:val="upperLetter"/>
      <w:start w:val="4"/>
    </w:lvl>
  </w:abstractNum>
  <w:abstractNum w:abstractNumId="308">
    <w:nsid w:val="FA085B0"/>
    <w:multiLevelType w:val="hybridMultilevel"/>
    <w:lvl w:ilvl="0">
      <w:lvlJc w:val="left"/>
      <w:lvlText w:val="%1."/>
      <w:numFmt w:val="upperLetter"/>
      <w:start w:val="5"/>
    </w:lvl>
  </w:abstractNum>
  <w:abstractNum w:abstractNumId="309">
    <w:nsid w:val="4E5DCB5"/>
    <w:multiLevelType w:val="hybridMultilevel"/>
    <w:lvl w:ilvl="0">
      <w:lvlJc w:val="left"/>
      <w:lvlText w:val="%1."/>
      <w:numFmt w:val="upperLetter"/>
      <w:start w:val="6"/>
    </w:lvl>
  </w:abstractNum>
  <w:abstractNum w:abstractNumId="310">
    <w:nsid w:val="41E96BDB"/>
    <w:multiLevelType w:val="hybridMultilevel"/>
    <w:lvl w:ilvl="0">
      <w:lvlJc w:val="left"/>
      <w:lvlText w:val="·"/>
      <w:numFmt w:val="bullet"/>
      <w:start w:val="1"/>
    </w:lvl>
  </w:abstractNum>
  <w:abstractNum w:abstractNumId="311">
    <w:nsid w:val="331C4250"/>
    <w:multiLevelType w:val="hybridMultilevel"/>
    <w:lvl w:ilvl="0">
      <w:lvlJc w:val="left"/>
      <w:lvlText w:val="·"/>
      <w:numFmt w:val="bullet"/>
      <w:start w:val="1"/>
    </w:lvl>
  </w:abstractNum>
  <w:abstractNum w:abstractNumId="312">
    <w:nsid w:val="1B1493C2"/>
    <w:multiLevelType w:val="hybridMultilevel"/>
    <w:lvl w:ilvl="0">
      <w:lvlJc w:val="left"/>
      <w:lvlText w:val="%1."/>
      <w:numFmt w:val="decimal"/>
      <w:start w:val="1"/>
    </w:lvl>
  </w:abstractNum>
  <w:abstractNum w:abstractNumId="313">
    <w:nsid w:val="39F06DFD"/>
    <w:multiLevelType w:val="hybridMultilevel"/>
    <w:lvl w:ilvl="0">
      <w:lvlJc w:val="left"/>
      <w:lvlText w:val="(%1)"/>
      <w:numFmt w:val="lowerLetter"/>
      <w:start w:val="2"/>
    </w:lvl>
  </w:abstractNum>
  <w:abstractNum w:abstractNumId="314">
    <w:nsid w:val="14802F5D"/>
    <w:multiLevelType w:val="hybridMultilevel"/>
    <w:lvl w:ilvl="0">
      <w:lvlJc w:val="left"/>
      <w:lvlText w:val="%1."/>
      <w:numFmt w:val="decimal"/>
      <w:start w:val="2"/>
    </w:lvl>
  </w:abstractNum>
  <w:abstractNum w:abstractNumId="315">
    <w:nsid w:val="2774A209"/>
    <w:multiLevelType w:val="hybridMultilevel"/>
    <w:lvl w:ilvl="0">
      <w:lvlJc w:val="left"/>
      <w:lvlText w:val="%1."/>
      <w:numFmt w:val="decimal"/>
      <w:start w:val="3"/>
    </w:lvl>
  </w:abstractNum>
  <w:abstractNum w:abstractNumId="316">
    <w:nsid w:val="3785655A"/>
    <w:multiLevelType w:val="hybridMultilevel"/>
    <w:lvl w:ilvl="0">
      <w:lvlJc w:val="left"/>
      <w:lvlText w:val="%1."/>
      <w:numFmt w:val="decimal"/>
      <w:start w:val="4"/>
    </w:lvl>
  </w:abstractNum>
  <w:abstractNum w:abstractNumId="317">
    <w:nsid w:val="B2172A"/>
    <w:multiLevelType w:val="hybridMultilevel"/>
    <w:lvl w:ilvl="0">
      <w:lvlJc w:val="left"/>
      <w:lvlText w:val="%1."/>
      <w:numFmt w:val="decimal"/>
      <w:start w:val="5"/>
    </w:lvl>
  </w:abstractNum>
  <w:abstractNum w:abstractNumId="318">
    <w:nsid w:val="532C34A5"/>
    <w:multiLevelType w:val="hybridMultilevel"/>
    <w:lvl w:ilvl="0">
      <w:lvlJc w:val="left"/>
      <w:lvlText w:val="%1."/>
      <w:numFmt w:val="decimal"/>
      <w:start w:val="6"/>
    </w:lvl>
  </w:abstractNum>
  <w:abstractNum w:abstractNumId="319">
    <w:nsid w:val="102809E2"/>
    <w:multiLevelType w:val="hybridMultilevel"/>
    <w:lvl w:ilvl="0">
      <w:lvlJc w:val="left"/>
      <w:lvlText w:val="·"/>
      <w:numFmt w:val="bullet"/>
      <w:start w:val="1"/>
    </w:lvl>
  </w:abstractNum>
  <w:abstractNum w:abstractNumId="320">
    <w:nsid w:val="3B2125A3"/>
    <w:multiLevelType w:val="hybridMultilevel"/>
    <w:lvl w:ilvl="0">
      <w:lvlJc w:val="left"/>
      <w:lvlText w:val="o"/>
      <w:numFmt w:val="bullet"/>
      <w:start w:val="1"/>
    </w:lvl>
  </w:abstractNum>
  <w:abstractNum w:abstractNumId="321">
    <w:nsid w:val="AC68FFB"/>
    <w:multiLevelType w:val="hybridMultilevel"/>
    <w:lvl w:ilvl="0">
      <w:lvlJc w:val="left"/>
      <w:lvlText w:val="(%1)"/>
      <w:numFmt w:val="lowerLetter"/>
      <w:start w:val="1"/>
    </w:lvl>
  </w:abstractNum>
  <w:abstractNum w:abstractNumId="322">
    <w:nsid w:val="63DF3FB7"/>
    <w:multiLevelType w:val="hybridMultilevel"/>
    <w:lvl w:ilvl="0">
      <w:lvlJc w:val="left"/>
      <w:lvlText w:val="%1."/>
      <w:numFmt w:val="upperLetter"/>
      <w:start w:val="7"/>
    </w:lvl>
  </w:abstractNum>
  <w:abstractNum w:abstractNumId="323">
    <w:nsid w:val="64996E13"/>
    <w:multiLevelType w:val="hybridMultilevel"/>
    <w:lvl w:ilvl="0">
      <w:lvlJc w:val="left"/>
      <w:lvlText w:val="%1."/>
      <w:numFmt w:val="upperLetter"/>
      <w:start w:val="1"/>
    </w:lvl>
    <w:lvl w:ilvl="1">
      <w:lvlJc w:val="left"/>
      <w:lvlText w:val="%2."/>
      <w:numFmt w:val="decimal"/>
      <w:start w:val="1"/>
    </w:lvl>
  </w:abstractNum>
  <w:abstractNum w:abstractNumId="324">
    <w:nsid w:val="57A37D47"/>
    <w:multiLevelType w:val="hybridMultilevel"/>
    <w:lvl w:ilvl="0">
      <w:lvlJc w:val="left"/>
      <w:lvlText w:val="%1."/>
      <w:numFmt w:val="decimal"/>
      <w:start w:val="2"/>
    </w:lvl>
    <w:lvl w:ilvl="1">
      <w:lvlJc w:val="left"/>
      <w:lvlText w:val="(%2)"/>
      <w:numFmt w:val="lowerLetter"/>
      <w:start w:val="1"/>
    </w:lvl>
  </w:abstractNum>
  <w:abstractNum w:abstractNumId="325">
    <w:nsid w:val="74824D54"/>
    <w:multiLevelType w:val="hybridMultilevel"/>
    <w:lvl w:ilvl="0">
      <w:lvlJc w:val="left"/>
      <w:lvlText w:val="(%1)"/>
      <w:numFmt w:val="lowerLetter"/>
      <w:start w:val="2"/>
    </w:lvl>
  </w:abstractNum>
  <w:abstractNum w:abstractNumId="326">
    <w:nsid w:val="6F00529A"/>
    <w:multiLevelType w:val="hybridMultilevel"/>
    <w:lvl w:ilvl="0">
      <w:lvlJc w:val="left"/>
      <w:lvlText w:val="(%1)"/>
      <w:numFmt w:val="lowerLetter"/>
      <w:start w:val="3"/>
    </w:lvl>
  </w:abstractNum>
  <w:abstractNum w:abstractNumId="327">
    <w:nsid w:val="805B331"/>
    <w:multiLevelType w:val="hybridMultilevel"/>
    <w:lvl w:ilvl="0">
      <w:lvlJc w:val="left"/>
      <w:lvlText w:val="(%1)"/>
      <w:numFmt w:val="lowerLetter"/>
      <w:start w:val="4"/>
    </w:lvl>
  </w:abstractNum>
  <w:abstractNum w:abstractNumId="328">
    <w:nsid w:val="60A1463"/>
    <w:multiLevelType w:val="hybridMultilevel"/>
    <w:lvl w:ilvl="0">
      <w:lvlJc w:val="left"/>
      <w:lvlText w:val="(%1)"/>
      <w:numFmt w:val="lowerLetter"/>
      <w:start w:val="5"/>
    </w:lvl>
  </w:abstractNum>
  <w:abstractNum w:abstractNumId="329">
    <w:nsid w:val="43773132"/>
    <w:multiLevelType w:val="hybridMultilevel"/>
    <w:lvl w:ilvl="0">
      <w:lvlJc w:val="left"/>
      <w:lvlText w:val="%1."/>
      <w:numFmt w:val="decimal"/>
      <w:start w:val="3"/>
    </w:lvl>
  </w:abstractNum>
  <w:abstractNum w:abstractNumId="330">
    <w:nsid w:val="16AC4B23"/>
    <w:multiLevelType w:val="hybridMultilevel"/>
    <w:lvl w:ilvl="0">
      <w:lvlJc w:val="left"/>
      <w:lvlText w:val="(%1)"/>
      <w:numFmt w:val="lowerLetter"/>
      <w:start w:val="1"/>
    </w:lvl>
  </w:abstractNum>
  <w:abstractNum w:abstractNumId="331">
    <w:nsid w:val="76C44E4E"/>
    <w:multiLevelType w:val="hybridMultilevel"/>
    <w:lvl w:ilvl="0">
      <w:lvlJc w:val="left"/>
      <w:lvlText w:val="·"/>
      <w:numFmt w:val="bullet"/>
      <w:start w:val="1"/>
    </w:lvl>
  </w:abstractNum>
  <w:abstractNum w:abstractNumId="332">
    <w:nsid w:val="E04E6CE"/>
    <w:multiLevelType w:val="hybridMultilevel"/>
    <w:lvl w:ilvl="0">
      <w:lvlJc w:val="left"/>
      <w:lvlText w:val="·"/>
      <w:numFmt w:val="bullet"/>
      <w:start w:val="1"/>
    </w:lvl>
  </w:abstractNum>
  <w:abstractNum w:abstractNumId="333">
    <w:nsid w:val="31A9DB76"/>
    <w:multiLevelType w:val="hybridMultilevel"/>
    <w:lvl w:ilvl="0">
      <w:lvlJc w:val="left"/>
      <w:lvlText w:val="(%1)"/>
      <w:numFmt w:val="lowerLetter"/>
      <w:start w:val="2"/>
    </w:lvl>
    <w:lvl w:ilvl="1">
      <w:lvlJc w:val="left"/>
      <w:lvlText w:val="(%2)"/>
      <w:numFmt w:val="decimal"/>
      <w:start w:val="1"/>
    </w:lvl>
  </w:abstractNum>
  <w:abstractNum w:abstractNumId="334">
    <w:nsid w:val="4C4FFF5B"/>
    <w:multiLevelType w:val="hybridMultilevel"/>
    <w:lvl w:ilvl="0">
      <w:lvlJc w:val="left"/>
      <w:lvlText w:val="(%1)"/>
      <w:numFmt w:val="decimal"/>
      <w:start w:val="2"/>
    </w:lvl>
  </w:abstractNum>
  <w:abstractNum w:abstractNumId="335">
    <w:nsid w:val="51B76675"/>
    <w:multiLevelType w:val="hybridMultilevel"/>
    <w:lvl w:ilvl="0">
      <w:lvlJc w:val="left"/>
      <w:lvlText w:val="(%1)"/>
      <w:numFmt w:val="lowerLetter"/>
      <w:start w:val="3"/>
    </w:lvl>
    <w:lvl w:ilvl="1">
      <w:lvlJc w:val="left"/>
      <w:lvlText w:val="(%2)"/>
      <w:numFmt w:val="decimal"/>
      <w:start w:val="1"/>
    </w:lvl>
  </w:abstractNum>
  <w:abstractNum w:abstractNumId="336">
    <w:nsid w:val="59A4BA71"/>
    <w:multiLevelType w:val="hybridMultilevel"/>
    <w:lvl w:ilvl="0">
      <w:lvlJc w:val="left"/>
      <w:lvlText w:val="(%1)"/>
      <w:numFmt w:val="lowerRoman"/>
      <w:start w:val="2"/>
    </w:lvl>
  </w:abstractNum>
  <w:abstractNum w:abstractNumId="337">
    <w:nsid w:val="450B7FB6"/>
    <w:multiLevelType w:val="hybridMultilevel"/>
    <w:lvl w:ilvl="0">
      <w:lvlJc w:val="left"/>
      <w:lvlText w:val="(%1)"/>
      <w:numFmt w:val="decimal"/>
      <w:start w:val="2"/>
    </w:lvl>
  </w:abstractNum>
  <w:abstractNum w:abstractNumId="338">
    <w:nsid w:val="340BF64D"/>
    <w:multiLevelType w:val="hybridMultilevel"/>
    <w:lvl w:ilvl="0">
      <w:lvlJc w:val="left"/>
      <w:lvlText w:val="(%1)"/>
      <w:numFmt w:val="lowerLetter"/>
      <w:start w:val="4"/>
    </w:lvl>
  </w:abstractNum>
  <w:abstractNum w:abstractNumId="339">
    <w:nsid w:val="69454021"/>
    <w:multiLevelType w:val="hybridMultilevel"/>
    <w:lvl w:ilvl="0">
      <w:lvlJc w:val="left"/>
      <w:lvlText w:val="(%1)"/>
      <w:numFmt w:val="decimal"/>
      <w:start w:val="1"/>
    </w:lvl>
    <w:lvl w:ilvl="1">
      <w:lvlJc w:val="left"/>
      <w:lvlText w:val="(%2)"/>
      <w:numFmt w:val="lowerLetter"/>
      <w:start w:val="1"/>
    </w:lvl>
  </w:abstractNum>
  <w:abstractNum w:abstractNumId="340">
    <w:nsid w:val="49F15C6B"/>
    <w:multiLevelType w:val="hybridMultilevel"/>
    <w:lvl w:ilvl="0">
      <w:lvlJc w:val="left"/>
      <w:lvlText w:val="(%1)"/>
      <w:numFmt w:val="lowerRoman"/>
      <w:start w:val="3"/>
    </w:lvl>
  </w:abstractNum>
  <w:abstractNum w:abstractNumId="341">
    <w:nsid w:val="75F56228"/>
    <w:multiLevelType w:val="hybridMultilevel"/>
    <w:lvl w:ilvl="0">
      <w:lvlJc w:val="left"/>
      <w:lvlText w:val="(%1)"/>
      <w:numFmt w:val="lowerLetter"/>
      <w:start w:val="2"/>
    </w:lvl>
  </w:abstractNum>
  <w:abstractNum w:abstractNumId="342">
    <w:nsid w:val="1C618271"/>
    <w:multiLevelType w:val="hybridMultilevel"/>
    <w:lvl w:ilvl="0">
      <w:lvlJc w:val="left"/>
      <w:lvlText w:val="(%1)"/>
      <w:numFmt w:val="lowerLetter"/>
      <w:start w:val="3"/>
    </w:lvl>
  </w:abstractNum>
  <w:abstractNum w:abstractNumId="343">
    <w:nsid w:val="6505F02E"/>
    <w:multiLevelType w:val="hybridMultilevel"/>
    <w:lvl w:ilvl="0">
      <w:lvlJc w:val="left"/>
      <w:lvlText w:val="(%1)"/>
      <w:numFmt w:val="lowerLetter"/>
      <w:start w:val="4"/>
    </w:lvl>
  </w:abstractNum>
  <w:abstractNum w:abstractNumId="344">
    <w:nsid w:val="2FE5D025"/>
    <w:multiLevelType w:val="hybridMultilevel"/>
    <w:lvl w:ilvl="0">
      <w:lvlJc w:val="left"/>
      <w:lvlText w:val="(%1)"/>
      <w:numFmt w:val="lowerLetter"/>
      <w:start w:val="5"/>
    </w:lvl>
  </w:abstractNum>
  <w:abstractNum w:abstractNumId="345">
    <w:nsid w:val="30E1B1CF"/>
    <w:multiLevelType w:val="hybridMultilevel"/>
    <w:lvl w:ilvl="0">
      <w:lvlJc w:val="left"/>
      <w:lvlText w:val="(%1)"/>
      <w:numFmt w:val="lowerLetter"/>
      <w:start w:val="6"/>
    </w:lvl>
  </w:abstractNum>
  <w:abstractNum w:abstractNumId="346">
    <w:nsid w:val="C7A9237"/>
    <w:multiLevelType w:val="hybridMultilevel"/>
    <w:lvl w:ilvl="0">
      <w:lvlJc w:val="left"/>
      <w:lvlText w:val="(%1)"/>
      <w:numFmt w:val="decimal"/>
      <w:start w:val="2"/>
    </w:lvl>
  </w:abstractNum>
  <w:abstractNum w:abstractNumId="347">
    <w:nsid w:val="676B3580"/>
    <w:multiLevelType w:val="hybridMultilevel"/>
    <w:lvl w:ilvl="0">
      <w:lvlJc w:val="left"/>
      <w:lvlText w:val="(%1)"/>
      <w:numFmt w:val="decimal"/>
      <w:start w:val="3"/>
    </w:lvl>
    <w:lvl w:ilvl="1">
      <w:lvlJc w:val="left"/>
      <w:lvlText w:val="(%2)"/>
      <w:numFmt w:val="lowerLetter"/>
      <w:start w:val="1"/>
    </w:lvl>
  </w:abstractNum>
  <w:abstractNum w:abstractNumId="348">
    <w:nsid w:val="3193C8F9"/>
    <w:multiLevelType w:val="hybridMultilevel"/>
    <w:lvl w:ilvl="0">
      <w:lvlJc w:val="left"/>
      <w:lvlText w:val="(%1)"/>
      <w:numFmt w:val="lowerLetter"/>
      <w:start w:val="2"/>
    </w:lvl>
  </w:abstractNum>
  <w:abstractNum w:abstractNumId="349">
    <w:nsid w:val="5FA6C6DC"/>
    <w:multiLevelType w:val="hybridMultilevel"/>
    <w:lvl w:ilvl="0">
      <w:lvlJc w:val="left"/>
      <w:lvlText w:val="(%1)"/>
      <w:numFmt w:val="lowerRoman"/>
      <w:start w:val="2"/>
    </w:lvl>
  </w:abstractNum>
  <w:abstractNum w:abstractNumId="350">
    <w:nsid w:val="77933F62"/>
    <w:multiLevelType w:val="hybridMultilevel"/>
    <w:lvl w:ilvl="0">
      <w:lvlJc w:val="left"/>
      <w:lvlText w:val="(%1)"/>
      <w:numFmt w:val="lowerLetter"/>
      <w:start w:val="3"/>
    </w:lvl>
  </w:abstractNum>
  <w:abstractNum w:abstractNumId="351">
    <w:nsid w:val="6CB4EE9C"/>
    <w:multiLevelType w:val="hybridMultilevel"/>
    <w:lvl w:ilvl="0">
      <w:lvlJc w:val="left"/>
      <w:lvlText w:val="(%1)"/>
      <w:numFmt w:val="decimal"/>
      <w:start w:val="4"/>
    </w:lvl>
    <w:lvl w:ilvl="1">
      <w:lvlJc w:val="left"/>
      <w:lvlText w:val="(%2)"/>
      <w:numFmt w:val="lowerLetter"/>
      <w:start w:val="1"/>
    </w:lvl>
  </w:abstractNum>
  <w:abstractNum w:abstractNumId="352">
    <w:nsid w:val="6A6D56D7"/>
    <w:multiLevelType w:val="hybridMultilevel"/>
    <w:lvl w:ilvl="0">
      <w:lvlJc w:val="left"/>
      <w:lvlText w:val="(%1)"/>
      <w:numFmt w:val="lowerLetter"/>
      <w:start w:val="2"/>
    </w:lvl>
  </w:abstractNum>
  <w:abstractNum w:abstractNumId="353">
    <w:nsid w:val="5B727F19"/>
    <w:multiLevelType w:val="hybridMultilevel"/>
    <w:lvl w:ilvl="0">
      <w:lvlJc w:val="left"/>
      <w:lvlText w:val="(%1)"/>
      <w:numFmt w:val="decimal"/>
      <w:start w:val="5"/>
    </w:lvl>
  </w:abstractNum>
  <w:abstractNum w:abstractNumId="354">
    <w:nsid w:val="514E5CB0"/>
    <w:multiLevelType w:val="hybridMultilevel"/>
    <w:lvl w:ilvl="0">
      <w:lvlJc w:val="left"/>
      <w:lvlText w:val="%1."/>
      <w:numFmt w:val="decimal"/>
      <w:start w:val="4"/>
    </w:lvl>
  </w:abstractNum>
  <w:abstractNum w:abstractNumId="355">
    <w:nsid w:val="4210D41E"/>
    <w:multiLevelType w:val="hybridMultilevel"/>
    <w:lvl w:ilvl="0">
      <w:lvlJc w:val="left"/>
      <w:lvlText w:val="(%1)"/>
      <w:numFmt w:val="lowerLetter"/>
      <w:start w:val="1"/>
    </w:lvl>
  </w:abstractNum>
  <w:abstractNum w:abstractNumId="356">
    <w:nsid w:val="4FF4CC6D"/>
    <w:multiLevelType w:val="hybridMultilevel"/>
    <w:lvl w:ilvl="0">
      <w:lvlJc w:val="left"/>
      <w:lvlText w:val="(%1)"/>
      <w:numFmt w:val="lowerLetter"/>
      <w:start w:val="2"/>
    </w:lvl>
  </w:abstractNum>
  <w:abstractNum w:abstractNumId="357">
    <w:nsid w:val="404EAF4A"/>
    <w:multiLevelType w:val="hybridMultilevel"/>
    <w:lvl w:ilvl="0">
      <w:lvlJc w:val="left"/>
      <w:lvlText w:val="·"/>
      <w:numFmt w:val="bullet"/>
      <w:start w:val="1"/>
    </w:lvl>
  </w:abstractNum>
  <w:abstractNum w:abstractNumId="358">
    <w:nsid w:val="4A16874F"/>
    <w:multiLevelType w:val="hybridMultilevel"/>
    <w:lvl w:ilvl="0">
      <w:lvlJc w:val="left"/>
      <w:lvlText w:val="(%1)"/>
      <w:numFmt w:val="lowerLetter"/>
      <w:start w:val="3"/>
    </w:lvl>
  </w:abstractNum>
  <w:abstractNum w:abstractNumId="359">
    <w:nsid w:val="55FEE0D1"/>
    <w:multiLevelType w:val="hybridMultilevel"/>
    <w:lvl w:ilvl="0">
      <w:lvlJc w:val="left"/>
      <w:lvlText w:val="·"/>
      <w:numFmt w:val="bullet"/>
      <w:start w:val="1"/>
    </w:lvl>
  </w:abstractNum>
  <w:abstractNum w:abstractNumId="360">
    <w:nsid w:val="3C5E07C"/>
    <w:multiLevelType w:val="hybridMultilevel"/>
    <w:lvl w:ilvl="0">
      <w:lvlJc w:val="left"/>
      <w:lvlText w:val="%1."/>
      <w:numFmt w:val="decimal"/>
      <w:start w:val="5"/>
    </w:lvl>
  </w:abstractNum>
  <w:abstractNum w:abstractNumId="361">
    <w:nsid w:val="60C2D273"/>
    <w:multiLevelType w:val="hybridMultilevel"/>
    <w:lvl w:ilvl="0">
      <w:lvlJc w:val="left"/>
      <w:lvlText w:val="%1."/>
      <w:numFmt w:val="decimal"/>
      <w:start w:val="6"/>
    </w:lvl>
  </w:abstractNum>
  <w:abstractNum w:abstractNumId="362">
    <w:nsid w:val="4CC32F1F"/>
    <w:multiLevelType w:val="hybridMultilevel"/>
    <w:lvl w:ilvl="0">
      <w:lvlJc w:val="left"/>
      <w:lvlText w:val="%1."/>
      <w:numFmt w:val="decimal"/>
      <w:start w:val="7"/>
    </w:lvl>
  </w:abstractNum>
  <w:abstractNum w:abstractNumId="363">
    <w:nsid w:val="11CAC74A"/>
    <w:multiLevelType w:val="hybridMultilevel"/>
    <w:lvl w:ilvl="0">
      <w:lvlJc w:val="left"/>
      <w:lvlText w:val="%1."/>
      <w:numFmt w:val="upperLetter"/>
      <w:start w:val="2"/>
    </w:lvl>
  </w:abstractNum>
  <w:abstractNum w:abstractNumId="364">
    <w:nsid w:val="126CADE9"/>
    <w:multiLevelType w:val="hybridMultilevel"/>
    <w:lvl w:ilvl="0">
      <w:lvlJc w:val="left"/>
      <w:lvlText w:val="%1."/>
      <w:numFmt w:val="decimal"/>
      <w:start w:val="2"/>
    </w:lvl>
    <w:lvl w:ilvl="1">
      <w:lvlJc w:val="left"/>
      <w:lvlText w:val="(%2)"/>
      <w:numFmt w:val="lowerLetter"/>
      <w:start w:val="1"/>
    </w:lvl>
  </w:abstractNum>
  <w:abstractNum w:abstractNumId="365">
    <w:nsid w:val="19132E7B"/>
    <w:multiLevelType w:val="hybridMultilevel"/>
    <w:lvl w:ilvl="0">
      <w:lvlJc w:val="left"/>
      <w:lvlText w:val="(%1)"/>
      <w:numFmt w:val="decimal"/>
      <w:start w:val="1"/>
    </w:lvl>
  </w:abstractNum>
  <w:abstractNum w:abstractNumId="366">
    <w:nsid w:val="63822DC0"/>
    <w:multiLevelType w:val="hybridMultilevel"/>
    <w:lvl w:ilvl="0">
      <w:lvlJc w:val="left"/>
      <w:lvlText w:val="(%1)"/>
      <w:numFmt w:val="decimal"/>
      <w:start w:val="2"/>
    </w:lvl>
  </w:abstractNum>
  <w:abstractNum w:abstractNumId="367">
    <w:nsid w:val="6C11685A"/>
    <w:multiLevelType w:val="hybridMultilevel"/>
    <w:lvl w:ilvl="0">
      <w:lvlJc w:val="left"/>
      <w:lvlText w:val="(%1)"/>
      <w:numFmt w:val="lowerLetter"/>
      <w:start w:val="2"/>
    </w:lvl>
  </w:abstractNum>
  <w:abstractNum w:abstractNumId="368">
    <w:nsid w:val="5E1EAE31"/>
    <w:multiLevelType w:val="hybridMultilevel"/>
    <w:lvl w:ilvl="0">
      <w:lvlJc w:val="left"/>
      <w:lvlText w:val="%1."/>
      <w:numFmt w:val="decimal"/>
      <w:start w:val="3"/>
    </w:lvl>
    <w:lvl w:ilvl="1">
      <w:lvlJc w:val="left"/>
      <w:lvlText w:val="(%2)"/>
      <w:numFmt w:val="lowerLetter"/>
      <w:start w:val="1"/>
    </w:lvl>
  </w:abstractNum>
  <w:abstractNum w:abstractNumId="369">
    <w:nsid w:val="178E240D"/>
    <w:multiLevelType w:val="hybridMultilevel"/>
    <w:lvl w:ilvl="0">
      <w:lvlJc w:val="left"/>
      <w:lvlText w:val="(%1)"/>
      <w:numFmt w:val="lowerLetter"/>
      <w:start w:val="2"/>
    </w:lvl>
  </w:abstractNum>
  <w:abstractNum w:abstractNumId="370">
    <w:nsid w:val="5556A87B"/>
    <w:multiLevelType w:val="hybridMultilevel"/>
    <w:lvl w:ilvl="0">
      <w:lvlJc w:val="left"/>
      <w:lvlText w:val="(%1)"/>
      <w:numFmt w:val="lowerLetter"/>
      <w:start w:val="3"/>
    </w:lvl>
  </w:abstractNum>
  <w:abstractNum w:abstractNumId="371">
    <w:nsid w:val="28100A9C"/>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372">
    <w:nsid w:val="D838636"/>
    <w:multiLevelType w:val="hybridMultilevel"/>
    <w:lvl w:ilvl="0">
      <w:lvlJc w:val="left"/>
      <w:lvlText w:val="(%1)"/>
      <w:numFmt w:val="lowerLetter"/>
      <w:start w:val="2"/>
    </w:lvl>
  </w:abstractNum>
  <w:abstractNum w:abstractNumId="373">
    <w:nsid w:val="71B82AED"/>
    <w:multiLevelType w:val="hybridMultilevel"/>
    <w:lvl w:ilvl="0">
      <w:lvlJc w:val="left"/>
      <w:lvlText w:val="(%1)"/>
      <w:numFmt w:val="lowerLetter"/>
      <w:start w:val="3"/>
    </w:lvl>
  </w:abstractNum>
  <w:abstractNum w:abstractNumId="374">
    <w:nsid w:val="D15FACA"/>
    <w:multiLevelType w:val="hybridMultilevel"/>
    <w:lvl w:ilvl="0">
      <w:lvlJc w:val="left"/>
      <w:lvlText w:val="(%1)"/>
      <w:numFmt w:val="decimal"/>
      <w:start w:val="2"/>
    </w:lvl>
    <w:lvl w:ilvl="1">
      <w:lvlJc w:val="left"/>
      <w:lvlText w:val="(%2)"/>
      <w:numFmt w:val="lowerLetter"/>
      <w:start w:val="1"/>
    </w:lvl>
  </w:abstractNum>
  <w:abstractNum w:abstractNumId="375">
    <w:nsid w:val="3D69565B"/>
    <w:multiLevelType w:val="hybridMultilevel"/>
    <w:lvl w:ilvl="0">
      <w:lvlJc w:val="left"/>
      <w:lvlText w:val="(%1)"/>
      <w:numFmt w:val="lowerLetter"/>
      <w:start w:val="2"/>
    </w:lvl>
  </w:abstractNum>
  <w:abstractNum w:abstractNumId="376">
    <w:nsid w:val="2299DCBC"/>
    <w:multiLevelType w:val="hybridMultilevel"/>
    <w:lvl w:ilvl="0">
      <w:lvlJc w:val="left"/>
      <w:lvlText w:val="·"/>
      <w:numFmt w:val="bullet"/>
      <w:start w:val="1"/>
    </w:lvl>
  </w:abstractNum>
  <w:abstractNum w:abstractNumId="377">
    <w:nsid w:val="19908D02"/>
    <w:multiLevelType w:val="hybridMultilevel"/>
    <w:lvl w:ilvl="0">
      <w:lvlJc w:val="left"/>
      <w:lvlText w:val="(%1)"/>
      <w:numFmt w:val="lowerLetter"/>
      <w:start w:val="3"/>
    </w:lvl>
  </w:abstractNum>
  <w:abstractNum w:abstractNumId="378">
    <w:nsid w:val="24D48BDB"/>
    <w:multiLevelType w:val="hybridMultilevel"/>
    <w:lvl w:ilvl="0">
      <w:lvlJc w:val="left"/>
      <w:lvlText w:val="·"/>
      <w:numFmt w:val="bullet"/>
      <w:start w:val="1"/>
    </w:lvl>
  </w:abstractNum>
  <w:abstractNum w:abstractNumId="379">
    <w:nsid w:val="542DA5B5"/>
    <w:multiLevelType w:val="hybridMultilevel"/>
    <w:lvl w:ilvl="0">
      <w:lvlJc w:val="left"/>
      <w:lvlText w:val="·"/>
      <w:numFmt w:val="bullet"/>
      <w:start w:val="1"/>
    </w:lvl>
  </w:abstractNum>
  <w:abstractNum w:abstractNumId="380">
    <w:nsid w:val="793753DE"/>
    <w:multiLevelType w:val="hybridMultilevel"/>
    <w:lvl w:ilvl="0">
      <w:lvlJc w:val="left"/>
      <w:lvlText w:val="·"/>
      <w:numFmt w:val="bullet"/>
      <w:start w:val="1"/>
    </w:lvl>
  </w:abstractNum>
  <w:abstractNum w:abstractNumId="381">
    <w:nsid w:val="1C67CB3D"/>
    <w:multiLevelType w:val="hybridMultilevel"/>
    <w:lvl w:ilvl="0">
      <w:lvlJc w:val="left"/>
      <w:lvlText w:val="(%1)"/>
      <w:numFmt w:val="lowerLetter"/>
      <w:start w:val="4"/>
    </w:lvl>
  </w:abstractNum>
  <w:abstractNum w:abstractNumId="382">
    <w:nsid w:val="40E29452"/>
    <w:multiLevelType w:val="hybridMultilevel"/>
    <w:lvl w:ilvl="0">
      <w:lvlJc w:val="left"/>
      <w:lvlText w:val="(%1)"/>
      <w:numFmt w:val="lowerLetter"/>
      <w:start w:val="5"/>
    </w:lvl>
  </w:abstractNum>
  <w:abstractNum w:abstractNumId="383">
    <w:nsid w:val="63A4AAB6"/>
    <w:multiLevelType w:val="hybridMultilevel"/>
    <w:lvl w:ilvl="0">
      <w:lvlJc w:val="left"/>
      <w:lvlText w:val="(%1)"/>
      <w:numFmt w:val="decimal"/>
      <w:start w:val="3"/>
    </w:lvl>
    <w:lvl w:ilvl="1">
      <w:lvlJc w:val="left"/>
      <w:lvlText w:val="(%2)"/>
      <w:numFmt w:val="lowerLetter"/>
      <w:start w:val="1"/>
    </w:lvl>
  </w:abstractNum>
  <w:abstractNum w:abstractNumId="384">
    <w:nsid w:val="77DA4A57"/>
    <w:multiLevelType w:val="hybridMultilevel"/>
    <w:lvl w:ilvl="0">
      <w:lvlJc w:val="left"/>
      <w:lvlText w:val="(%1)"/>
      <w:numFmt w:val="lowerLetter"/>
      <w:start w:val="2"/>
    </w:lvl>
  </w:abstractNum>
  <w:abstractNum w:abstractNumId="385">
    <w:nsid w:val="1230F102"/>
    <w:multiLevelType w:val="hybridMultilevel"/>
    <w:lvl w:ilvl="0">
      <w:lvlJc w:val="left"/>
      <w:lvlText w:val="(%1)"/>
      <w:numFmt w:val="lowerLetter"/>
      <w:start w:val="3"/>
    </w:lvl>
  </w:abstractNum>
  <w:abstractNum w:abstractNumId="386">
    <w:nsid w:val="25B57ED4"/>
    <w:multiLevelType w:val="hybridMultilevel"/>
    <w:lvl w:ilvl="0">
      <w:lvlJc w:val="left"/>
      <w:lvlText w:val="%1."/>
      <w:numFmt w:val="upperLetter"/>
      <w:start w:val="3"/>
    </w:lvl>
  </w:abstractNum>
  <w:abstractNum w:abstractNumId="387">
    <w:nsid w:val="47CF16C4"/>
    <w:multiLevelType w:val="hybridMultilevel"/>
    <w:lvl w:ilvl="0">
      <w:lvlJc w:val="left"/>
      <w:lvlText w:val="%1."/>
      <w:numFmt w:val="upperLetter"/>
      <w:start w:val="4"/>
    </w:lvl>
  </w:abstractNum>
  <w:abstractNum w:abstractNumId="388">
    <w:nsid w:val="527FA04C"/>
    <w:multiLevelType w:val="hybridMultilevel"/>
    <w:lvl w:ilvl="0">
      <w:lvlJc w:val="left"/>
      <w:lvlText w:val="%1."/>
      <w:numFmt w:val="upperLetter"/>
      <w:start w:val="1"/>
    </w:lvl>
  </w:abstractNum>
  <w:abstractNum w:abstractNumId="389">
    <w:nsid w:val="6FCC0624"/>
    <w:multiLevelType w:val="hybridMultilevel"/>
    <w:lvl w:ilvl="0">
      <w:lvlJc w:val="left"/>
      <w:lvlText w:val="%1."/>
      <w:numFmt w:val="upperLetter"/>
      <w:start w:val="2"/>
    </w:lvl>
  </w:abstractNum>
  <w:abstractNum w:abstractNumId="390">
    <w:nsid w:val="1DCDF795"/>
    <w:multiLevelType w:val="hybridMultilevel"/>
    <w:lvl w:ilvl="0">
      <w:lvlJc w:val="left"/>
      <w:lvlText w:val="%1)"/>
      <w:numFmt w:val="lowerRoman"/>
      <w:start w:val="1"/>
    </w:lvl>
  </w:abstractNum>
  <w:abstractNum w:abstractNumId="391">
    <w:nsid w:val="564580C8"/>
    <w:multiLevelType w:val="hybridMultilevel"/>
    <w:lvl w:ilvl="0">
      <w:lvlJc w:val="left"/>
      <w:lvlText w:val="(%1)"/>
      <w:numFmt w:val="decimal"/>
      <w:start w:val="1"/>
    </w:lvl>
  </w:abstractNum>
  <w:abstractNum w:abstractNumId="392">
    <w:nsid w:val="508ED897"/>
    <w:multiLevelType w:val="hybridMultilevel"/>
    <w:lvl w:ilvl="0">
      <w:lvlJc w:val="left"/>
      <w:lvlText w:val="%1"/>
      <w:numFmt w:val="lowerRoman"/>
      <w:start w:val="1"/>
    </w:lvl>
    <w:lvl w:ilvl="1">
      <w:lvlJc w:val="left"/>
      <w:lvlText w:val="%2)"/>
      <w:numFmt w:val="lowerRoman"/>
      <w:start w:val="1"/>
    </w:lvl>
  </w:abstractNum>
  <w:abstractNum w:abstractNumId="393">
    <w:nsid w:val="6A9126B5"/>
    <w:multiLevelType w:val="hybridMultilevel"/>
    <w:lvl w:ilvl="0">
      <w:lvlJc w:val="left"/>
      <w:lvlText w:val="%1)"/>
      <w:numFmt w:val="lowerRoman"/>
      <w:start w:val="1"/>
    </w:lvl>
    <w:lvl w:ilvl="1">
      <w:lvlJc w:val="left"/>
      <w:lvlText w:val="%2"/>
      <w:numFmt w:val="lowerRoman"/>
      <w:start w:val="1"/>
    </w:lvl>
  </w:abstractNum>
  <w:abstractNum w:abstractNumId="394">
    <w:nsid w:val="68104812"/>
    <w:multiLevelType w:val="hybridMultilevel"/>
    <w:lvl w:ilvl="0">
      <w:lvlJc w:val="left"/>
      <w:lvlText w:val="(%1)"/>
      <w:numFmt w:val="decimal"/>
      <w:start w:val="3"/>
    </w:lvl>
  </w:abstractNum>
  <w:abstractNum w:abstractNumId="395">
    <w:nsid w:val="62FB8680"/>
    <w:multiLevelType w:val="hybridMultilevel"/>
    <w:lvl w:ilvl="0">
      <w:lvlJc w:val="left"/>
      <w:lvlText w:val="%1)"/>
      <w:numFmt w:val="lowerRoman"/>
      <w:start w:val="2"/>
    </w:lvl>
    <w:lvl w:ilvl="1">
      <w:lvlJc w:val="left"/>
      <w:lvlText w:val="·"/>
      <w:numFmt w:val="bullet"/>
      <w:start w:val="1"/>
    </w:lvl>
  </w:abstractNum>
  <w:abstractNum w:abstractNumId="396">
    <w:nsid w:val="3A45530"/>
    <w:multiLevelType w:val="hybridMultilevel"/>
    <w:lvl w:ilvl="0">
      <w:lvlJc w:val="left"/>
      <w:lvlText w:val="·"/>
      <w:numFmt w:val="bullet"/>
      <w:start w:val="1"/>
    </w:lvl>
  </w:abstractNum>
  <w:abstractNum w:abstractNumId="397">
    <w:nsid w:val="4B9275D2"/>
    <w:multiLevelType w:val="hybridMultilevel"/>
    <w:lvl w:ilvl="0">
      <w:lvlJc w:val="left"/>
      <w:lvlText w:val="·"/>
      <w:numFmt w:val="bullet"/>
      <w:start w:val="1"/>
    </w:lvl>
    <w:lvl w:ilvl="1">
      <w:lvlJc w:val="left"/>
      <w:lvlText w:val="·"/>
      <w:numFmt w:val="bullet"/>
      <w:start w:val="1"/>
    </w:lvl>
  </w:abstractNum>
  <w:abstractNum w:abstractNumId="398">
    <w:nsid w:val="4F0CEEDB"/>
    <w:multiLevelType w:val="hybridMultilevel"/>
    <w:lvl w:ilvl="0">
      <w:lvlJc w:val="left"/>
      <w:lvlText w:val="A"/>
      <w:numFmt w:val="bullet"/>
      <w:start w:val="1"/>
    </w:lvl>
  </w:abstractNum>
  <w:abstractNum w:abstractNumId="399">
    <w:nsid w:val="61C30361"/>
    <w:multiLevelType w:val="hybridMultilevel"/>
    <w:lvl w:ilvl="0">
      <w:lvlJc w:val="left"/>
      <w:lvlText w:val="E"/>
      <w:numFmt w:val="bullet"/>
      <w:start w:val="1"/>
    </w:lvl>
  </w:abstractNum>
  <w:abstractNum w:abstractNumId="400">
    <w:nsid w:val="632099E0"/>
    <w:multiLevelType w:val="hybridMultilevel"/>
    <w:lvl w:ilvl="0">
      <w:lvlJc w:val="left"/>
      <w:lvlText w:val="G"/>
      <w:numFmt w:val="bullet"/>
      <w:start w:val="1"/>
    </w:lvl>
  </w:abstractNum>
  <w:abstractNum w:abstractNumId="401">
    <w:nsid w:val="24639756"/>
    <w:multiLevelType w:val="hybridMultilevel"/>
    <w:lvl w:ilvl="0">
      <w:lvlJc w:val="left"/>
      <w:lvlText w:val="%1."/>
      <w:numFmt w:val="upperLetter"/>
      <w:start w:val="9"/>
    </w:lvl>
    <w:lvl w:ilvl="1">
      <w:lvlJc w:val="left"/>
      <w:lvlText w:val="·"/>
      <w:numFmt w:val="bullet"/>
      <w:start w:val="1"/>
    </w:lvl>
  </w:abstractNum>
  <w:abstractNum w:abstractNumId="402">
    <w:nsid w:val="9D30DFD"/>
    <w:multiLevelType w:val="hybridMultilevel"/>
    <w:lvl w:ilvl="0">
      <w:lvlJc w:val="left"/>
      <w:lvlText w:val="%1."/>
      <w:numFmt w:val="upperLetter"/>
      <w:start w:val="10"/>
    </w:lvl>
    <w:lvl w:ilvl="1">
      <w:lvlJc w:val="left"/>
      <w:lvlText w:val="·"/>
      <w:numFmt w:val="bullet"/>
      <w:start w:val="1"/>
    </w:lvl>
  </w:abstractNum>
  <w:abstractNum w:abstractNumId="403">
    <w:nsid w:val="70A42016"/>
    <w:multiLevelType w:val="hybridMultilevel"/>
    <w:lvl w:ilvl="0">
      <w:lvlJc w:val="left"/>
      <w:lvlText w:val="%1."/>
      <w:numFmt w:val="upperLetter"/>
      <w:start w:val="13"/>
    </w:lvl>
  </w:abstractNum>
  <w:abstractNum w:abstractNumId="404">
    <w:nsid w:val="161BC243"/>
    <w:multiLevelType w:val="hybridMultilevel"/>
    <w:lvl w:ilvl="0">
      <w:lvlJc w:val="left"/>
      <w:lvlText w:val="%1."/>
      <w:numFmt w:val="upperLetter"/>
      <w:start w:val="14"/>
    </w:lvl>
  </w:abstractNum>
  <w:abstractNum w:abstractNumId="405">
    <w:nsid w:val="16E908C8"/>
    <w:multiLevelType w:val="hybridMultilevel"/>
    <w:lvl w:ilvl="0">
      <w:lvlJc w:val="left"/>
      <w:lvlText w:val="%1."/>
      <w:numFmt w:val="upperLetter"/>
      <w:start w:val="15"/>
    </w:lvl>
  </w:abstractNum>
  <w:abstractNum w:abstractNumId="406">
    <w:nsid w:val="2E0D7671"/>
    <w:multiLevelType w:val="hybridMultilevel"/>
    <w:lvl w:ilvl="0">
      <w:lvlJc w:val="left"/>
      <w:lvlText w:val="%1."/>
      <w:numFmt w:val="upperLetter"/>
      <w:start w:val="16"/>
    </w:lvl>
  </w:abstractNum>
  <w:abstractNum w:abstractNumId="407">
    <w:nsid w:val="38B59EFF"/>
    <w:multiLevelType w:val="hybridMultilevel"/>
    <w:lvl w:ilvl="0">
      <w:lvlJc w:val="left"/>
      <w:lvlText w:val="%1."/>
      <w:numFmt w:val="upperLetter"/>
      <w:start w:val="17"/>
    </w:lvl>
  </w:abstractNum>
  <w:abstractNum w:abstractNumId="408">
    <w:nsid w:val="307995CA"/>
    <w:multiLevelType w:val="hybridMultilevel"/>
    <w:lvl w:ilvl="0">
      <w:lvlJc w:val="left"/>
      <w:lvlText w:val="%1."/>
      <w:numFmt w:val="upperLetter"/>
      <w:start w:val="18"/>
    </w:lvl>
  </w:abstractNum>
  <w:abstractNum w:abstractNumId="409">
    <w:nsid w:val="52E2024D"/>
    <w:multiLevelType w:val="hybridMultilevel"/>
    <w:lvl w:ilvl="0">
      <w:lvlJc w:val="left"/>
      <w:lvlText w:val="%1."/>
      <w:numFmt w:val="upperLetter"/>
      <w:start w:val="19"/>
    </w:lvl>
  </w:abstractNum>
  <w:abstractNum w:abstractNumId="410">
    <w:nsid w:val="CE344B5"/>
    <w:multiLevelType w:val="hybridMultilevel"/>
    <w:lvl w:ilvl="0">
      <w:lvlJc w:val="left"/>
      <w:lvlText w:val="%1."/>
      <w:numFmt w:val="upperLetter"/>
      <w:start w:val="20"/>
    </w:lvl>
  </w:abstractNum>
  <w:abstractNum w:abstractNumId="411">
    <w:nsid w:val="29B0E9A8"/>
    <w:multiLevelType w:val="hybridMultilevel"/>
    <w:lvl w:ilvl="0">
      <w:lvlJc w:val="left"/>
      <w:lvlText w:val="%1."/>
      <w:numFmt w:val="upperLetter"/>
      <w:start w:val="21"/>
    </w:lvl>
  </w:abstractNum>
  <w:abstractNum w:abstractNumId="412">
    <w:nsid w:val="6F49CD8A"/>
    <w:multiLevelType w:val="hybridMultilevel"/>
    <w:lvl w:ilvl="0">
      <w:lvlJc w:val="left"/>
      <w:lvlText w:val="%1."/>
      <w:numFmt w:val="upperLetter"/>
      <w:start w:val="22"/>
    </w:lvl>
  </w:abstractNum>
  <w:abstractNum w:abstractNumId="413">
    <w:nsid w:val="4DC5D907"/>
    <w:multiLevelType w:val="hybridMultilevel"/>
    <w:lvl w:ilvl="0">
      <w:lvlJc w:val="left"/>
      <w:lvlText w:val="%1."/>
      <w:numFmt w:val="upperLetter"/>
      <w:start w:val="23"/>
    </w:lvl>
  </w:abstractNum>
  <w:abstractNum w:abstractNumId="414">
    <w:nsid w:val="D55945E"/>
    <w:multiLevelType w:val="hybridMultilevel"/>
    <w:lvl w:ilvl="0">
      <w:lvlJc w:val="left"/>
      <w:lvlText w:val="%1."/>
      <w:numFmt w:val="upperLetter"/>
      <w:start w:val="24"/>
    </w:lvl>
  </w:abstractNum>
  <w:abstractNum w:abstractNumId="415">
    <w:nsid w:val="672417E1"/>
    <w:multiLevelType w:val="hybridMultilevel"/>
    <w:lvl w:ilvl="0">
      <w:lvlJc w:val="left"/>
      <w:lvlText w:val="%1."/>
      <w:numFmt w:val="upperLetter"/>
      <w:start w:val="25"/>
    </w:lvl>
  </w:abstractNum>
  <w:abstractNum w:abstractNumId="416">
    <w:nsid w:val="5FF6CA09"/>
    <w:multiLevelType w:val="hybridMultilevel"/>
    <w:lvl w:ilvl="0">
      <w:lvlJc w:val="left"/>
      <w:lvlText w:val="%1."/>
      <w:numFmt w:val="upperLetter"/>
      <w:start w:val="26"/>
    </w:lvl>
  </w:abstractNum>
  <w:abstractNum w:abstractNumId="417">
    <w:nsid w:val="330B1333"/>
    <w:multiLevelType w:val="hybridMultilevel"/>
    <w:lvl w:ilvl="0">
      <w:lvlJc w:val="left"/>
      <w:lvlText w:val="%1."/>
      <w:numFmt w:val="upperLetter"/>
      <w:start w:val="27"/>
    </w:lvl>
  </w:abstractNum>
  <w:abstractNum w:abstractNumId="418">
    <w:nsid w:val="2EF32EA6"/>
    <w:multiLevelType w:val="hybridMultilevel"/>
    <w:lvl w:ilvl="0">
      <w:lvlJc w:val="left"/>
      <w:lvlText w:val="%1."/>
      <w:numFmt w:val="upperLetter"/>
      <w:start w:val="28"/>
    </w:lvl>
  </w:abstractNum>
  <w:abstractNum w:abstractNumId="419">
    <w:nsid w:val="32766A55"/>
    <w:multiLevelType w:val="hybridMultilevel"/>
    <w:lvl w:ilvl="0">
      <w:lvlJc w:val="left"/>
      <w:lvlText w:val="%1."/>
      <w:numFmt w:val="upperLetter"/>
      <w:start w:val="29"/>
    </w:lvl>
  </w:abstractNum>
  <w:abstractNum w:abstractNumId="420">
    <w:nsid w:val="22D71957"/>
    <w:multiLevelType w:val="hybridMultilevel"/>
    <w:lvl w:ilvl="0">
      <w:lvlJc w:val="left"/>
      <w:lvlText w:val="(%1)"/>
      <w:numFmt w:val="decimal"/>
      <w:start w:val="1"/>
    </w:lvl>
  </w:abstractNum>
  <w:abstractNum w:abstractNumId="421">
    <w:nsid w:val="4CC1263B"/>
    <w:multiLevelType w:val="hybridMultilevel"/>
    <w:lvl w:ilvl="0">
      <w:lvlJc w:val="left"/>
      <w:lvlText w:val="%1)"/>
      <w:numFmt w:val="decimal"/>
      <w:start w:val="1"/>
    </w:lvl>
  </w:abstractNum>
  <w:abstractNum w:abstractNumId="422">
    <w:nsid w:val="8BBEB1D"/>
    <w:multiLevelType w:val="hybridMultilevel"/>
    <w:lvl w:ilvl="0">
      <w:lvlJc w:val="left"/>
      <w:lvlText w:val="%1"/>
      <w:numFmt w:val="decimal"/>
      <w:start w:val="1"/>
    </w:lvl>
    <w:lvl w:ilvl="1">
      <w:lvlJc w:val="left"/>
      <w:lvlText w:val="%2."/>
      <w:numFmt w:val="upperLetter"/>
      <w:start w:val="5"/>
    </w:lvl>
  </w:abstractNum>
  <w:abstractNum w:abstractNumId="423">
    <w:nsid w:val="7365F1EE"/>
    <w:multiLevelType w:val="hybridMultilevel"/>
    <w:lvl w:ilvl="0">
      <w:lvlJc w:val="left"/>
      <w:lvlText w:val="%1)"/>
      <w:numFmt w:val="decimal"/>
      <w:start w:val="2"/>
    </w:lvl>
    <w:lvl w:ilvl="1">
      <w:lvlJc w:val="left"/>
      <w:lvlText w:val="%2."/>
      <w:numFmt w:val="upperLetter"/>
      <w:start w:val="1"/>
    </w:lvl>
  </w:abstractNum>
  <w:abstractNum w:abstractNumId="424">
    <w:nsid w:val="37524CF0"/>
    <w:multiLevelType w:val="hybridMultilevel"/>
    <w:lvl w:ilvl="0">
      <w:lvlJc w:val="left"/>
      <w:lvlText w:val="%1)"/>
      <w:numFmt w:val="decimal"/>
      <w:start w:val="2"/>
    </w:lvl>
    <w:lvl w:ilvl="1">
      <w:lvlJc w:val="left"/>
      <w:lvlText w:val="·"/>
      <w:numFmt w:val="bullet"/>
      <w:start w:val="1"/>
    </w:lvl>
  </w:abstractNum>
  <w:abstractNum w:abstractNumId="425">
    <w:nsid w:val="70CC332F"/>
    <w:multiLevelType w:val="hybridMultilevel"/>
    <w:lvl w:ilvl="0">
      <w:lvlJc w:val="left"/>
      <w:lvlText w:val="%1."/>
      <w:numFmt w:val="upperLetter"/>
      <w:start w:val="4"/>
    </w:lvl>
  </w:abstractNum>
  <w:abstractNum w:abstractNumId="426">
    <w:nsid w:val="5661786E"/>
    <w:multiLevelType w:val="hybridMultilevel"/>
    <w:lvl w:ilvl="0">
      <w:lvlJc w:val="left"/>
      <w:lvlText w:val="%1."/>
      <w:numFmt w:val="upperLetter"/>
      <w:start w:val="1"/>
    </w:lvl>
  </w:abstractNum>
  <w:abstractNum w:abstractNumId="427">
    <w:nsid w:val="3AF6A220"/>
    <w:multiLevelType w:val="hybridMultilevel"/>
    <w:lvl w:ilvl="0">
      <w:lvlJc w:val="left"/>
      <w:lvlText w:val="(%1)"/>
      <w:numFmt w:val="lowerRoman"/>
      <w:start w:val="2"/>
    </w:lvl>
  </w:abstractNum>
  <w:abstractNum w:abstractNumId="428">
    <w:nsid w:val="3C5EA902"/>
    <w:multiLevelType w:val="hybridMultilevel"/>
    <w:lvl w:ilvl="0">
      <w:lvlJc w:val="left"/>
      <w:lvlText w:val="(%1)"/>
      <w:numFmt w:val="decimal"/>
      <w:start w:val="1"/>
    </w:lvl>
  </w:abstractNum>
  <w:abstractNum w:abstractNumId="429">
    <w:nsid w:val="256E6749"/>
    <w:multiLevelType w:val="hybridMultilevel"/>
    <w:lvl w:ilvl="0">
      <w:lvlJc w:val="left"/>
      <w:lvlText w:val="%1"/>
      <w:numFmt w:val="lowerRoman"/>
      <w:start w:val="1"/>
    </w:lvl>
    <w:lvl w:ilvl="1">
      <w:lvlJc w:val="left"/>
      <w:lvlText w:val="%2."/>
      <w:numFmt w:val="upperLetter"/>
      <w:start w:val="2"/>
    </w:lvl>
  </w:abstractNum>
  <w:abstractNum w:abstractNumId="430">
    <w:nsid w:val="1CB9A581"/>
    <w:multiLevelType w:val="hybridMultilevel"/>
    <w:lvl w:ilvl="0">
      <w:lvlJc w:val="left"/>
      <w:lvlText w:val="(%1)"/>
      <w:numFmt w:val="lowerRoman"/>
      <w:start w:val="1"/>
    </w:lvl>
    <w:lvl w:ilvl="1">
      <w:lvlJc w:val="left"/>
      <w:lvlText w:val="%2"/>
      <w:numFmt w:val="upperLetter"/>
      <w:start w:val="1"/>
    </w:lvl>
  </w:abstractNum>
  <w:abstractNum w:abstractNumId="431">
    <w:nsid w:val="1F7F42E2"/>
    <w:multiLevelType w:val="hybridMultilevel"/>
    <w:lvl w:ilvl="0">
      <w:lvlJc w:val="left"/>
      <w:lvlText w:val="(%1)"/>
      <w:numFmt w:val="lowerRoman"/>
      <w:start w:val="1"/>
    </w:lvl>
  </w:abstractNum>
  <w:abstractNum w:abstractNumId="432">
    <w:nsid w:val="49D1FEA0"/>
    <w:multiLevelType w:val="hybridMultilevel"/>
    <w:lvl w:ilvl="0">
      <w:lvlJc w:val="left"/>
      <w:lvlText w:val="(%1)"/>
      <w:numFmt w:val="lowerRoman"/>
      <w:start w:val="2"/>
    </w:lvl>
  </w:abstractNum>
  <w:abstractNum w:abstractNumId="433">
    <w:nsid w:val="268CB37F"/>
    <w:multiLevelType w:val="hybridMultilevel"/>
    <w:lvl w:ilvl="0">
      <w:lvlJc w:val="left"/>
      <w:lvlText w:val="(%1)"/>
      <w:numFmt w:val="lowerLetter"/>
      <w:start w:val="2"/>
    </w:lvl>
  </w:abstractNum>
  <w:abstractNum w:abstractNumId="434">
    <w:nsid w:val="102362F8"/>
    <w:multiLevelType w:val="hybridMultilevel"/>
    <w:lvl w:ilvl="0">
      <w:lvlJc w:val="left"/>
      <w:lvlText w:val="(%1)"/>
      <w:numFmt w:val="decimal"/>
      <w:start w:val="9"/>
    </w:lvl>
  </w:abstractNum>
  <w:abstractNum w:abstractNumId="435">
    <w:nsid w:val="5FEDC0E3"/>
    <w:multiLevelType w:val="hybridMultilevel"/>
    <w:lvl w:ilvl="0">
      <w:lvlJc w:val="left"/>
      <w:lvlText w:val="(%1)"/>
      <w:numFmt w:val="decimal"/>
      <w:start w:val="3"/>
    </w:lvl>
  </w:abstractNum>
  <w:abstractNum w:abstractNumId="436">
    <w:nsid w:val="3D75BC47"/>
    <w:multiLevelType w:val="hybridMultilevel"/>
    <w:lvl w:ilvl="0">
      <w:lvlJc w:val="left"/>
      <w:lvlText w:val="(%1)"/>
      <w:numFmt w:val="decimal"/>
      <w:start w:val="1"/>
    </w:lvl>
  </w:abstractNum>
  <w:abstractNum w:abstractNumId="437">
    <w:nsid w:val="3E30D969"/>
    <w:multiLevelType w:val="hybridMultilevel"/>
    <w:lvl w:ilvl="0">
      <w:lvlJc w:val="left"/>
      <w:lvlText w:val="%1."/>
      <w:numFmt w:val="upperLetter"/>
      <w:start w:val="3"/>
    </w:lvl>
  </w:abstractNum>
  <w:abstractNum w:abstractNumId="438">
    <w:nsid w:val="18A35FE3"/>
    <w:multiLevelType w:val="hybridMultilevel"/>
    <w:lvl w:ilvl="0">
      <w:lvlJc w:val="left"/>
      <w:lvlText w:val="(%1)"/>
      <w:numFmt w:val="lowerLetter"/>
      <w:start w:val="2"/>
    </w:lvl>
  </w:abstractNum>
  <w:abstractNum w:abstractNumId="439">
    <w:nsid w:val="6DEF5211"/>
    <w:multiLevelType w:val="hybridMultilevel"/>
    <w:lvl w:ilvl="0">
      <w:lvlJc w:val="left"/>
      <w:lvlText w:val="(%1)"/>
      <w:numFmt w:val="lowerLetter"/>
      <w:start w:val="2"/>
    </w:lvl>
  </w:abstractNum>
  <w:abstractNum w:abstractNumId="440">
    <w:nsid w:val="1112DBB6"/>
    <w:multiLevelType w:val="hybridMultilevel"/>
    <w:lvl w:ilvl="0">
      <w:lvlJc w:val="left"/>
      <w:lvlText w:val="(%1)"/>
      <w:numFmt w:val="decimal"/>
      <w:start w:val="2"/>
    </w:lvl>
  </w:abstractNum>
  <w:abstractNum w:abstractNumId="441">
    <w:nsid w:val="2586A498"/>
    <w:multiLevelType w:val="hybridMultilevel"/>
    <w:lvl w:ilvl="0">
      <w:lvlJc w:val="left"/>
      <w:lvlText w:val="(%1)"/>
      <w:numFmt w:val="lowerLetter"/>
      <w:start w:val="13"/>
    </w:lvl>
  </w:abstractNum>
  <w:abstractNum w:abstractNumId="442">
    <w:nsid w:val="17A03BB9"/>
    <w:multiLevelType w:val="hybridMultilevel"/>
    <w:lvl w:ilvl="0">
      <w:lvlJc w:val="left"/>
      <w:lvlText w:val="(%1)"/>
      <w:numFmt w:val="lowerLetter"/>
      <w:start w:val="13"/>
    </w:lvl>
  </w:abstractNum>
  <w:abstractNum w:abstractNumId="443">
    <w:nsid w:val="5CA941"/>
    <w:multiLevelType w:val="hybridMultilevel"/>
    <w:lvl w:ilvl="0">
      <w:lvlJc w:val="left"/>
      <w:lvlText w:val="%1."/>
      <w:numFmt w:val="decimal"/>
      <w:start w:val="1"/>
    </w:lvl>
  </w:abstractNum>
  <w:abstractNum w:abstractNumId="444">
    <w:nsid w:val="734C7D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5">
    <w:nsid w:val="24F5D01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46">
    <w:nsid w:val="6780C122"/>
    <w:multiLevelType w:val="hybridMultilevel"/>
    <w:lvl w:ilvl="0">
      <w:lvlJc w:val="left"/>
      <w:lvlText w:val="%1."/>
      <w:numFmt w:val="decimal"/>
      <w:start w:val="2"/>
    </w:lvl>
    <w:lvl w:ilvl="1">
      <w:lvlJc w:val="left"/>
      <w:lvlText w:val="(%2)"/>
      <w:numFmt w:val="lowerLetter"/>
      <w:start w:val="1"/>
    </w:lvl>
  </w:abstractNum>
  <w:abstractNum w:abstractNumId="447">
    <w:nsid w:val="534347A8"/>
    <w:multiLevelType w:val="hybridMultilevel"/>
    <w:lvl w:ilvl="0">
      <w:lvlJc w:val="left"/>
      <w:lvlText w:val="%1"/>
      <w:numFmt w:val="decimal"/>
      <w:start w:val="1"/>
    </w:lvl>
    <w:lvl w:ilvl="1">
      <w:lvlJc w:val="left"/>
      <w:lvlText w:val="(%2)"/>
      <w:numFmt w:val="lowerLetter"/>
      <w:start w:val="3"/>
    </w:lvl>
  </w:abstractNum>
  <w:abstractNum w:abstractNumId="448">
    <w:nsid w:val="5800E34B"/>
    <w:multiLevelType w:val="hybridMultilevel"/>
    <w:lvl w:ilvl="0">
      <w:lvlJc w:val="left"/>
      <w:lvlText w:val="%1."/>
      <w:numFmt w:val="decimal"/>
      <w:start w:val="4"/>
    </w:lvl>
    <w:lvl w:ilvl="1">
      <w:lvlJc w:val="left"/>
      <w:lvlText w:val="(%2)"/>
      <w:numFmt w:val="lowerLetter"/>
      <w:start w:val="1"/>
    </w:lvl>
  </w:abstractNum>
  <w:abstractNum w:abstractNumId="449">
    <w:nsid w:val="1673EFC8"/>
    <w:multiLevelType w:val="hybridMultilevel"/>
    <w:lvl w:ilvl="0">
      <w:lvlJc w:val="left"/>
      <w:lvlText w:val="%1."/>
      <w:numFmt w:val="decimal"/>
      <w:start w:val="5"/>
    </w:lvl>
    <w:lvl w:ilvl="1">
      <w:lvlJc w:val="left"/>
      <w:lvlText w:val="(%2)"/>
      <w:numFmt w:val="lowerLetter"/>
      <w:start w:val="1"/>
    </w:lvl>
  </w:abstractNum>
  <w:abstractNum w:abstractNumId="450">
    <w:nsid w:val="5B9B1FD"/>
    <w:multiLevelType w:val="hybridMultilevel"/>
    <w:lvl w:ilvl="0">
      <w:lvlJc w:val="left"/>
      <w:lvlText w:val="(%1)"/>
      <w:numFmt w:val="lowerLetter"/>
      <w:start w:val="2"/>
    </w:lvl>
    <w:lvl w:ilvl="1">
      <w:lvlJc w:val="left"/>
      <w:lvlText w:val="(%2)"/>
      <w:numFmt w:val="lowerRoman"/>
      <w:start w:val="1"/>
    </w:lvl>
  </w:abstractNum>
  <w:abstractNum w:abstractNumId="451">
    <w:nsid w:val="7AD7FCA2"/>
    <w:multiLevelType w:val="hybridMultilevel"/>
    <w:lvl w:ilvl="0">
      <w:lvlJc w:val="left"/>
      <w:lvlText w:val="%1"/>
      <w:numFmt w:val="decimal"/>
      <w:start w:val="1"/>
    </w:lvl>
    <w:lvl w:ilvl="1">
      <w:lvlJc w:val="left"/>
      <w:lvlText w:val="(%2)"/>
      <w:numFmt w:val="lowerLetter"/>
      <w:start w:val="4"/>
    </w:lvl>
  </w:abstractNum>
  <w:abstractNum w:abstractNumId="452">
    <w:nsid w:val="63351604"/>
    <w:multiLevelType w:val="hybridMultilevel"/>
    <w:lvl w:ilvl="0">
      <w:lvlJc w:val="left"/>
      <w:lvlText w:val="%1."/>
      <w:numFmt w:val="decimal"/>
      <w:start w:val="8"/>
    </w:lvl>
    <w:lvl w:ilvl="1">
      <w:lvlJc w:val="left"/>
      <w:lvlText w:val="(%2)"/>
      <w:numFmt w:val="lowerLetter"/>
      <w:start w:val="1"/>
    </w:lvl>
  </w:abstractNum>
  <w:abstractNum w:abstractNumId="453">
    <w:nsid w:val="E759D1A"/>
    <w:multiLevelType w:val="hybridMultilevel"/>
    <w:lvl w:ilvl="0">
      <w:lvlJc w:val="left"/>
      <w:lvlText w:val="%1"/>
      <w:numFmt w:val="decimal"/>
      <w:start w:val="1"/>
    </w:lvl>
    <w:lvl w:ilvl="1">
      <w:lvlJc w:val="left"/>
      <w:lvlText w:val="(%2)"/>
      <w:numFmt w:val="lowerLetter"/>
      <w:start w:val="3"/>
    </w:lvl>
  </w:abstractNum>
  <w:abstractNum w:abstractNumId="454">
    <w:nsid w:val="6E3DEE90"/>
    <w:multiLevelType w:val="hybridMultilevel"/>
    <w:lvl w:ilvl="0">
      <w:lvlJc w:val="left"/>
      <w:lvlText w:val="%1."/>
      <w:numFmt w:val="decimal"/>
      <w:start w:val="10"/>
    </w:lvl>
    <w:lvl w:ilvl="1">
      <w:lvlJc w:val="left"/>
      <w:lvlText w:val="(%2)"/>
      <w:numFmt w:val="lowerLetter"/>
      <w:start w:val="1"/>
    </w:lvl>
  </w:abstractNum>
  <w:abstractNum w:abstractNumId="455">
    <w:nsid w:val="1A8762F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56">
    <w:nsid w:val="7F41D049"/>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457">
    <w:nsid w:val="449F66FE"/>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58">
    <w:nsid w:val="557E0515"/>
    <w:multiLevelType w:val="hybridMultilevel"/>
    <w:lvl w:ilvl="0">
      <w:lvlJc w:val="left"/>
      <w:lvlText w:val="(%1)"/>
      <w:numFmt w:val="lowerLetter"/>
      <w:start w:val="2"/>
    </w:lvl>
  </w:abstractNum>
  <w:abstractNum w:abstractNumId="459">
    <w:nsid w:val="3BA0794B"/>
    <w:multiLevelType w:val="hybridMultilevel"/>
    <w:lvl w:ilvl="0">
      <w:lvlJc w:val="left"/>
      <w:lvlText w:val="%1."/>
      <w:numFmt w:val="upperLetter"/>
      <w:start w:val="5"/>
    </w:lvl>
  </w:abstractNum>
  <w:abstractNum w:abstractNumId="460">
    <w:nsid w:val="6A0DCE48"/>
    <w:multiLevelType w:val="hybridMultilevel"/>
    <w:lvl w:ilvl="0">
      <w:lvlJc w:val="left"/>
      <w:lvlText w:val="%1."/>
      <w:numFmt w:val="upperLetter"/>
      <w:start w:val="6"/>
    </w:lvl>
  </w:abstractNum>
  <w:abstractNum w:abstractNumId="461">
    <w:nsid w:val="7237AA96"/>
    <w:multiLevelType w:val="hybridMultilevel"/>
    <w:lvl w:ilvl="0">
      <w:lvlJc w:val="left"/>
      <w:lvlText w:val="%1."/>
      <w:numFmt w:val="upperLetter"/>
      <w:start w:val="2"/>
    </w:lvl>
  </w:abstractNum>
  <w:abstractNum w:abstractNumId="462">
    <w:nsid w:val="5B1FBC2D"/>
    <w:multiLevelType w:val="hybridMultilevel"/>
    <w:lvl w:ilvl="0">
      <w:lvlJc w:val="left"/>
      <w:lvlText w:val="%1."/>
      <w:numFmt w:val="upperLetter"/>
      <w:start w:val="3"/>
    </w:lvl>
  </w:abstractNum>
  <w:abstractNum w:abstractNumId="463">
    <w:nsid w:val="33DFCCE8"/>
    <w:multiLevelType w:val="hybridMultilevel"/>
    <w:lvl w:ilvl="0">
      <w:lvlJc w:val="left"/>
      <w:lvlText w:val="%1."/>
      <w:numFmt w:val="upperLetter"/>
      <w:start w:val="4"/>
    </w:lvl>
  </w:abstractNum>
  <w:abstractNum w:abstractNumId="464">
    <w:nsid w:val="18C45E15"/>
    <w:multiLevelType w:val="hybridMultilevel"/>
    <w:lvl w:ilvl="0">
      <w:lvlJc w:val="left"/>
      <w:lvlText w:val="%1."/>
      <w:numFmt w:val="upperLetter"/>
      <w:start w:val="5"/>
    </w:lvl>
  </w:abstractNum>
  <w:abstractNum w:abstractNumId="465">
    <w:nsid w:val="6B431F25"/>
    <w:multiLevelType w:val="hybridMultilevel"/>
    <w:lvl w:ilvl="0">
      <w:lvlJc w:val="left"/>
      <w:lvlText w:val="%1."/>
      <w:numFmt w:val="upperLetter"/>
      <w:start w:val="8"/>
    </w:lvl>
  </w:abstractNum>
  <w:abstractNum w:abstractNumId="466">
    <w:nsid w:val="13CD8DCB"/>
    <w:multiLevelType w:val="hybridMultilevel"/>
    <w:lvl w:ilvl="0">
      <w:lvlJc w:val="left"/>
      <w:lvlText w:val="%1."/>
      <w:numFmt w:val="upperLetter"/>
      <w:start w:val="9"/>
    </w:lvl>
  </w:abstractNum>
  <w:abstractNum w:abstractNumId="467">
    <w:nsid w:val="563A1A5C"/>
    <w:multiLevelType w:val="hybridMultilevel"/>
    <w:lvl w:ilvl="0">
      <w:lvlJc w:val="left"/>
      <w:lvlText w:val="%1."/>
      <w:numFmt w:val="upperLetter"/>
      <w:start w:val="10"/>
    </w:lvl>
  </w:abstractNum>
  <w:abstractNum w:abstractNumId="468">
    <w:nsid w:val="2973F88F"/>
    <w:multiLevelType w:val="hybridMultilevel"/>
    <w:lvl w:ilvl="0">
      <w:lvlJc w:val="left"/>
      <w:lvlText w:val="%1."/>
      <w:numFmt w:val="upperLetter"/>
      <w:start w:val="11"/>
    </w:lvl>
  </w:abstractNum>
  <w:abstractNum w:abstractNumId="469">
    <w:nsid w:val="2C70EDAE"/>
    <w:multiLevelType w:val="hybridMultilevel"/>
    <w:lvl w:ilvl="0">
      <w:lvlJc w:val="left"/>
      <w:lvlText w:val="%1."/>
      <w:numFmt w:val="upperLetter"/>
      <w:start w:val="12"/>
    </w:lvl>
  </w:abstractNum>
  <w:abstractNum w:abstractNumId="470">
    <w:nsid w:val="44296C6D"/>
    <w:multiLevelType w:val="hybridMultilevel"/>
    <w:lvl w:ilvl="0">
      <w:lvlJc w:val="left"/>
      <w:lvlText w:val="%1."/>
      <w:numFmt w:val="upperLetter"/>
      <w:start w:val="13"/>
    </w:lvl>
  </w:abstractNum>
  <w:abstractNum w:abstractNumId="471">
    <w:nsid w:val="3A86D445"/>
    <w:multiLevelType w:val="hybridMultilevel"/>
    <w:lvl w:ilvl="0">
      <w:lvlJc w:val="left"/>
      <w:lvlText w:val="%1."/>
      <w:numFmt w:val="upperLetter"/>
      <w:start w:val="14"/>
    </w:lvl>
  </w:abstractNum>
  <w:abstractNum w:abstractNumId="472">
    <w:nsid w:val="51F79246"/>
    <w:multiLevelType w:val="hybridMultilevel"/>
    <w:lvl w:ilvl="0">
      <w:lvlJc w:val="left"/>
      <w:lvlText w:val="(%1)"/>
      <w:numFmt w:val="decimal"/>
      <w:start w:val="6"/>
    </w:lvl>
  </w:abstractNum>
  <w:abstractNum w:abstractNumId="473">
    <w:nsid w:val="5BC9A827"/>
    <w:multiLevelType w:val="hybridMultilevel"/>
    <w:lvl w:ilvl="0">
      <w:lvlJc w:val="left"/>
      <w:lvlText w:val="%1."/>
      <w:numFmt w:val="upperLetter"/>
      <w:start w:val="15"/>
    </w:lvl>
  </w:abstractNum>
  <w:abstractNum w:abstractNumId="474">
    <w:nsid w:val="3AE37D86"/>
    <w:multiLevelType w:val="hybridMultilevel"/>
    <w:lvl w:ilvl="0">
      <w:lvlJc w:val="left"/>
      <w:lvlText w:val="%1."/>
      <w:numFmt w:val="upperLetter"/>
      <w:start w:val="16"/>
    </w:lvl>
  </w:abstractNum>
  <w:abstractNum w:abstractNumId="475">
    <w:nsid w:val="45440FE5"/>
    <w:multiLevelType w:val="hybridMultilevel"/>
    <w:lvl w:ilvl="0">
      <w:lvlJc w:val="left"/>
      <w:lvlText w:val="%1."/>
      <w:numFmt w:val="upperLetter"/>
      <w:start w:val="17"/>
    </w:lvl>
  </w:abstractNum>
  <w:abstractNum w:abstractNumId="476">
    <w:nsid w:val="BF783F"/>
    <w:multiLevelType w:val="hybridMultilevel"/>
    <w:lvl w:ilvl="0">
      <w:lvlJc w:val="left"/>
      <w:lvlText w:val="%1."/>
      <w:numFmt w:val="upperLetter"/>
      <w:start w:val="19"/>
    </w:lvl>
  </w:abstractNum>
  <w:abstractNum w:abstractNumId="477">
    <w:nsid w:val="22643EA9"/>
    <w:multiLevelType w:val="hybridMultilevel"/>
    <w:lvl w:ilvl="0">
      <w:lvlJc w:val="left"/>
      <w:lvlText w:val="%1."/>
      <w:numFmt w:val="upperLetter"/>
      <w:start w:val="20"/>
    </w:lvl>
  </w:abstractNum>
  <w:abstractNum w:abstractNumId="478">
    <w:nsid w:val="1887578D"/>
    <w:multiLevelType w:val="hybridMultilevel"/>
    <w:lvl w:ilvl="0">
      <w:lvlJc w:val="left"/>
      <w:lvlText w:val="%1."/>
      <w:numFmt w:val="upperLetter"/>
      <w:start w:val="21"/>
    </w:lvl>
  </w:abstractNum>
  <w:abstractNum w:abstractNumId="479">
    <w:nsid w:val="58C05B8A"/>
    <w:multiLevelType w:val="hybridMultilevel"/>
    <w:lvl w:ilvl="0">
      <w:lvlJc w:val="left"/>
      <w:lvlText w:val="(%1)"/>
      <w:numFmt w:val="lowerRoman"/>
      <w:start w:val="1"/>
    </w:lvl>
  </w:abstractNum>
  <w:abstractNum w:abstractNumId="480">
    <w:nsid w:val="38D82E71"/>
    <w:multiLevelType w:val="hybridMultilevel"/>
    <w:lvl w:ilvl="0">
      <w:lvlJc w:val="left"/>
      <w:lvlText w:val="(%1)"/>
      <w:numFmt w:val="decimal"/>
      <w:start w:val="21"/>
    </w:lvl>
  </w:abstractNum>
  <w:abstractNum w:abstractNumId="481">
    <w:nsid w:val="1E41098A"/>
    <w:multiLevelType w:val="hybridMultilevel"/>
    <w:lvl w:ilvl="0">
      <w:lvlJc w:val="left"/>
      <w:lvlText w:val="%1."/>
      <w:numFmt w:val="upperLetter"/>
      <w:start w:val="4"/>
    </w:lvl>
  </w:abstractNum>
  <w:abstractNum w:abstractNumId="482">
    <w:nsid w:val="5398582C"/>
    <w:multiLevelType w:val="hybridMultilevel"/>
    <w:lvl w:ilvl="0">
      <w:lvlJc w:val="left"/>
      <w:lvlText w:val="%1."/>
      <w:numFmt w:val="decimal"/>
      <w:start w:val="1"/>
    </w:lvl>
  </w:abstractNum>
  <w:abstractNum w:abstractNumId="483">
    <w:nsid w:val="1C0D4475"/>
    <w:multiLevelType w:val="hybridMultilevel"/>
    <w:lvl w:ilvl="0">
      <w:lvlJc w:val="left"/>
      <w:lvlText w:val="%1."/>
      <w:numFmt w:val="decimal"/>
      <w:start w:val="2"/>
    </w:lvl>
  </w:abstractNum>
  <w:abstractNum w:abstractNumId="484">
    <w:nsid w:val="2CB6A6A4"/>
    <w:multiLevelType w:val="hybridMultilevel"/>
    <w:lvl w:ilvl="0">
      <w:lvlJc w:val="left"/>
      <w:lvlText w:val="%1."/>
      <w:numFmt w:val="decimal"/>
      <w:start w:val="3"/>
    </w:lvl>
  </w:abstractNum>
  <w:abstractNum w:abstractNumId="485">
    <w:nsid w:val="41D646BC"/>
    <w:multiLevelType w:val="hybridMultilevel"/>
    <w:lvl w:ilvl="0">
      <w:lvlJc w:val="left"/>
      <w:lvlText w:val="%1."/>
      <w:numFmt w:val="decimal"/>
      <w:start w:val="4"/>
    </w:lvl>
    <w:lvl w:ilvl="1">
      <w:lvlJc w:val="left"/>
      <w:lvlText w:val="(%2)"/>
      <w:numFmt w:val="lowerLetter"/>
      <w:start w:val="1"/>
    </w:lvl>
  </w:abstractNum>
  <w:abstractNum w:abstractNumId="486">
    <w:nsid w:val="3694A76A"/>
    <w:multiLevelType w:val="hybridMultilevel"/>
    <w:lvl w:ilvl="0">
      <w:lvlJc w:val="left"/>
      <w:lvlText w:val="(%1)"/>
      <w:numFmt w:val="lowerLetter"/>
      <w:start w:val="2"/>
    </w:lvl>
  </w:abstractNum>
  <w:abstractNum w:abstractNumId="487">
    <w:nsid w:val="2BF876EE"/>
    <w:multiLevelType w:val="hybridMultilevel"/>
    <w:lvl w:ilvl="0">
      <w:lvlJc w:val="left"/>
      <w:lvlText w:val="(%1)"/>
      <w:numFmt w:val="lowerLetter"/>
      <w:start w:val="3"/>
    </w:lvl>
  </w:abstractNum>
  <w:abstractNum w:abstractNumId="488">
    <w:nsid w:val="675ADBA"/>
    <w:multiLevelType w:val="hybridMultilevel"/>
    <w:lvl w:ilvl="0">
      <w:lvlJc w:val="left"/>
      <w:lvlText w:val="%1."/>
      <w:numFmt w:val="decimal"/>
      <w:start w:val="1"/>
    </w:lvl>
  </w:abstractNum>
  <w:abstractNum w:abstractNumId="489">
    <w:nsid w:val="C12AC7F"/>
    <w:multiLevelType w:val="hybridMultilevel"/>
    <w:lvl w:ilvl="0">
      <w:lvlJc w:val="left"/>
      <w:lvlText w:val="%1."/>
      <w:numFmt w:val="decimal"/>
      <w:start w:val="2"/>
    </w:lvl>
  </w:abstractNum>
  <w:abstractNum w:abstractNumId="490">
    <w:nsid w:val="6798F039"/>
    <w:multiLevelType w:val="hybridMultilevel"/>
    <w:lvl w:ilvl="0">
      <w:lvlJc w:val="left"/>
      <w:lvlText w:val="%1."/>
      <w:numFmt w:val="decimal"/>
      <w:start w:val="3"/>
    </w:lvl>
  </w:abstractNum>
  <w:abstractNum w:abstractNumId="491">
    <w:nsid w:val="70837C02"/>
    <w:multiLevelType w:val="hybridMultilevel"/>
    <w:lvl w:ilvl="0">
      <w:lvlJc w:val="left"/>
      <w:lvlText w:val="%1."/>
      <w:numFmt w:val="decimal"/>
      <w:start w:val="4"/>
    </w:lvl>
  </w:abstractNum>
  <w:abstractNum w:abstractNumId="492">
    <w:nsid w:val="7E4A5715"/>
    <w:multiLevelType w:val="hybridMultilevel"/>
    <w:lvl w:ilvl="0">
      <w:lvlJc w:val="left"/>
      <w:lvlText w:val="%1."/>
      <w:numFmt w:val="decimal"/>
      <w:start w:val="1"/>
    </w:lvl>
  </w:abstractNum>
  <w:abstractNum w:abstractNumId="493">
    <w:nsid w:val="42B8AC67"/>
    <w:multiLevelType w:val="hybridMultilevel"/>
    <w:lvl w:ilvl="0">
      <w:lvlJc w:val="left"/>
      <w:lvlText w:val="%1."/>
      <w:numFmt w:val="decimal"/>
      <w:start w:val="1"/>
    </w:lvl>
  </w:abstractNum>
  <w:abstractNum w:abstractNumId="494">
    <w:nsid w:val="246348EA"/>
    <w:multiLevelType w:val="hybridMultilevel"/>
    <w:lvl w:ilvl="0">
      <w:lvlJc w:val="left"/>
      <w:lvlText w:val="%1."/>
      <w:numFmt w:val="decimal"/>
      <w:start w:val="2"/>
    </w:lvl>
  </w:abstractNum>
  <w:abstractNum w:abstractNumId="495">
    <w:nsid w:val="170EB52B"/>
    <w:multiLevelType w:val="hybridMultilevel"/>
    <w:lvl w:ilvl="0">
      <w:lvlJc w:val="left"/>
      <w:lvlText w:val="%1."/>
      <w:numFmt w:val="decimal"/>
      <w:start w:val="10"/>
    </w:lvl>
  </w:abstractNum>
  <w:abstractNum w:abstractNumId="496">
    <w:nsid w:val="2DFBCB8C"/>
    <w:multiLevelType w:val="hybridMultilevel"/>
    <w:lvl w:ilvl="0">
      <w:lvlJc w:val="left"/>
      <w:lvlText w:val="%1."/>
      <w:numFmt w:val="decimal"/>
      <w:start w:val="1"/>
    </w:lvl>
  </w:abstractNum>
  <w:abstractNum w:abstractNumId="497">
    <w:nsid w:val="3830D6B6"/>
    <w:multiLevelType w:val="hybridMultilevel"/>
    <w:lvl w:ilvl="0">
      <w:lvlJc w:val="left"/>
      <w:lvlText w:val="%1."/>
      <w:numFmt w:val="decimal"/>
      <w:start w:val="2"/>
    </w:lvl>
  </w:abstractNum>
  <w:abstractNum w:abstractNumId="498">
    <w:nsid w:val="6D48CF87"/>
    <w:multiLevelType w:val="hybridMultilevel"/>
    <w:lvl w:ilvl="0">
      <w:lvlJc w:val="left"/>
      <w:lvlText w:val="%1."/>
      <w:numFmt w:val="upperLetter"/>
      <w:start w:val="3"/>
    </w:lvl>
  </w:abstractNum>
  <w:abstractNum w:abstractNumId="499">
    <w:nsid w:val="576FC41B"/>
    <w:multiLevelType w:val="hybridMultilevel"/>
    <w:lvl w:ilvl="0">
      <w:lvlJc w:val="left"/>
      <w:lvlText w:val="%1."/>
      <w:numFmt w:val="upperLetter"/>
      <w:start w:val="4"/>
    </w:lvl>
  </w:abstractNum>
  <w:abstractNum w:abstractNumId="500">
    <w:nsid w:val="64A1C464"/>
    <w:multiLevelType w:val="hybridMultilevel"/>
    <w:lvl w:ilvl="0">
      <w:lvlJc w:val="left"/>
      <w:lvlText w:val="%1."/>
      <w:numFmt w:val="upperLetter"/>
      <w:start w:val="5"/>
    </w:lvl>
  </w:abstractNum>
  <w:abstractNum w:abstractNumId="501">
    <w:nsid w:val="31723BF5"/>
    <w:multiLevelType w:val="hybridMultilevel"/>
    <w:lvl w:ilvl="0">
      <w:lvlJc w:val="left"/>
      <w:lvlText w:val="%1."/>
      <w:numFmt w:val="upperLetter"/>
      <w:start w:val="6"/>
    </w:lvl>
  </w:abstractNum>
  <w:abstractNum w:abstractNumId="502">
    <w:nsid w:val="11F69861"/>
    <w:multiLevelType w:val="hybridMultilevel"/>
    <w:lvl w:ilvl="0">
      <w:lvlJc w:val="left"/>
      <w:lvlText w:val="%1."/>
      <w:numFmt w:val="decimal"/>
      <w:start w:val="1"/>
    </w:lvl>
  </w:abstractNum>
  <w:abstractNum w:abstractNumId="503">
    <w:nsid w:val="369956AB"/>
    <w:multiLevelType w:val="hybridMultilevel"/>
    <w:lvl w:ilvl="0">
      <w:lvlJc w:val="left"/>
      <w:lvlText w:val="%1."/>
      <w:numFmt w:val="decimal"/>
      <w:start w:val="2"/>
    </w:lvl>
  </w:abstractNum>
  <w:abstractNum w:abstractNumId="504">
    <w:nsid w:val="D3BE41C"/>
    <w:multiLevelType w:val="hybridMultilevel"/>
    <w:lvl w:ilvl="0">
      <w:lvlJc w:val="left"/>
      <w:lvlText w:val="%1."/>
      <w:numFmt w:val="upperLetter"/>
      <w:start w:val="7"/>
    </w:lvl>
  </w:abstractNum>
  <w:abstractNum w:abstractNumId="505">
    <w:nsid w:val="4CDA15E7"/>
    <w:multiLevelType w:val="hybridMultilevel"/>
    <w:lvl w:ilvl="0">
      <w:lvlJc w:val="left"/>
      <w:lvlText w:val="(%1)"/>
      <w:numFmt w:val="upperLetter"/>
      <w:start w:val="22"/>
    </w:lvl>
  </w:abstractNum>
  <w:abstractNum w:abstractNumId="506">
    <w:nsid w:val="7BDD6690"/>
    <w:multiLevelType w:val="hybridMultilevel"/>
    <w:lvl w:ilvl="0">
      <w:lvlJc w:val="left"/>
      <w:lvlText w:val="%1."/>
      <w:numFmt w:val="upperLetter"/>
      <w:start w:val="8"/>
    </w:lvl>
  </w:abstractNum>
  <w:abstractNum w:abstractNumId="507">
    <w:nsid w:val="DFB5C5B"/>
    <w:multiLevelType w:val="hybridMultilevel"/>
    <w:lvl w:ilvl="0">
      <w:lvlJc w:val="left"/>
      <w:lvlText w:val="%1."/>
      <w:numFmt w:val="upperLetter"/>
      <w:start w:val="9"/>
    </w:lvl>
  </w:abstractNum>
  <w:abstractNum w:abstractNumId="508">
    <w:nsid w:val="6F3E5490"/>
    <w:multiLevelType w:val="hybridMultilevel"/>
    <w:lvl w:ilvl="0">
      <w:lvlJc w:val="left"/>
      <w:lvlText w:val="%1."/>
      <w:numFmt w:val="upperLetter"/>
      <w:start w:val="10"/>
    </w:lvl>
  </w:abstractNum>
  <w:abstractNum w:abstractNumId="509">
    <w:nsid w:val="1464BE1E"/>
    <w:multiLevelType w:val="hybridMultilevel"/>
    <w:lvl w:ilvl="0">
      <w:lvlJc w:val="left"/>
      <w:lvlText w:val="%1."/>
      <w:numFmt w:val="decimal"/>
      <w:start w:val="1"/>
    </w:lvl>
  </w:abstractNum>
  <w:abstractNum w:abstractNumId="510">
    <w:nsid w:val="66BBB7E5"/>
    <w:multiLevelType w:val="hybridMultilevel"/>
    <w:lvl w:ilvl="0">
      <w:lvlJc w:val="left"/>
      <w:lvlText w:val="%1."/>
      <w:numFmt w:val="decimal"/>
      <w:start w:val="4"/>
    </w:lvl>
  </w:abstractNum>
  <w:abstractNum w:abstractNumId="511">
    <w:nsid w:val="28168302"/>
    <w:multiLevelType w:val="hybridMultilevel"/>
    <w:lvl w:ilvl="0">
      <w:lvlJc w:val="left"/>
      <w:lvlText w:val="%1."/>
      <w:numFmt w:val="upperLetter"/>
      <w:start w:val="1"/>
    </w:lvl>
  </w:abstractNum>
  <w:abstractNum w:abstractNumId="512">
    <w:nsid w:val="32A5C7A8"/>
    <w:multiLevelType w:val="hybridMultilevel"/>
    <w:lvl w:ilvl="0">
      <w:lvlJc w:val="left"/>
      <w:lvlText w:val="%1."/>
      <w:numFmt w:val="upperLetter"/>
      <w:start w:val="3"/>
    </w:lvl>
  </w:abstractNum>
  <w:abstractNum w:abstractNumId="513">
    <w:nsid w:val="3A541011"/>
    <w:multiLevelType w:val="hybridMultilevel"/>
    <w:lvl w:ilvl="0">
      <w:lvlJc w:val="left"/>
      <w:lvlText w:val="%1."/>
      <w:numFmt w:val="upperLetter"/>
      <w:start w:val="4"/>
    </w:lvl>
  </w:abstractNum>
  <w:abstractNum w:abstractNumId="514">
    <w:nsid w:val="4423C777"/>
    <w:multiLevelType w:val="hybridMultilevel"/>
    <w:lvl w:ilvl="0">
      <w:lvlJc w:val="left"/>
      <w:lvlText w:val="%1."/>
      <w:numFmt w:val="upperLetter"/>
      <w:start w:val="5"/>
    </w:lvl>
  </w:abstractNum>
  <w:abstractNum w:abstractNumId="515">
    <w:nsid w:val="5F5C6E4D"/>
    <w:multiLevelType w:val="hybridMultilevel"/>
    <w:lvl w:ilvl="0">
      <w:lvlJc w:val="left"/>
      <w:lvlText w:val="%1."/>
      <w:numFmt w:val="upperLetter"/>
      <w:start w:val="6"/>
    </w:lvl>
  </w:abstractNum>
  <w:abstractNum w:abstractNumId="516">
    <w:nsid w:val="7C2A56CD"/>
    <w:multiLevelType w:val="hybridMultilevel"/>
    <w:lvl w:ilvl="0">
      <w:lvlJc w:val="left"/>
      <w:lvlText w:val="%1."/>
      <w:numFmt w:val="upperLetter"/>
      <w:start w:val="7"/>
    </w:lvl>
  </w:abstractNum>
  <w:abstractNum w:abstractNumId="517">
    <w:nsid w:val="7AB86EE1"/>
    <w:multiLevelType w:val="hybridMultilevel"/>
    <w:lvl w:ilvl="0">
      <w:lvlJc w:val="left"/>
      <w:lvlText w:val="%1."/>
      <w:numFmt w:val="upperLetter"/>
      <w:start w:val="8"/>
    </w:lvl>
  </w:abstractNum>
  <w:abstractNum w:abstractNumId="518">
    <w:nsid w:val="B54E53B"/>
    <w:multiLevelType w:val="hybridMultilevel"/>
    <w:lvl w:ilvl="0">
      <w:lvlJc w:val="left"/>
      <w:lvlText w:val="%1."/>
      <w:numFmt w:val="upperLetter"/>
      <w:start w:val="9"/>
    </w:lvl>
  </w:abstractNum>
  <w:abstractNum w:abstractNumId="519">
    <w:nsid w:val="2A00487"/>
    <w:multiLevelType w:val="hybridMultilevel"/>
    <w:lvl w:ilvl="0">
      <w:lvlJc w:val="left"/>
      <w:lvlText w:val="%1."/>
      <w:numFmt w:val="upperLetter"/>
      <w:start w:val="10"/>
    </w:lvl>
  </w:abstractNum>
  <w:abstractNum w:abstractNumId="520">
    <w:nsid w:val="6CB1B60"/>
    <w:multiLevelType w:val="hybridMultilevel"/>
    <w:lvl w:ilvl="0">
      <w:lvlJc w:val="left"/>
      <w:lvlText w:val="%1."/>
      <w:numFmt w:val="upperLetter"/>
      <w:start w:val="11"/>
    </w:lvl>
  </w:abstractNum>
  <w:abstractNum w:abstractNumId="521">
    <w:nsid w:val="72EDD574"/>
    <w:multiLevelType w:val="hybridMultilevel"/>
    <w:lvl w:ilvl="0">
      <w:lvlJc w:val="left"/>
      <w:lvlText w:val="%1."/>
      <w:numFmt w:val="upperLetter"/>
      <w:start w:val="12"/>
    </w:lvl>
  </w:abstractNum>
  <w:abstractNum w:abstractNumId="522">
    <w:nsid w:val="7323808A"/>
    <w:multiLevelType w:val="hybridMultilevel"/>
    <w:lvl w:ilvl="0">
      <w:lvlJc w:val="left"/>
      <w:lvlText w:val="%1."/>
      <w:numFmt w:val="upperLetter"/>
      <w:start w:val="13"/>
    </w:lvl>
  </w:abstractNum>
  <w:abstractNum w:abstractNumId="523">
    <w:nsid w:val="5157276"/>
    <w:multiLevelType w:val="hybridMultilevel"/>
    <w:lvl w:ilvl="0">
      <w:lvlJc w:val="left"/>
      <w:lvlText w:val="%1."/>
      <w:numFmt w:val="upperLetter"/>
      <w:start w:val="14"/>
    </w:lvl>
  </w:abstractNum>
  <w:abstractNum w:abstractNumId="524">
    <w:nsid w:val="35A681DB"/>
    <w:multiLevelType w:val="hybridMultilevel"/>
    <w:lvl w:ilvl="0">
      <w:lvlJc w:val="left"/>
      <w:lvlText w:val="%1."/>
      <w:numFmt w:val="upperLetter"/>
      <w:start w:val="15"/>
    </w:lvl>
  </w:abstractNum>
  <w:abstractNum w:abstractNumId="525">
    <w:nsid w:val="1786C974"/>
    <w:multiLevelType w:val="hybridMultilevel"/>
    <w:lvl w:ilvl="0">
      <w:lvlJc w:val="left"/>
      <w:lvlText w:val="%1."/>
      <w:numFmt w:val="upperLetter"/>
      <w:start w:val="16"/>
    </w:lvl>
  </w:abstractNum>
  <w:abstractNum w:abstractNumId="526">
    <w:nsid w:val="1C2427A1"/>
    <w:multiLevelType w:val="hybridMultilevel"/>
    <w:lvl w:ilvl="0">
      <w:lvlJc w:val="left"/>
      <w:lvlText w:val="%1."/>
      <w:numFmt w:val="upperLetter"/>
      <w:start w:val="17"/>
    </w:lvl>
  </w:abstractNum>
  <w:abstractNum w:abstractNumId="527">
    <w:nsid w:val="63A24D68"/>
    <w:multiLevelType w:val="hybridMultilevel"/>
    <w:lvl w:ilvl="0">
      <w:lvlJc w:val="left"/>
      <w:lvlText w:val="%1."/>
      <w:numFmt w:val="upperLetter"/>
      <w:start w:val="18"/>
    </w:lvl>
  </w:abstractNum>
  <w:abstractNum w:abstractNumId="528">
    <w:nsid w:val="4FB7A02A"/>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2019-12-01T05:41:16Z</dcterms:created>
  <dcterms:modified xsi:type="dcterms:W3CDTF">2019-12-01T05:41:16Z</dcterms:modified>
</cp:coreProperties>
</file>