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Mongrain Joseph H</w:t>
              </w:r>
            </w:hyperlink>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Borders>
              <w:bottom w:val="single" w:sz="8" w:color="0000EE"/>
            </w:tcBorders>
            <w:gridSpan w:val="2"/>
            <w:vMerge w:val="continue"/>
          </w:tcPr>
          <w:p>
            <w:pPr>
              <w:spacing w:after="0"/>
              <w:rPr>
                <w:sz w:val="9"/>
                <w:szCs w:val="9"/>
                <w:color w:val="auto"/>
              </w:rPr>
            </w:pPr>
          </w:p>
        </w:tc>
        <w:tc>
          <w:tcPr>
            <w:tcW w:w="7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7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(Last)</w:t>
            </w:r>
          </w:p>
        </w:tc>
        <w:tc>
          <w:tcPr>
            <w:tcW w:w="1180" w:type="dxa"/>
            <w:vAlign w:val="bottom"/>
            <w:gridSpan w:val="2"/>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2000 ST. JAMES PLACE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60" w:type="dxa"/>
            <w:vAlign w:val="bottom"/>
            <w:gridSpan w:val="3"/>
          </w:tcPr>
          <w:p>
            <w:pPr>
              <w:spacing w:after="0"/>
              <w:rPr>
                <w:sz w:val="20"/>
                <w:szCs w:val="20"/>
                <w:color w:val="auto"/>
              </w:rPr>
            </w:pPr>
            <w:r>
              <w:rPr>
                <w:rFonts w:ascii="Arial" w:cs="Arial" w:eastAsia="Arial" w:hAnsi="Arial"/>
                <w:sz w:val="10"/>
                <w:szCs w:val="10"/>
                <w:color w:val="auto"/>
              </w:rPr>
              <w:t>(Street)</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0000FF"/>
              </w:rPr>
              <w:t>HOUSTON</w:t>
            </w:r>
          </w:p>
        </w:tc>
        <w:tc>
          <w:tcPr>
            <w:tcW w:w="1180" w:type="dxa"/>
            <w:vAlign w:val="bottom"/>
            <w:gridSpan w:val="2"/>
          </w:tcPr>
          <w:p>
            <w:pPr>
              <w:ind w:left="220"/>
              <w:spacing w:after="0"/>
              <w:rPr>
                <w:sz w:val="20"/>
                <w:szCs w:val="20"/>
                <w:color w:val="auto"/>
              </w:rPr>
            </w:pPr>
            <w:r>
              <w:rPr>
                <w:rFonts w:ascii="Arial" w:cs="Arial" w:eastAsia="Arial" w:hAnsi="Arial"/>
                <w:sz w:val="13"/>
                <w:szCs w:val="13"/>
                <w:color w:val="0000FF"/>
              </w:rPr>
              <w:t>TX</w:t>
            </w:r>
          </w:p>
        </w:tc>
        <w:tc>
          <w:tcPr>
            <w:tcW w:w="1140" w:type="dxa"/>
            <w:vAlign w:val="bottom"/>
          </w:tcPr>
          <w:p>
            <w:pPr>
              <w:ind w:left="100"/>
              <w:spacing w:after="0"/>
              <w:rPr>
                <w:sz w:val="20"/>
                <w:szCs w:val="20"/>
                <w:color w:val="auto"/>
              </w:rPr>
            </w:pPr>
            <w:r>
              <w:rPr>
                <w:rFonts w:ascii="Arial" w:cs="Arial" w:eastAsia="Arial" w:hAnsi="Arial"/>
                <w:sz w:val="13"/>
                <w:szCs w:val="13"/>
                <w:color w:val="0000FF"/>
              </w:rPr>
              <w:t>77056</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Weatherford International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WFRD</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tcPr>
          <w:p>
            <w:pPr>
              <w:spacing w:after="0"/>
              <w:rPr>
                <w:sz w:val="5"/>
                <w:szCs w:val="5"/>
                <w:color w:val="auto"/>
              </w:rPr>
            </w:pP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6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1660" w:type="dxa"/>
            <w:vAlign w:val="bottom"/>
            <w:vMerge w:val="restart"/>
          </w:tcPr>
          <w:p>
            <w:pPr>
              <w:ind w:left="760"/>
              <w:spacing w:after="0"/>
              <w:rPr>
                <w:sz w:val="20"/>
                <w:szCs w:val="20"/>
                <w:color w:val="auto"/>
              </w:rPr>
            </w:pPr>
            <w:r>
              <w:rPr>
                <w:rFonts w:ascii="Arial" w:cs="Arial" w:eastAsia="Arial" w:hAnsi="Arial"/>
                <w:sz w:val="13"/>
                <w:szCs w:val="13"/>
                <w:color w:val="0000FF"/>
                <w:w w:val="94"/>
              </w:rPr>
              <w:t>EVP and CHRO</w:t>
            </w: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8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4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1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940" w:type="dxa"/>
            <w:vAlign w:val="bottom"/>
          </w:tcPr>
          <w:p>
            <w:pPr>
              <w:ind w:left="3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840" w:type="dxa"/>
            <w:vAlign w:val="bottom"/>
            <w:vMerge w:val="continue"/>
          </w:tcPr>
          <w:p>
            <w:pPr>
              <w:spacing w:after="0"/>
              <w:rPr>
                <w:sz w:val="11"/>
                <w:szCs w:val="11"/>
                <w:color w:val="auto"/>
              </w:rPr>
            </w:pPr>
          </w:p>
        </w:tc>
        <w:tc>
          <w:tcPr>
            <w:tcW w:w="940" w:type="dxa"/>
            <w:vAlign w:val="bottom"/>
          </w:tcPr>
          <w:p>
            <w:pPr>
              <w:ind w:left="3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right"/>
              <w:ind w:right="82"/>
              <w:spacing w:after="0"/>
              <w:rPr>
                <w:sz w:val="20"/>
                <w:szCs w:val="20"/>
                <w:color w:val="auto"/>
              </w:rPr>
            </w:pPr>
            <w:r>
              <w:rPr>
                <w:rFonts w:ascii="Arial" w:cs="Arial" w:eastAsia="Arial" w:hAnsi="Arial"/>
                <w:sz w:val="13"/>
                <w:szCs w:val="13"/>
                <w:color w:val="0000FF"/>
              </w:rPr>
              <w:t>45,131</w:t>
            </w:r>
          </w:p>
        </w:tc>
        <w:tc>
          <w:tcPr>
            <w:tcW w:w="720" w:type="dxa"/>
            <w:vAlign w:val="bottom"/>
          </w:tcPr>
          <w:p>
            <w:pPr>
              <w:ind w:left="340"/>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Performance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right"/>
              <w:ind w:right="82"/>
              <w:spacing w:after="0"/>
              <w:rPr>
                <w:sz w:val="20"/>
                <w:szCs w:val="20"/>
                <w:color w:val="auto"/>
              </w:rPr>
            </w:pPr>
            <w:r>
              <w:rPr>
                <w:rFonts w:ascii="Arial" w:cs="Arial" w:eastAsia="Arial" w:hAnsi="Arial"/>
                <w:sz w:val="13"/>
                <w:szCs w:val="13"/>
                <w:color w:val="0000FF"/>
              </w:rPr>
              <w:t>22,565</w:t>
            </w:r>
          </w:p>
        </w:tc>
        <w:tc>
          <w:tcPr>
            <w:tcW w:w="720" w:type="dxa"/>
            <w:vAlign w:val="bottom"/>
          </w:tcPr>
          <w:p>
            <w:pPr>
              <w:ind w:left="340"/>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Phantom 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right"/>
              <w:ind w:right="82"/>
              <w:spacing w:after="0"/>
              <w:rPr>
                <w:sz w:val="20"/>
                <w:szCs w:val="20"/>
                <w:color w:val="auto"/>
              </w:rPr>
            </w:pPr>
            <w:r>
              <w:rPr>
                <w:rFonts w:ascii="Arial" w:cs="Arial" w:eastAsia="Arial" w:hAnsi="Arial"/>
                <w:sz w:val="13"/>
                <w:szCs w:val="13"/>
                <w:color w:val="0000FF"/>
              </w:rPr>
              <w:t>33,101</w:t>
            </w:r>
          </w:p>
        </w:tc>
        <w:tc>
          <w:tcPr>
            <w:tcW w:w="720" w:type="dxa"/>
            <w:vAlign w:val="bottom"/>
          </w:tcPr>
          <w:p>
            <w:pPr>
              <w:ind w:left="340"/>
              <w:spacing w:after="0"/>
              <w:rPr>
                <w:sz w:val="20"/>
                <w:szCs w:val="20"/>
                <w:color w:val="auto"/>
              </w:rPr>
            </w:pPr>
            <w:r>
              <w:rPr>
                <w:rFonts w:ascii="Arial" w:cs="Arial" w:eastAsia="Arial" w:hAnsi="Arial"/>
                <w:sz w:val="8"/>
                <w:szCs w:val="8"/>
                <w:color w:val="008000"/>
              </w:rPr>
              <w:t>(3)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Represents restricted share units ("RSUs") granted on April 15, 2021 pursuant to Issuer's Second Amended and Restated 2019 Equity Incentive Plan (the "2019 EIP"). The RSUs vest in two equal installments over the two-year period from the date of grant.</w:t>
      </w:r>
    </w:p>
    <w:p>
      <w:pPr>
        <w:spacing w:after="0" w:line="46" w:lineRule="exact"/>
        <w:rPr>
          <w:rFonts w:ascii="Arial" w:cs="Arial" w:eastAsia="Arial" w:hAnsi="Arial"/>
          <w:sz w:val="9"/>
          <w:szCs w:val="9"/>
          <w:color w:val="008000"/>
        </w:rPr>
      </w:pPr>
    </w:p>
    <w:p>
      <w:pPr>
        <w:ind w:left="40" w:right="48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performance share units ("PSUs") granted on April 15, 2021 under the 2019 EIP. The number of PSUs reported is the target award and may be subject to a payout ranging from 0% to 200% of target award depending on the actual achievement of the performance goals at the end of the performance period. The performance period is the Issuer's fiscal year ending December 21, 2022.</w:t>
      </w:r>
    </w:p>
    <w:p>
      <w:pPr>
        <w:spacing w:after="0" w:line="15" w:lineRule="exact"/>
        <w:rPr>
          <w:rFonts w:ascii="Arial" w:cs="Arial" w:eastAsia="Arial" w:hAnsi="Arial"/>
          <w:sz w:val="10"/>
          <w:szCs w:val="10"/>
          <w:color w:val="008000"/>
        </w:rPr>
      </w:pPr>
    </w:p>
    <w:p>
      <w:pPr>
        <w:ind w:left="40" w:right="48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phantom restricted share units granted on April 15, 2021 pursuant to the 2019 EIP. These phantom restricted share units vest in two equal installments over the two-year period from the date of grant and may be settled in cash, ordinary shares or any combination of cash and ordinary shares.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Jonathan B. Wolens by Power of</w:t>
            </w:r>
          </w:p>
        </w:tc>
        <w:tc>
          <w:tcPr>
            <w:tcW w:w="1100" w:type="dxa"/>
            <w:vAlign w:val="bottom"/>
            <w:gridSpan w:val="2"/>
            <w:vMerge w:val="restart"/>
          </w:tcPr>
          <w:p>
            <w:pPr>
              <w:ind w:left="500"/>
              <w:spacing w:after="0"/>
              <w:rPr>
                <w:sz w:val="20"/>
                <w:szCs w:val="20"/>
                <w:color w:val="auto"/>
              </w:rPr>
            </w:pPr>
            <w:r>
              <w:rPr>
                <w:rFonts w:ascii="Arial" w:cs="Arial" w:eastAsia="Arial" w:hAnsi="Arial"/>
                <w:sz w:val="13"/>
                <w:szCs w:val="13"/>
                <w:color w:val="0000FF"/>
                <w:w w:val="89"/>
              </w:rPr>
              <w:t>06/10/2021</w:t>
            </w: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40" w:type="dxa"/>
            <w:vAlign w:val="bottom"/>
            <w:vMerge w:val="restart"/>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Scott C. Weatherholt, Christine M. Morrison and Jo</w:t>
      </w:r>
    </w:p>
    <w:p>
      <w:pPr>
        <w:spacing w:after="0" w:line="163" w:lineRule="exact"/>
        <w:rPr>
          <w:sz w:val="20"/>
          <w:szCs w:val="20"/>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3" w:lineRule="exact"/>
        <w:rPr>
          <w:rFonts w:ascii="Courier New" w:cs="Courier New" w:eastAsia="Courier New" w:hAnsi="Courier New"/>
          <w:sz w:val="13"/>
          <w:szCs w:val="13"/>
          <w:color w:val="auto"/>
        </w:rPr>
      </w:pPr>
    </w:p>
    <w:p>
      <w:pPr>
        <w:jc w:val="both"/>
        <w:ind w:left="320" w:firstLine="227"/>
        <w:spacing w:after="0" w:line="488" w:lineRule="auto"/>
        <w:tabs>
          <w:tab w:leader="none" w:pos="78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26th day of May, 2021.</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Joseph H. Mongrain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Joseph H. Mongrain</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104351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5840"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2021-06-10T17:47:04Z</dcterms:created>
  <dcterms:modified xsi:type="dcterms:W3CDTF">2021-06-10T17:47:04Z</dcterms:modified>
</cp:coreProperties>
</file>