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25"/>
          <w:szCs w:val="25"/>
          <w:b w:val="1"/>
          <w:bCs w:val="1"/>
          <w:color w:val="auto"/>
        </w:rPr>
        <w:t>Washington, D.C. 20549</w:t>
      </w:r>
    </w:p>
    <w:p>
      <w:pPr>
        <w:spacing w:after="0" w:line="353"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FORM 11-K</w:t>
      </w:r>
    </w:p>
    <w:p>
      <w:pPr>
        <w:spacing w:after="0" w:line="350" w:lineRule="exact"/>
        <w:rPr>
          <w:sz w:val="24"/>
          <w:szCs w:val="24"/>
          <w:color w:val="auto"/>
        </w:rPr>
      </w:pPr>
    </w:p>
    <w:p>
      <w:pPr>
        <w:jc w:val="center"/>
        <w:ind w:left="2840"/>
        <w:spacing w:after="0" w:line="259" w:lineRule="auto"/>
        <w:rPr>
          <w:sz w:val="20"/>
          <w:szCs w:val="20"/>
          <w:color w:val="auto"/>
        </w:rPr>
      </w:pPr>
      <w:r>
        <w:rPr>
          <w:rFonts w:ascii="Arial" w:cs="Arial" w:eastAsia="Arial" w:hAnsi="Arial"/>
          <w:sz w:val="25"/>
          <w:szCs w:val="25"/>
          <w:b w:val="1"/>
          <w:bCs w:val="1"/>
          <w:color w:val="auto"/>
        </w:rPr>
        <w:t>FOR ANNUAL REPORTS OF EMPLOYEE STOCK PURCHASE, SAVINGS AND SIMILAR PLANS PURSUANT TO SECTION 15(d) OF THE SECURITIES EXCHANGE ACT OF 1934</w:t>
      </w:r>
    </w:p>
    <w:p>
      <w:pPr>
        <w:sectPr>
          <w:pgSz w:w="11900" w:h="16838" w:orient="portrait"/>
          <w:cols w:equalWidth="0" w:num="1">
            <w:col w:w="10219"/>
          </w:cols>
          <w:pgMar w:left="240" w:top="233" w:right="1440" w:bottom="1440" w:gutter="0" w:footer="0" w:header="0"/>
        </w:sectPr>
      </w:pPr>
    </w:p>
    <w:p>
      <w:pPr>
        <w:spacing w:after="0" w:line="200" w:lineRule="exact"/>
        <w:rPr>
          <w:sz w:val="24"/>
          <w:szCs w:val="24"/>
          <w:color w:val="auto"/>
        </w:rPr>
      </w:pPr>
    </w:p>
    <w:p>
      <w:pPr>
        <w:spacing w:after="0" w:line="399" w:lineRule="exact"/>
        <w:rPr>
          <w:sz w:val="24"/>
          <w:szCs w:val="24"/>
          <w:color w:val="auto"/>
        </w:rPr>
      </w:pPr>
    </w:p>
    <w:p>
      <w:pPr>
        <w:ind w:left="13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159"/>
        <w:spacing w:after="0"/>
        <w:rPr>
          <w:sz w:val="20"/>
          <w:szCs w:val="20"/>
          <w:color w:val="auto"/>
        </w:rPr>
      </w:pPr>
      <w:r>
        <w:rPr>
          <w:rFonts w:ascii="Arial" w:cs="Arial" w:eastAsia="Arial" w:hAnsi="Arial"/>
          <w:sz w:val="17"/>
          <w:szCs w:val="17"/>
          <w:b w:val="1"/>
          <w:bCs w:val="1"/>
          <w:color w:val="auto"/>
        </w:rPr>
        <w:t>ANNUAL REPORT PURSUANT TO SECTION 15(d)</w:t>
      </w:r>
    </w:p>
    <w:p>
      <w:pPr>
        <w:spacing w:after="0" w:line="39" w:lineRule="exact"/>
        <w:rPr>
          <w:sz w:val="24"/>
          <w:szCs w:val="24"/>
          <w:color w:val="auto"/>
        </w:rPr>
      </w:pPr>
    </w:p>
    <w:p>
      <w:pPr>
        <w:jc w:val="center"/>
        <w:ind w:right="2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5" w:lineRule="exact"/>
        <w:rPr>
          <w:sz w:val="24"/>
          <w:szCs w:val="24"/>
          <w:color w:val="auto"/>
        </w:rPr>
      </w:pPr>
    </w:p>
    <w:p>
      <w:pPr>
        <w:sectPr>
          <w:pgSz w:w="11900" w:h="16838" w:orient="portrait"/>
          <w:cols w:equalWidth="0" w:num="2">
            <w:col w:w="3140" w:space="720"/>
            <w:col w:w="6359"/>
          </w:cols>
          <w:pgMar w:left="240" w:top="233" w:right="1440" w:bottom="1440" w:gutter="0" w:footer="0" w:header="0"/>
          <w:type w:val="continuous"/>
        </w:sectPr>
      </w:pPr>
    </w:p>
    <w:p>
      <w:pPr>
        <w:jc w:val="center"/>
        <w:ind w:left="500"/>
        <w:spacing w:after="0"/>
        <w:rPr>
          <w:sz w:val="20"/>
          <w:szCs w:val="20"/>
          <w:color w:val="auto"/>
        </w:rPr>
      </w:pPr>
      <w:r>
        <w:rPr>
          <w:rFonts w:ascii="Arial" w:cs="Arial" w:eastAsia="Arial" w:hAnsi="Arial"/>
          <w:sz w:val="16"/>
          <w:szCs w:val="16"/>
          <w:b w:val="1"/>
          <w:bCs w:val="1"/>
          <w:color w:val="auto"/>
        </w:rPr>
        <w:t>For the fiscal year ended December 31, 2014</w:t>
      </w:r>
    </w:p>
    <w:p>
      <w:pPr>
        <w:spacing w:after="0" w:line="12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or</w:t>
      </w:r>
    </w:p>
    <w:p>
      <w:pPr>
        <w:sectPr>
          <w:pgSz w:w="11900" w:h="16838" w:orient="portrait"/>
          <w:cols w:equalWidth="0" w:num="1">
            <w:col w:w="10219"/>
          </w:cols>
          <w:pgMar w:left="240" w:top="233" w:right="1440" w:bottom="1440" w:gutter="0" w:footer="0" w:header="0"/>
          <w:type w:val="continuous"/>
        </w:sectPr>
      </w:pPr>
    </w:p>
    <w:p>
      <w:pPr>
        <w:spacing w:after="0" w:line="252"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1979"/>
        <w:spacing w:after="0"/>
        <w:rPr>
          <w:sz w:val="20"/>
          <w:szCs w:val="20"/>
          <w:color w:val="auto"/>
        </w:rPr>
      </w:pPr>
      <w:r>
        <w:rPr>
          <w:rFonts w:ascii="Arial" w:cs="Arial" w:eastAsia="Arial" w:hAnsi="Arial"/>
          <w:sz w:val="17"/>
          <w:szCs w:val="17"/>
          <w:b w:val="1"/>
          <w:bCs w:val="1"/>
          <w:color w:val="auto"/>
        </w:rPr>
        <w:t>TRANSITION REPORT PURSUANT TO SECTION 15(d)</w:t>
      </w:r>
    </w:p>
    <w:p>
      <w:pPr>
        <w:spacing w:after="0" w:line="39" w:lineRule="exact"/>
        <w:rPr>
          <w:sz w:val="24"/>
          <w:szCs w:val="24"/>
          <w:color w:val="auto"/>
        </w:rPr>
      </w:pPr>
    </w:p>
    <w:p>
      <w:pPr>
        <w:jc w:val="center"/>
        <w:ind w:right="19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85" w:lineRule="exact"/>
        <w:rPr>
          <w:sz w:val="24"/>
          <w:szCs w:val="24"/>
          <w:color w:val="auto"/>
        </w:rPr>
      </w:pPr>
    </w:p>
    <w:p>
      <w:pPr>
        <w:sectPr>
          <w:pgSz w:w="11900" w:h="16838" w:orient="portrait"/>
          <w:cols w:equalWidth="0" w:num="2">
            <w:col w:w="2960" w:space="720"/>
            <w:col w:w="6539"/>
          </w:cols>
          <w:pgMar w:left="240" w:top="233" w:right="1440" w:bottom="1440" w:gutter="0" w:footer="0" w:header="0"/>
          <w:type w:val="continuous"/>
        </w:sectPr>
      </w:pPr>
    </w:p>
    <w:p>
      <w:pPr>
        <w:ind w:left="3760"/>
        <w:spacing w:after="0"/>
        <w:rPr>
          <w:sz w:val="20"/>
          <w:szCs w:val="20"/>
          <w:color w:val="auto"/>
        </w:rPr>
      </w:pPr>
      <w:r>
        <w:rPr>
          <w:rFonts w:ascii="Arial" w:cs="Arial" w:eastAsia="Arial" w:hAnsi="Arial"/>
          <w:sz w:val="16"/>
          <w:szCs w:val="16"/>
          <w:b w:val="1"/>
          <w:bCs w:val="1"/>
          <w:color w:val="auto"/>
        </w:rPr>
        <w:t>For the transition period from __________ to __________</w:t>
      </w:r>
    </w:p>
    <w:p>
      <w:pPr>
        <w:spacing w:after="0" w:line="244" w:lineRule="exact"/>
        <w:rPr>
          <w:sz w:val="24"/>
          <w:szCs w:val="24"/>
          <w:color w:val="auto"/>
        </w:rPr>
      </w:pPr>
    </w:p>
    <w:p>
      <w:pPr>
        <w:ind w:left="3820"/>
        <w:spacing w:after="0"/>
        <w:rPr>
          <w:sz w:val="20"/>
          <w:szCs w:val="20"/>
          <w:color w:val="auto"/>
        </w:rPr>
      </w:pPr>
      <w:r>
        <w:rPr>
          <w:rFonts w:ascii="Arial" w:cs="Arial" w:eastAsia="Arial" w:hAnsi="Arial"/>
          <w:sz w:val="25"/>
          <w:szCs w:val="25"/>
          <w:b w:val="1"/>
          <w:bCs w:val="1"/>
          <w:color w:val="auto"/>
        </w:rPr>
        <w:t>Commission file number 001-36504</w:t>
      </w:r>
    </w:p>
    <w:p>
      <w:pPr>
        <w:sectPr>
          <w:pgSz w:w="11900" w:h="16838" w:orient="portrait"/>
          <w:cols w:equalWidth="0" w:num="1">
            <w:col w:w="10219"/>
          </w:cols>
          <w:pgMar w:left="240" w:top="233" w:right="1440"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jc w:val="center"/>
        <w:ind w:left="1540" w:right="339"/>
        <w:spacing w:after="0" w:line="283" w:lineRule="auto"/>
        <w:rPr>
          <w:sz w:val="20"/>
          <w:szCs w:val="20"/>
          <w:color w:val="auto"/>
        </w:rPr>
      </w:pPr>
      <w:r>
        <w:rPr>
          <w:rFonts w:ascii="Arial" w:cs="Arial" w:eastAsia="Arial" w:hAnsi="Arial"/>
          <w:sz w:val="43"/>
          <w:szCs w:val="43"/>
          <w:b w:val="1"/>
          <w:bCs w:val="1"/>
          <w:color w:val="auto"/>
        </w:rPr>
        <w:t>WEATHERFORD INTERNATIONAL, LLC 401(k) SAVINGS PLAN</w:t>
      </w:r>
    </w:p>
    <w:p>
      <w:pPr>
        <w:spacing w:after="0" w:line="83" w:lineRule="exact"/>
        <w:rPr>
          <w:sz w:val="24"/>
          <w:szCs w:val="24"/>
          <w:color w:val="auto"/>
        </w:rPr>
      </w:pPr>
    </w:p>
    <w:p>
      <w:pPr>
        <w:ind w:left="4600"/>
        <w:spacing w:after="0"/>
        <w:rPr>
          <w:sz w:val="20"/>
          <w:szCs w:val="20"/>
          <w:color w:val="auto"/>
        </w:rPr>
      </w:pPr>
      <w:r>
        <w:rPr>
          <w:rFonts w:ascii="Arial" w:cs="Arial" w:eastAsia="Arial" w:hAnsi="Arial"/>
          <w:sz w:val="25"/>
          <w:szCs w:val="25"/>
          <w:b w:val="1"/>
          <w:bCs w:val="1"/>
          <w:color w:val="auto"/>
        </w:rPr>
        <w:t>2000 St. James Place</w:t>
      </w:r>
    </w:p>
    <w:p>
      <w:pPr>
        <w:spacing w:after="0" w:line="38"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Houston, Texas 77056</w:t>
      </w:r>
    </w:p>
    <w:p>
      <w:pPr>
        <w:spacing w:after="0" w:line="36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Weatherford International plc</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Bahnhofstrasse 1, 6340 Baar,</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Switzerland</w:t>
      </w:r>
    </w:p>
    <w:p>
      <w:pPr>
        <w:sectPr>
          <w:pgSz w:w="11900" w:h="16838" w:orient="portrait"/>
          <w:cols w:equalWidth="0" w:num="1">
            <w:col w:w="10219"/>
          </w:cols>
          <w:pgMar w:left="240" w:top="233" w:right="1440"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INDEX TO FINANCIAL STATEMENTS AND SUPPLEMENTAL SCHEDULES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0"/>
              </w:rPr>
              <w:t>Page</w:t>
            </w:r>
          </w:p>
        </w:tc>
      </w:tr>
      <w:tr>
        <w:trPr>
          <w:trHeight w:val="520"/>
        </w:trPr>
        <w:tc>
          <w:tcPr>
            <w:tcW w:w="900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80" w:type="dxa"/>
            <w:vAlign w:val="bottom"/>
          </w:tcPr>
          <w:p>
            <w:pPr>
              <w:spacing w:after="0"/>
              <w:rPr>
                <w:sz w:val="24"/>
                <w:szCs w:val="24"/>
                <w:color w:val="auto"/>
              </w:rPr>
            </w:pPr>
          </w:p>
        </w:tc>
      </w:tr>
      <w:tr>
        <w:trPr>
          <w:trHeight w:val="561"/>
        </w:trPr>
        <w:tc>
          <w:tcPr>
            <w:tcW w:w="42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800" w:type="dxa"/>
            <w:vAlign w:val="bottom"/>
            <w:gridSpan w:val="5"/>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886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Statements of Net Assets Available for Benefits as of December 31, 2014 and 2013</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8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886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 of Changes in Net Assets Available for Benefits for the Year Ended December 31, 2014</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8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900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Financial Statements</w:t>
              </w:r>
            </w:hyperlink>
          </w:p>
        </w:tc>
        <w:tc>
          <w:tcPr>
            <w:tcW w:w="2080" w:type="dxa"/>
            <w:vAlign w:val="bottom"/>
            <w:gridSpan w:val="5"/>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80" w:type="dxa"/>
            <w:vAlign w:val="bottom"/>
          </w:tcPr>
          <w:p>
            <w:pPr>
              <w:spacing w:after="0"/>
              <w:rPr>
                <w:sz w:val="24"/>
                <w:szCs w:val="24"/>
                <w:color w:val="auto"/>
              </w:rPr>
            </w:pPr>
          </w:p>
        </w:tc>
      </w:tr>
      <w:tr>
        <w:trPr>
          <w:trHeight w:val="561"/>
        </w:trPr>
        <w:tc>
          <w:tcPr>
            <w:tcW w:w="21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Supplemental Schedules:</w:t>
            </w:r>
          </w:p>
        </w:tc>
        <w:tc>
          <w:tcPr>
            <w:tcW w:w="6860" w:type="dxa"/>
            <w:vAlign w:val="bottom"/>
            <w:gridSpan w:val="6"/>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886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4(a), Schedule of Delinquent Participant Contributions</w:t>
              </w:r>
            </w:hyperlink>
          </w:p>
        </w:tc>
        <w:tc>
          <w:tcPr>
            <w:tcW w:w="2080" w:type="dxa"/>
            <w:vAlign w:val="bottom"/>
            <w:gridSpan w:val="5"/>
          </w:tcPr>
          <w:p>
            <w:pPr>
              <w:jc w:val="center"/>
              <w:ind w:left="1810"/>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14</w:t>
              </w:r>
            </w:hyperlink>
          </w:p>
        </w:tc>
        <w:tc>
          <w:tcPr>
            <w:tcW w:w="8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46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20" w:type="dxa"/>
            <w:vAlign w:val="bottom"/>
            <w:gridSpan w:val="4"/>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Schedule H, Line 4(i), Schedule of Assets (Held at End of Year)</w:t>
              </w:r>
            </w:hyperlink>
          </w:p>
        </w:tc>
        <w:tc>
          <w:tcPr>
            <w:tcW w:w="3640" w:type="dxa"/>
            <w:vAlign w:val="bottom"/>
            <w:gridSpan w:val="3"/>
          </w:tcPr>
          <w:p>
            <w:pPr>
              <w:spacing w:after="0"/>
              <w:rPr>
                <w:sz w:val="21"/>
                <w:szCs w:val="21"/>
                <w:color w:val="auto"/>
              </w:rPr>
            </w:pPr>
          </w:p>
        </w:tc>
        <w:tc>
          <w:tcPr>
            <w:tcW w:w="2080" w:type="dxa"/>
            <w:vAlign w:val="bottom"/>
            <w:gridSpan w:val="5"/>
          </w:tcPr>
          <w:p>
            <w:pPr>
              <w:jc w:val="center"/>
              <w:ind w:left="181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15</w:t>
              </w:r>
            </w:hyperlink>
          </w:p>
        </w:tc>
        <w:tc>
          <w:tcPr>
            <w:tcW w:w="80" w:type="dxa"/>
            <w:vAlign w:val="bottom"/>
          </w:tcPr>
          <w:p>
            <w:pPr>
              <w:spacing w:after="0"/>
              <w:rPr>
                <w:sz w:val="21"/>
                <w:szCs w:val="21"/>
                <w:color w:val="auto"/>
              </w:rPr>
            </w:pPr>
          </w:p>
        </w:tc>
      </w:tr>
      <w:tr>
        <w:trPr>
          <w:trHeight w:val="952"/>
        </w:trPr>
        <w:tc>
          <w:tcPr>
            <w:tcW w:w="140" w:type="dxa"/>
            <w:vAlign w:val="bottom"/>
          </w:tcPr>
          <w:p>
            <w:pPr>
              <w:spacing w:after="0"/>
              <w:rPr>
                <w:sz w:val="24"/>
                <w:szCs w:val="24"/>
                <w:color w:val="auto"/>
              </w:rPr>
            </w:pPr>
          </w:p>
        </w:tc>
        <w:tc>
          <w:tcPr>
            <w:tcW w:w="4600" w:type="dxa"/>
            <w:vAlign w:val="bottom"/>
            <w:tcBorders>
              <w:top w:val="single" w:sz="8" w:color="0000EE"/>
            </w:tcBorders>
            <w:gridSpan w:val="3"/>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80" w:top="1265" w:right="4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3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Benefits Administrative Committee of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Weatherford International, LLC 401(k) Savings Plan:</w:t>
      </w:r>
    </w:p>
    <w:p>
      <w:pPr>
        <w:spacing w:after="0" w:line="200" w:lineRule="exact"/>
        <w:rPr>
          <w:sz w:val="20"/>
          <w:szCs w:val="20"/>
          <w:color w:val="auto"/>
        </w:rPr>
      </w:pPr>
    </w:p>
    <w:p>
      <w:pPr>
        <w:jc w:val="both"/>
        <w:ind w:firstLine="540"/>
        <w:spacing w:after="0" w:line="246" w:lineRule="auto"/>
        <w:rPr>
          <w:sz w:val="20"/>
          <w:szCs w:val="20"/>
          <w:color w:val="auto"/>
        </w:rPr>
      </w:pPr>
      <w:r>
        <w:rPr>
          <w:rFonts w:ascii="Arial" w:cs="Arial" w:eastAsia="Arial" w:hAnsi="Arial"/>
          <w:sz w:val="20"/>
          <w:szCs w:val="20"/>
          <w:color w:val="auto"/>
        </w:rPr>
        <w:t>We have audited the accompanying statements of net assets available for benefits of the Weatherford International, LLC 401(k) Savings Plan (the "Plan") as of December 31, 2014 and 2013, and the related statement of changes in net assets available for benefits for the year ended December 31, 2014. These financial statements are the responsibility of the Plan's management. Our responsibility is to express an opinion on these financial statements based on our audits.</w:t>
      </w:r>
    </w:p>
    <w:p>
      <w:pPr>
        <w:spacing w:after="0" w:line="192"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9" w:lineRule="exact"/>
        <w:rPr>
          <w:sz w:val="20"/>
          <w:szCs w:val="20"/>
          <w:color w:val="auto"/>
        </w:rPr>
      </w:pPr>
    </w:p>
    <w:p>
      <w:pPr>
        <w:jc w:val="both"/>
        <w:ind w:firstLine="540"/>
        <w:spacing w:after="0" w:line="250"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net assets available for benefits of the Plan as of December 31, 2014 and 2013, and the changes in net assets available for benefits for the year ended December 31, 2014, in conformity with accounting principles generally accepted in the United States of America.</w:t>
      </w:r>
    </w:p>
    <w:p>
      <w:pPr>
        <w:spacing w:after="0" w:line="186" w:lineRule="exact"/>
        <w:rPr>
          <w:sz w:val="20"/>
          <w:szCs w:val="20"/>
          <w:color w:val="auto"/>
        </w:rPr>
      </w:pPr>
    </w:p>
    <w:p>
      <w:pPr>
        <w:jc w:val="both"/>
        <w:ind w:firstLine="540"/>
        <w:spacing w:after="0" w:line="270" w:lineRule="auto"/>
        <w:rPr>
          <w:sz w:val="20"/>
          <w:szCs w:val="20"/>
          <w:color w:val="auto"/>
        </w:rPr>
      </w:pPr>
      <w:r>
        <w:rPr>
          <w:rFonts w:ascii="Arial" w:cs="Arial" w:eastAsia="Arial" w:hAnsi="Arial"/>
          <w:sz w:val="18"/>
          <w:szCs w:val="18"/>
          <w:color w:val="auto"/>
        </w:rPr>
        <w:t>The supplemental information in the accompanying schedule H, line 4a, schedule of delinquent participant contributions and supplemental schedule H, line 4i, schedule of assets (held at end of year) as of December 31, 2014 and for the year then ended have been subjected to audit procedures performed in conjunction with the audit of the Plan’s financial statements. The supplemental information is presented for the purpose of additional analysis and is not a required part of the financial statements but include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schedules,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schedules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/s/ Melton &amp; Melton, L.L.P.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23, 2015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STATEMENTS OF NET ASSETS AVAILABLE FOR BENEFITS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r>
      <w:tr>
        <w:trPr>
          <w:trHeight w:val="34"/>
        </w:trPr>
        <w:tc>
          <w:tcPr>
            <w:tcW w:w="7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34"/>
        </w:trPr>
        <w:tc>
          <w:tcPr>
            <w:tcW w:w="7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84"/>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Investments, at fair value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791,507,694</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766,887,607</w:t>
            </w:r>
          </w:p>
        </w:tc>
      </w:tr>
      <w:tr>
        <w:trPr>
          <w:trHeight w:val="318"/>
        </w:trPr>
        <w:tc>
          <w:tcPr>
            <w:tcW w:w="74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748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receivable from participants</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29,451,351</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26,928,451</w:t>
            </w: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Plan Sponsor contributions</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2,857,964</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1,357,752</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Participants' contributions</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1,934,401</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80" w:type="dxa"/>
            <w:vAlign w:val="bottom"/>
          </w:tcPr>
          <w:p>
            <w:pPr>
              <w:ind w:left="380"/>
              <w:spacing w:after="0"/>
              <w:rPr>
                <w:sz w:val="20"/>
                <w:szCs w:val="20"/>
                <w:color w:val="auto"/>
              </w:rPr>
            </w:pPr>
            <w:r>
              <w:rPr>
                <w:rFonts w:ascii="Arial" w:cs="Arial" w:eastAsia="Arial" w:hAnsi="Arial"/>
                <w:sz w:val="18"/>
                <w:szCs w:val="18"/>
                <w:color w:val="auto"/>
              </w:rPr>
              <w:t>Accrued income</w:t>
            </w:r>
          </w:p>
        </w:tc>
        <w:tc>
          <w:tcPr>
            <w:tcW w:w="4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32,099</w:t>
            </w: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7"/>
        </w:trPr>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7"/>
        </w:trPr>
        <w:tc>
          <w:tcPr>
            <w:tcW w:w="7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Pending settlement</w:t>
            </w:r>
          </w:p>
        </w:tc>
        <w:tc>
          <w:tcPr>
            <w:tcW w:w="4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145,527</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38,964</w:t>
            </w:r>
          </w:p>
        </w:tc>
      </w:tr>
      <w:tr>
        <w:trPr>
          <w:trHeight w:val="284"/>
        </w:trPr>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Receivables</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34,421,342</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28,325,199</w:t>
            </w: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REFLECTING INVESTMENTS AT FAIR VALUE</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825,929,036</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795,212,806</w:t>
            </w:r>
          </w:p>
        </w:tc>
      </w:tr>
      <w:tr>
        <w:trPr>
          <w:trHeight w:val="284"/>
        </w:trPr>
        <w:tc>
          <w:tcPr>
            <w:tcW w:w="7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(1,984,120)</w:t>
            </w:r>
          </w:p>
        </w:tc>
        <w:tc>
          <w:tcPr>
            <w:tcW w:w="2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(927,828)</w:t>
            </w: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823,944,916</w:t>
            </w: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794,284,978</w:t>
            </w:r>
          </w:p>
        </w:tc>
      </w:tr>
      <w:tr>
        <w:trPr>
          <w:trHeight w:val="20"/>
        </w:trPr>
        <w:tc>
          <w:tcPr>
            <w:tcW w:w="7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WEATHERFORD INTERNATIONAL, LLC 401(k) SAVINGS PLAN STATEMENT OF CHANGES IN NET ASSETS AVAILABLE FOR BENEFITS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97"/>
        </w:trPr>
        <w:tc>
          <w:tcPr>
            <w:tcW w:w="9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 on investments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484,467</w:t>
            </w: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Interest income on notes receivable from participants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1,158,903</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Dividend income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31,023,671</w:t>
            </w: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Net appreciation in fair value of collective trusts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8,709,438</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depreciation in fair value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(24,263,272)</w:t>
            </w:r>
          </w:p>
        </w:tc>
      </w:tr>
      <w:tr>
        <w:trPr>
          <w:trHeight w:val="284"/>
        </w:trPr>
        <w:tc>
          <w:tcPr>
            <w:tcW w:w="9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depreciation in fair value of mutual funds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(2,085,297)</w:t>
            </w: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15,027,910</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380"/>
              <w:spacing w:after="0"/>
              <w:rPr>
                <w:sz w:val="20"/>
                <w:szCs w:val="20"/>
                <w:color w:val="auto"/>
              </w:rPr>
            </w:pPr>
            <w:r>
              <w:rPr>
                <w:rFonts w:ascii="Arial" w:cs="Arial" w:eastAsia="Arial" w:hAnsi="Arial"/>
                <w:sz w:val="18"/>
                <w:szCs w:val="18"/>
                <w:color w:val="auto"/>
              </w:rPr>
              <w:t>Participants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83,521,772</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 Sponsor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44,524,392</w:t>
            </w:r>
          </w:p>
        </w:tc>
      </w:tr>
      <w:tr>
        <w:trPr>
          <w:trHeight w:val="284"/>
        </w:trPr>
        <w:tc>
          <w:tcPr>
            <w:tcW w:w="97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Rollovers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4,927,390</w:t>
            </w:r>
          </w:p>
        </w:tc>
      </w:tr>
      <w:tr>
        <w:trPr>
          <w:trHeight w:val="244"/>
        </w:trPr>
        <w:tc>
          <w:tcPr>
            <w:tcW w:w="9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132,973,554</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95,106</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Additions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148,096,570</w:t>
            </w: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9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Benefits paid to participants and beneficiaries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117,724,059</w:t>
            </w:r>
          </w:p>
        </w:tc>
      </w:tr>
      <w:tr>
        <w:trPr>
          <w:trHeight w:val="284"/>
        </w:trPr>
        <w:tc>
          <w:tcPr>
            <w:tcW w:w="9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Administrative fees</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712,573</w:t>
            </w:r>
          </w:p>
        </w:tc>
      </w:tr>
      <w:tr>
        <w:trPr>
          <w:trHeight w:val="264"/>
        </w:trPr>
        <w:tc>
          <w:tcPr>
            <w:tcW w:w="9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9720" w:type="dxa"/>
            <w:vAlign w:val="bottom"/>
          </w:tcPr>
          <w:p>
            <w:pPr>
              <w:ind w:left="220"/>
              <w:spacing w:after="0"/>
              <w:rPr>
                <w:sz w:val="20"/>
                <w:szCs w:val="20"/>
                <w:color w:val="auto"/>
              </w:rPr>
            </w:pPr>
            <w:r>
              <w:rPr>
                <w:rFonts w:ascii="Arial" w:cs="Arial" w:eastAsia="Arial" w:hAnsi="Arial"/>
                <w:sz w:val="18"/>
                <w:szCs w:val="18"/>
                <w:color w:val="auto"/>
              </w:rPr>
              <w:t>Total Deductions</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118,436,632</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INCREASE</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29,659,938</w:t>
            </w:r>
          </w:p>
        </w:tc>
      </w:tr>
      <w:tr>
        <w:trPr>
          <w:trHeight w:val="27"/>
        </w:trPr>
        <w:tc>
          <w:tcPr>
            <w:tcW w:w="9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 AVAILABLE FOR BENEFITS, beginning of year</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794,284,978</w:t>
            </w:r>
          </w:p>
        </w:tc>
      </w:tr>
      <w:tr>
        <w:trPr>
          <w:trHeight w:val="264"/>
        </w:trPr>
        <w:tc>
          <w:tcPr>
            <w:tcW w:w="97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4"/>
        </w:trPr>
        <w:tc>
          <w:tcPr>
            <w:tcW w:w="9720" w:type="dxa"/>
            <w:vAlign w:val="bottom"/>
          </w:tcPr>
          <w:p>
            <w:pPr>
              <w:ind w:left="40"/>
              <w:spacing w:after="0"/>
              <w:rPr>
                <w:sz w:val="20"/>
                <w:szCs w:val="20"/>
                <w:color w:val="auto"/>
              </w:rPr>
            </w:pPr>
            <w:r>
              <w:rPr>
                <w:rFonts w:ascii="Arial" w:cs="Arial" w:eastAsia="Arial" w:hAnsi="Arial"/>
                <w:sz w:val="18"/>
                <w:szCs w:val="18"/>
                <w:color w:val="auto"/>
              </w:rPr>
              <w:t>NET ASSETS AVAILABLE FOR BENEFITS, end of year</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823,944,916</w:t>
            </w:r>
          </w:p>
        </w:tc>
      </w:tr>
      <w:tr>
        <w:trPr>
          <w:trHeight w:val="20"/>
        </w:trPr>
        <w:tc>
          <w:tcPr>
            <w:tcW w:w="9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jc w:val="center"/>
        <w:spacing w:after="0"/>
        <w:rPr>
          <w:sz w:val="20"/>
          <w:szCs w:val="20"/>
          <w:color w:val="auto"/>
        </w:rPr>
      </w:pPr>
      <w:r>
        <w:rPr>
          <w:rFonts w:ascii="Arial" w:cs="Arial" w:eastAsia="Arial" w:hAnsi="Arial"/>
          <w:sz w:val="20"/>
          <w:szCs w:val="20"/>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THE PLAN:</w:t>
      </w:r>
    </w:p>
    <w:p>
      <w:pPr>
        <w:spacing w:after="0" w:line="25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following description of the Weatherford International, LLC 401(k) Savings Plan ("the Plan"), provides only general information. Participants should refer to the Plan document for a more complete description of the Plan's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Plan is a defined contribution plan established by the board of directors ("the Board of Directors") of Weatherford International, LLC ("the Plan Sponsor").</w:t>
      </w:r>
    </w:p>
    <w:p>
      <w:pPr>
        <w:spacing w:after="0" w:line="1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Effective as of June 17, 2014, Weatherford International Ltd., a Swiss joint-stock corporation ("Weatherford Switzerland"), merged into Weatherford International plc, an Irish public limited company ("Weatherford Ireland") making Weatherford Ireland the new public holding company and the parent of the Weatherford group of companies. By virtue of the merger, Weatherford International, LLC became an indirect, wholly-owned subsidiary of Weatherford Ireland.</w:t>
      </w:r>
    </w:p>
    <w:p>
      <w:pPr>
        <w:spacing w:after="0" w:line="187"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Board of Directors appointed a committee ("the Benefits Administrative Committee") to administer the Plan. Bank of America, N.A. serves as asset custodian and trustee of the Plan. The Plan is subject to the provisions of the Employee Retirement Income Security Act of 1974, as amended ("ERISA").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225" w:lineRule="exact"/>
        <w:rPr>
          <w:sz w:val="20"/>
          <w:szCs w:val="20"/>
          <w:color w:val="auto"/>
        </w:rPr>
      </w:pPr>
    </w:p>
    <w:p>
      <w:pPr>
        <w:jc w:val="both"/>
        <w:ind w:firstLine="270"/>
        <w:spacing w:after="0" w:line="219" w:lineRule="exact"/>
        <w:rPr>
          <w:sz w:val="20"/>
          <w:szCs w:val="20"/>
          <w:color w:val="auto"/>
        </w:rPr>
      </w:pPr>
      <w:r>
        <w:rPr>
          <w:rFonts w:ascii="Arial" w:cs="Arial" w:eastAsia="Arial" w:hAnsi="Arial"/>
          <w:sz w:val="18"/>
          <w:szCs w:val="18"/>
          <w:color w:val="auto"/>
        </w:rPr>
        <w:t>All employees, other than employees who are subject to collective bargaining agreements and have not bargained to participate, employees who are nonresident aliens and receive no U.S.</w:t>
      </w:r>
      <w:r>
        <w:rPr>
          <w:rFonts w:ascii="MS PGothic" w:cs="MS PGothic" w:eastAsia="MS PGothic" w:hAnsi="MS PGothic"/>
          <w:sz w:val="18"/>
          <w:szCs w:val="18"/>
          <w:color w:val="auto"/>
        </w:rPr>
        <w:t>‑</w:t>
      </w:r>
      <w:r>
        <w:rPr>
          <w:rFonts w:ascii="Arial" w:cs="Arial" w:eastAsia="Arial" w:hAnsi="Arial"/>
          <w:sz w:val="18"/>
          <w:szCs w:val="18"/>
          <w:color w:val="auto"/>
        </w:rPr>
        <w:t>source income from the Plan Sponsor and employees who are members of other retirement plans sponsored by the Plan Sponsor or one of its subsidiaries outside the United States or employed by an affiliate company that has not adopted the Plan, are eligible to participate in the Plan on their dates of hire but are not eligible to participate for purposes of the Plan Sponsor's matching or discretionary contributions until the employee has completed one year of continuous service.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An eligible employee may elect to contribute by payroll deductions to the Plan on a pre-tax and/or Roth basis subject to certain limitations, up to 50 percent and on an after-tax basis, up to 16 percent of his or her considered compensation, as defined by the Plan. In addition, participants may contribute amounts representing rollovers and/or direct transfers from other qualified plans.</w:t>
      </w:r>
    </w:p>
    <w:p>
      <w:pPr>
        <w:spacing w:after="0" w:line="18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Employees who are eligible to make elective deferrals under the Plan and who have attained the age of 50 before the close of the Plan year are permitted to make catch-up contributions subject to certain limitations.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Plan Sponsor automatically deducts and contributes to the Plan 3 percent of the considered compensation for each newly eligible employee who has not voluntarily elected a salary deferral. No automatic deduction is taken for those employees who have elected to defer a different percentage of covered compensation or for those who have elected not to participate in the salary deferral. In addition, for those participants with a pre-tax contribution rate of between 1 percent and 5 percent, their rate will be increased automatically by 1 percent annually to a maximum of 6 percent, unless they elect to opt out of the automatic increase.</w:t>
      </w:r>
    </w:p>
    <w:p>
      <w:pPr>
        <w:spacing w:after="0" w:line="18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Plan Sponsor shall make matching contributions equal to 100 percent of the participant's pre-tax and/or Roth contributions up to 4 percent of considered compensation, as defined by the Plan, on a plan year basis. Considered compensation used to calculate the Plan Sponsor match includes overtime, bonuses and commissions but does not include relocation expenses, severance pay, or any amounts paid after an employee's severance from employment. The Plan Sponsor, solely at the discretion of the Board of Directors, may make additional discretionary contributions. There were no additional discretionary contributions made for the year ended December 31,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Accounts</w:t>
      </w:r>
    </w:p>
    <w:p>
      <w:pPr>
        <w:spacing w:after="0" w:line="22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Each participant's account is charged with certain expenses and credited with the participant's contributions, the Plan Sponsor's matching contributions, an allocation of the Plan Sponsor's discretionary contribution, if any, and Plan earnings or losses thereon. Earnings or losses are allocated by investment based on the ratio of the participant's account invested in a particular investment to all participants' accounts in that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For the year ended December 31, 2014, participants had the following investment options: fourteen mutual funds, two collective trusts, a money market account and Weatherford International Ltd. registered shares until June 17, 2014 and then Weatherford International plc ordinary shares after (collectively "Weatherford Shares"). Each participant who invested in Weatherford Shares had the right to vote the shares in his or her account with respect to any matter that came before the shareholders for a vote.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225"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Participants are immediately vested in their elective deferral account, rollovers from other qualified plans, the participant's Plan Sponsor match and discretionary contribution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 xml:space="preserve">Participants may borrow from their vested account balances a minimum of $1,000 up to a maximum equal to the lesser of $50,000 reduced by the highest outstanding loan balance in the preceding one-year period or one half of the fair value of the participant's vested account balance. Loan maturity dates range from one year to five years except when the loan is used to purchase a participant's principal residence. In the case of home loans, all such loans are required to be repaid within ten years. The loans are fully secured by a pledge of the participant's vested account balance and bear interest at the prime rate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at the date of the loan plus 1% or at a rate determined by the Benefits Administrative Committee.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Withdrawals and Terminations</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A participant may withdraw the value of his or her after-tax contributions or rollover contributions from the Plan at any time and for any reason during the year, with a minimum withdrawal of $500. The participant's pre-tax contributions, Roth contributions and Plan Sponsor contributions will be available to a participant who has attained age 59-1/2 or in the event of severe and immediate financial hardship. Withdrawals based on financial hardship result in a suspension of participant contributions for six months.</w:t>
      </w:r>
    </w:p>
    <w:p>
      <w:pPr>
        <w:spacing w:after="0" w:line="18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In the event of normal retirement, total and permanent disability or death while actively employed, the full value of the participant's account balance will be made available to the participant or his or her beneficiary as a lump sum. Upon termination of employment, the participant's entire account balance will be available for withdrawal. If a participant has not elected otherwise, all mandatory distributions less than $1,000 are paid directly to the participant, while those in excess of $1,000, but not greater than $5,000, are automatically rolled over into individual retirement accounts selected by the Benefits Administrative Committee. Certain benefits related to other forms of payment are protected by the Plan.</w:t>
      </w:r>
    </w:p>
    <w:p>
      <w:pPr>
        <w:spacing w:after="0" w:line="33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accompanying financial statements are prepared and presented in accordance with the accrual method of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amounts reported in the financial statements and accompanying notes and schedules. Actual results could differ from those estimates.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Investments</w:t>
      </w:r>
    </w:p>
    <w:p>
      <w:pPr>
        <w:spacing w:after="0" w:line="225" w:lineRule="exact"/>
        <w:rPr>
          <w:sz w:val="20"/>
          <w:szCs w:val="20"/>
          <w:color w:val="auto"/>
        </w:rPr>
      </w:pPr>
    </w:p>
    <w:p>
      <w:pPr>
        <w:jc w:val="both"/>
        <w:ind w:firstLine="270"/>
        <w:spacing w:after="0" w:line="342" w:lineRule="auto"/>
        <w:rPr>
          <w:sz w:val="20"/>
          <w:szCs w:val="20"/>
          <w:color w:val="auto"/>
        </w:rPr>
      </w:pPr>
      <w:r>
        <w:rPr>
          <w:rFonts w:ascii="Arial" w:cs="Arial" w:eastAsia="Arial" w:hAnsi="Arial"/>
          <w:sz w:val="16"/>
          <w:szCs w:val="16"/>
          <w:color w:val="auto"/>
        </w:rPr>
        <w:t>The Plan's investments are stated at fair value. Fair value is defined as the price that would be received to sell an asset or paid to transfer a liability in an orderly transaction between market participants at the measurement date (an exit price). See Note 4 for further discussion of fair value measurements.</w:t>
      </w:r>
    </w:p>
    <w:p>
      <w:pPr>
        <w:spacing w:after="0" w:line="1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Invesco Stable Value Retirement Fund, a collective trust, invests in fully benefit-responsive investment contracts.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225"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Notes receivable from participants represent participant loans that are recorded at their unpaid principal balance plus any accrued but unpaid interest. Interest income on notes receivable from participants is recorded when it is earned. Related fees are recorded as administrative expenses and are expensed when they are incurred. No allowance for credit losses has been recorded as of December 31, 2014 or 2013. If a participant ceases to make loan repayments and the plan administrator deems the participant loan to be a distribution, the participant loan balance is reduced and a benefit payment is recorded.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Recognition</w:t>
      </w:r>
    </w:p>
    <w:p>
      <w:pPr>
        <w:spacing w:after="0" w:line="22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Interest and dividend income is recorded when earned. Purchases and sales of securities are recorded on a trade-date basis. Realized gains (losses) on the sale of investments and unrealized appreciation (depreciation) in the fair value of investments are shown as net appreciation (depreciation) in fair value of collective trusts, common stock and mutual funds on the Statement of Changes in Net Assets Available for Benefits. No dividends were paid on Weatherford Shares during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Benefits are recorded when paid.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Expenses of the Plan</w:t>
      </w:r>
    </w:p>
    <w:p>
      <w:pPr>
        <w:spacing w:after="0" w:line="225"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Until April 1, 2014, recordkeeping fees for the Plan and fees for certain other services such as mailers, etc. were paid for by the revenue sharing from plan investments. Effective April 1, 2014, participant accounts are charged and credited quarterly for recordkeeping fees and revenue sharing, respectively. Other administrative fees incurred by the Plan are paid by the Plan Sponsor, except for participant loan fees, which are paid from the account of the participant requesting the loan. Fees that are paid by the Plan Sponsor are excluded from these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Accounting Pronouncements</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In May 2015, the Financial Accounting Standards Board ("FASB") issued Accounting Standards Update (ASU) No. 2015-07, </w:t>
      </w:r>
      <w:r>
        <w:rPr>
          <w:rFonts w:ascii="Arial" w:cs="Arial" w:eastAsia="Arial" w:hAnsi="Arial"/>
          <w:sz w:val="17"/>
          <w:szCs w:val="17"/>
          <w:i w:val="1"/>
          <w:iCs w:val="1"/>
          <w:color w:val="auto"/>
        </w:rPr>
        <w:t>Disclosures for Investments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 Certain Entities That Calculate Net Asset Value per Share (or Its Equivalent), </w:t>
      </w:r>
      <w:r>
        <w:rPr>
          <w:rFonts w:ascii="Arial" w:cs="Arial" w:eastAsia="Arial" w:hAnsi="Arial"/>
          <w:sz w:val="17"/>
          <w:szCs w:val="17"/>
          <w:color w:val="auto"/>
        </w:rPr>
        <w:t>("ASU 2015-07"). ASU 2015-07 amended Accounting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Codification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by eliminating the requirement to categorize investments in the fair value hierarchy if their fair value is measured at net asset value per share (or its equivalent) using the practical expedient in the FASB's fair value measurement guidance. Adoption of ASU 2015-07 is required retrospectively and is effective for fiscal years beginning after December 15, 2016, although, early adoption is permitted. Management is currently evaluating the effect that this update will have on the Plan's financials.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4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Individual investments that represent 5 percent or more of the Plan's net assets available for benefits at December 31, 2014 and 2013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20"/>
                <w:szCs w:val="20"/>
                <w:color w:val="auto"/>
              </w:rPr>
            </w:pPr>
          </w:p>
        </w:tc>
      </w:tr>
      <w:tr>
        <w:trPr>
          <w:trHeight w:val="34"/>
        </w:trPr>
        <w:tc>
          <w:tcPr>
            <w:tcW w:w="7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2013</w:t>
            </w:r>
          </w:p>
        </w:tc>
      </w:tr>
      <w:tr>
        <w:trPr>
          <w:trHeight w:val="34"/>
        </w:trPr>
        <w:tc>
          <w:tcPr>
            <w:tcW w:w="73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Invesco Stable Value Retirement Fund (stated at contract value)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116,712,954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114,915,570</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Vanguard Mid Cap Index Fund</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84,583,504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Weatherford Shares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76,376,568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104,405,873</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The Oakmark Fund</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69,929,385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60,965,714</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BlackRock Equity Index Non-Lendable Fund</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67,962,998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63,846,204</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PIMCO Total Return Fund</w:t>
            </w:r>
          </w:p>
        </w:tc>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61,017,287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59,904,196</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Harbor International Fund</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53,646,398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Thornburg International Value Fund</w:t>
            </w:r>
          </w:p>
        </w:tc>
        <w:tc>
          <w:tcPr>
            <w:tcW w:w="4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57,227,944</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Goldman Sachs Mid Cap Value Fund</w:t>
            </w:r>
          </w:p>
        </w:tc>
        <w:tc>
          <w:tcPr>
            <w:tcW w:w="4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47,208,464</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American Beacon Small Cap Value Fund</w:t>
            </w:r>
          </w:p>
        </w:tc>
        <w:tc>
          <w:tcPr>
            <w:tcW w:w="4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44,184,021</w:t>
            </w:r>
          </w:p>
        </w:tc>
      </w:tr>
      <w:tr>
        <w:trPr>
          <w:trHeight w:val="27"/>
        </w:trPr>
        <w:tc>
          <w:tcPr>
            <w:tcW w:w="7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Invesco Equity and Income Fund</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39,725,440</w:t>
            </w:r>
          </w:p>
        </w:tc>
      </w:tr>
      <w:tr>
        <w:trPr>
          <w:trHeight w:val="27"/>
        </w:trPr>
        <w:tc>
          <w:tcPr>
            <w:tcW w:w="7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fair value of the Invesco Stable Value Retirement Fund totaled $118,697,074 and $115,843,398 at December 31, 2014 and 2013, respectively.</w:t>
      </w:r>
    </w:p>
    <w:p>
      <w:pPr>
        <w:spacing w:after="0" w:line="39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02"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 xml:space="preserve">Accounting Standards Codification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to sell an asset or paid to transfer a liability in an orderly transaction between market participants at the measurement date. ASC 820 establishes a fair value hierarchy that distinguishes between market participant assumptions developed based on market data obtained from independent sources (observable inputs) and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that are both significant to the fair value measurement and unobservable.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accordance with ASC 820, the following table presents the Plan's assets that are measured and recognized at fair value on a recurring basis classified under the appropriate level of the fair value hierarchy as of December 31, 2014 and 2013: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8"/>
              </w:rPr>
              <w:t>Assets at Fair Value as of December 31, 2014</w:t>
            </w:r>
          </w:p>
        </w:tc>
      </w:tr>
      <w:tr>
        <w:trPr>
          <w:trHeight w:val="34"/>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12,908,611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12,908,611</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growth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29,902,369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29,902,369</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small/mid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35,492,988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35,492,988</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84,583,504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84,583,504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growth</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31,348,442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31,348,442</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large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69,929,385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69,929,385</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25,763,674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25,763,674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Domestic/foreign allocation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66,086,547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66,086,547</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89,630,176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89,630,176</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81,239,284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81,239,284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1,586,074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1,586,074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76,376,568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76,376,568</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Collective trusts: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Stable value(b)</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118,697,074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118,697,074</w:t>
            </w:r>
          </w:p>
        </w:tc>
      </w:tr>
      <w:tr>
        <w:trPr>
          <w:trHeight w:val="284"/>
        </w:trPr>
        <w:tc>
          <w:tcPr>
            <w:tcW w:w="6760" w:type="dxa"/>
            <w:vAlign w:val="bottom"/>
          </w:tcPr>
          <w:p>
            <w:pPr>
              <w:ind w:left="180"/>
              <w:spacing w:after="0"/>
              <w:rPr>
                <w:sz w:val="20"/>
                <w:szCs w:val="20"/>
                <w:color w:val="auto"/>
              </w:rPr>
            </w:pPr>
            <w:r>
              <w:rPr>
                <w:rFonts w:ascii="Arial" w:cs="Arial" w:eastAsia="Arial" w:hAnsi="Arial"/>
                <w:sz w:val="18"/>
                <w:szCs w:val="18"/>
                <w:color w:val="auto"/>
              </w:rPr>
              <w:t>Large cap blend(c)</w:t>
            </w:r>
          </w:p>
        </w:tc>
        <w:tc>
          <w:tcPr>
            <w:tcW w:w="3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67,962,998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67,962,998</w:t>
            </w:r>
          </w:p>
        </w:tc>
      </w:tr>
      <w:tr>
        <w:trPr>
          <w:trHeight w:val="257"/>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604,847,622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186,660,072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791,507,694</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6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88"/>
              </w:rPr>
              <w:t>Assets at Fair Value as of December 31, 2013</w:t>
            </w:r>
          </w:p>
        </w:tc>
      </w:tr>
      <w:tr>
        <w:trPr>
          <w:trHeight w:val="34"/>
        </w:trPr>
        <w:tc>
          <w:tcPr>
            <w:tcW w:w="6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6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Level 2</w:t>
            </w:r>
          </w:p>
        </w:tc>
        <w:tc>
          <w:tcPr>
            <w:tcW w:w="300" w:type="dxa"/>
            <w:vAlign w:val="bottom"/>
          </w:tcPr>
          <w:p>
            <w:pPr>
              <w:spacing w:after="0"/>
              <w:rPr>
                <w:sz w:val="21"/>
                <w:szCs w:val="21"/>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34"/>
        </w:trPr>
        <w:tc>
          <w:tcPr>
            <w:tcW w:w="6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10,402,927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10,402,927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growth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21,263,362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21,263,362</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small/mid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91,392,485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91,392,485</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small/mid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20,470,126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20,470,126</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growth</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28,109,971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28,109,971</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 large cap blend</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60,965,714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60,965,714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Domestic large cap value</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14,914,400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14,914,400</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Domestic/foreign allocation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65,117,153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65,117,153</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Foreign stock</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95,994,196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95,994,196</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72,666,734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72,666,734</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1,495,064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1,495,064</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stock(a)</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104,405,873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104,405,873</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Collective trusts: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Stable value(b)</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115,843,398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115,843,398</w:t>
            </w:r>
          </w:p>
        </w:tc>
      </w:tr>
      <w:tr>
        <w:trPr>
          <w:trHeight w:val="284"/>
        </w:trPr>
        <w:tc>
          <w:tcPr>
            <w:tcW w:w="6760" w:type="dxa"/>
            <w:vAlign w:val="bottom"/>
          </w:tcPr>
          <w:p>
            <w:pPr>
              <w:ind w:left="180"/>
              <w:spacing w:after="0"/>
              <w:rPr>
                <w:sz w:val="20"/>
                <w:szCs w:val="20"/>
                <w:color w:val="auto"/>
              </w:rPr>
            </w:pPr>
            <w:r>
              <w:rPr>
                <w:rFonts w:ascii="Arial" w:cs="Arial" w:eastAsia="Arial" w:hAnsi="Arial"/>
                <w:sz w:val="18"/>
                <w:szCs w:val="18"/>
                <w:color w:val="auto"/>
              </w:rPr>
              <w:t>Large cap blend(c)</w:t>
            </w:r>
          </w:p>
        </w:tc>
        <w:tc>
          <w:tcPr>
            <w:tcW w:w="30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63,846,204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63,846,204</w:t>
            </w:r>
          </w:p>
        </w:tc>
      </w:tr>
      <w:tr>
        <w:trPr>
          <w:trHeight w:val="257"/>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587,198,005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179,689,602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766,887,607</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4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40" w:hanging="319"/>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investments in common stock are all Weatherford Shares.</w:t>
      </w:r>
    </w:p>
    <w:p>
      <w:pPr>
        <w:spacing w:after="0" w:line="225" w:lineRule="exact"/>
        <w:rPr>
          <w:rFonts w:ascii="Arial" w:cs="Arial" w:eastAsia="Arial" w:hAnsi="Arial"/>
          <w:sz w:val="18"/>
          <w:szCs w:val="18"/>
          <w:color w:val="auto"/>
        </w:rPr>
      </w:pPr>
    </w:p>
    <w:p>
      <w:pPr>
        <w:jc w:val="both"/>
        <w:ind w:left="840" w:hanging="319"/>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category includes a collective trust that is designed to provide preservation of capital, liquidity and current income at levels that are typically higher than those provided by money market funds. The trust invests primarily in synthetic guaranteed investment contracts and a short-term investment fund. Participant-directed redemptions have no restrictions; however, the Plan is subject to a two-year notice provision if redemption is initiated. For further discussion of the value of the trust, see Note 2.</w:t>
      </w:r>
    </w:p>
    <w:p>
      <w:pPr>
        <w:spacing w:after="0" w:line="186" w:lineRule="exact"/>
        <w:rPr>
          <w:rFonts w:ascii="Arial" w:cs="Arial" w:eastAsia="Arial" w:hAnsi="Arial"/>
          <w:sz w:val="18"/>
          <w:szCs w:val="18"/>
          <w:color w:val="auto"/>
        </w:rPr>
      </w:pPr>
    </w:p>
    <w:p>
      <w:pPr>
        <w:jc w:val="both"/>
        <w:ind w:left="840" w:hanging="319"/>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category includes a collective trust that is designed to provide investment results that, before expenses, replicate the total return of the Standard &amp; Poor's 500 Composite Stock Price Index ("S&amp;P 500 Index"). The trust invests primarily in a portfolio of equity securities designed to substantially equal the performance of the S&amp;P 500 Index. There are currently no redemption restrictions on this investment. The fair value of the investment in this category has been estimated using the net asset value per share.</w:t>
      </w:r>
    </w:p>
    <w:p>
      <w:pPr>
        <w:spacing w:after="0" w:line="18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Common stock is valued at the closing price reported on the active market on which the individual securities are traded. Money market and mutual funds are valued at the net asset value ("NAV") of shares held by the Plan at year end.</w:t>
      </w:r>
    </w:p>
    <w:p>
      <w:pPr>
        <w:spacing w:after="0" w:line="170"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2014 and 2013. The inputs and methodologies used for valuing securities are not an indication of the risk associated with investing in those securities.</w:t>
      </w:r>
    </w:p>
    <w:p>
      <w:pPr>
        <w:spacing w:after="0" w:line="184"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RISKS AND UNCERTAINTIES:</w:t>
      </w:r>
    </w:p>
    <w:p>
      <w:pPr>
        <w:spacing w:after="0" w:line="229"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The Plan provides for various investments in collective trusts, money market, mutual funds and common stock. 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7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As of December 31, 2014 and 2013, the Plan was a holder of approximately 87 percent and 82 percent, respectively, of the assets held by the BlackRock Equity Index Non-Lendable Fund.</w:t>
      </w:r>
    </w:p>
    <w:p>
      <w:pPr>
        <w:spacing w:after="0" w:line="16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PARTY-IN-INTEREST TRANSACTIONS:</w:t>
      </w:r>
    </w:p>
    <w:p>
      <w:pPr>
        <w:spacing w:after="0" w:line="229"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Certain investments of the Plan are maintained by Bank of America, N.A. Bank of America, N.A. is the trustee of the Plan and, therefore, these transactions qualify as party-in-interest transactions. Additionally, a portion of the Plan's assets were invested in Weatherford Shares as of December 31, 2014 and 2013. Because the Plan Sponsor was an indirect, wholly-owned subsidiary of Weatherford International Ltd. at December 31, 2013 and Weatherford International plc at December 31, 2014, transactions involving Weatherford Shares qualified as party-in-interest transactions. All of these transactions, including notes receivable from participants, were exempt from the prohibited transactions rules.</w:t>
      </w:r>
    </w:p>
    <w:p>
      <w:pPr>
        <w:spacing w:after="0" w:line="184"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TERMINATION:</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Although it has not expressed any intent to do so, the Plan Sponsor has the right under the Plan to discontinue contributions at any time and to terminate the Plan subject to the provisions of ERISA.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4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STATUS:</w:t>
      </w:r>
    </w:p>
    <w:p>
      <w:pPr>
        <w:spacing w:after="0" w:line="22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Plan received a determination letter from the Internal Revenue Service ("IRS") dated September 17, 2012 stating that the Plan is qualified under Section 401(a) of the Internal Revenue Code (the "Code") and, therefore, the related trust is exempt from taxation. Subsequent to this determination by the IRS, the Plan was amended and restated. Once qualified, the Plan is required to operate in conformity with the Code to maintain its qualification. The Plan administrator has indicated that the Plan's operations are in compliance with the Code.</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Accounting principles generally accepted in the United States require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2014 and 2013, there are no uncertain positions taken or expected to be taken. The Plan has recognized no interest or penalties related to uncertain tax positions. The Plan is subject to routine audits by U.S. taxing jurisdictions; however, there are currently no audits for any tax periods in progress. The Plan administrator believes it is no longer subject to income tax examinations for years prior to 2011.</w:t>
      </w:r>
    </w:p>
    <w:p>
      <w:pPr>
        <w:spacing w:after="0" w:line="189"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7"/>
          <w:szCs w:val="17"/>
          <w:color w:val="auto"/>
        </w:rPr>
        <w:t>The following is a reconciliation of net assets available for benefits per the financial statements at December 31, 2014 and 2013 to the Form 5500:</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20"/>
                <w:szCs w:val="20"/>
                <w:color w:val="auto"/>
              </w:rPr>
            </w:pPr>
          </w:p>
        </w:tc>
      </w:tr>
      <w:tr>
        <w:trPr>
          <w:trHeight w:val="34"/>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2013</w:t>
            </w:r>
          </w:p>
        </w:tc>
      </w:tr>
      <w:tr>
        <w:trPr>
          <w:trHeight w:val="34"/>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 per the financial statements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823,944,916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794,284,978</w:t>
            </w:r>
          </w:p>
        </w:tc>
      </w:tr>
      <w:tr>
        <w:trPr>
          <w:trHeight w:val="229"/>
        </w:trPr>
        <w:tc>
          <w:tcPr>
            <w:tcW w:w="7540" w:type="dxa"/>
            <w:vAlign w:val="bottom"/>
          </w:tcPr>
          <w:p>
            <w:pPr>
              <w:ind w:left="40"/>
              <w:spacing w:after="0"/>
              <w:rPr>
                <w:sz w:val="20"/>
                <w:szCs w:val="20"/>
                <w:color w:val="auto"/>
              </w:rPr>
            </w:pPr>
            <w:r>
              <w:rPr>
                <w:rFonts w:ascii="Arial" w:cs="Arial" w:eastAsia="Arial" w:hAnsi="Arial"/>
                <w:sz w:val="18"/>
                <w:szCs w:val="18"/>
                <w:color w:val="auto"/>
              </w:rPr>
              <w:t>Amounts allocated to withdrawing</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(460,081)</w:t>
            </w:r>
          </w:p>
        </w:tc>
      </w:t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participants</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(723,250)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5"/>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1,984,120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927,828</w:t>
            </w:r>
          </w:p>
        </w:tc>
      </w:tr>
      <w:tr>
        <w:trPr>
          <w:trHeight w:val="230"/>
        </w:trPr>
        <w:tc>
          <w:tcPr>
            <w:tcW w:w="754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Net assets available for benefits per the Form 5500</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825,205,786</w:t>
            </w:r>
          </w:p>
        </w:tc>
        <w:tc>
          <w:tcPr>
            <w:tcW w:w="100" w:type="dxa"/>
            <w:vAlign w:val="bottom"/>
            <w:tcBorders>
              <w:top w:val="single" w:sz="8" w:color="CCEEFF"/>
            </w:tcBorders>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794,752,725</w:t>
            </w: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The following is a reconciliation of the net increase in net assets available for benefits per the financial statements for the year ended December 31, 2014 to the Form 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net assets available for benefits per the financial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allocated to withdrawing participants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allocated to withdrawing participants at December 31, 2013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 from fair value to contract value for fully benefit-responsive investment contracts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 from fair value to contract value for fully benefit-responsive investment contracts at December 31, 2013</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net assets available for benefits per Form 5500</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420" w:hanging="417"/>
        <w:spacing w:after="0"/>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29,659,938</w:t>
      </w:r>
    </w:p>
    <w:p>
      <w:pPr>
        <w:spacing w:after="0" w:line="7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6"/>
          <w:szCs w:val="16"/>
          <w:color w:val="auto"/>
        </w:rPr>
        <w:t>(723,250)</w:t>
      </w:r>
    </w:p>
    <w:p>
      <w:pPr>
        <w:spacing w:after="0" w:line="86"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460,081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1,984,120</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(927,828)</w:t>
      </w:r>
    </w:p>
    <w:p>
      <w:pPr>
        <w:spacing w:after="0" w:line="90" w:lineRule="exact"/>
        <w:rPr>
          <w:sz w:val="20"/>
          <w:szCs w:val="20"/>
          <w:color w:val="auto"/>
        </w:rPr>
      </w:pPr>
    </w:p>
    <w:p>
      <w:pPr>
        <w:ind w:left="420" w:hanging="417"/>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30,453,061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39370</wp:posOffset>
            </wp:positionV>
            <wp:extent cx="866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56515</wp:posOffset>
            </wp:positionV>
            <wp:extent cx="866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60" w:space="720"/>
            <w:col w:w="1340"/>
          </w:cols>
          <w:pgMar w:left="240" w:top="346" w:right="239" w:bottom="1440" w:gutter="0" w:footer="0" w:header="0"/>
          <w:type w:val="continuous"/>
        </w:sectPr>
      </w:pPr>
    </w:p>
    <w:p>
      <w:pPr>
        <w:spacing w:after="0" w:line="104"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Amounts allocated to withdrawing participants are recorded on the Form 5500 for benefit claims that have been processed and approved for payment prior to December 31, 2014 and 2013, but not yet paid as of that date.</w:t>
      </w:r>
    </w:p>
    <w:p>
      <w:pPr>
        <w:spacing w:after="0" w:line="17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accompanying financial statements present fully benefit-responsive contracts at contract value. The Form 5500 requires fully benefit-responsive contracts to be reported at fair value.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4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Effective February 6, 2015, the EII Global Property Fund and PIMCO Total Return Fund were removed as investment options. Investments in the EII Global Property Fund were transferred to the DFA Global Real Estate Securities Portfolio and investments in the PIMCO Total Return Fund were transferred to the Frost Total Return Bond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4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99"/>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1" w:lineRule="exact"/>
        <w:rPr>
          <w:sz w:val="20"/>
          <w:szCs w:val="20"/>
          <w:color w:val="auto"/>
        </w:rPr>
      </w:pPr>
    </w:p>
    <w:p>
      <w:pPr>
        <w:jc w:val="center"/>
        <w:ind w:right="-599"/>
        <w:spacing w:after="0"/>
        <w:rPr>
          <w:sz w:val="20"/>
          <w:szCs w:val="20"/>
          <w:color w:val="auto"/>
        </w:rPr>
      </w:pPr>
      <w:r>
        <w:rPr>
          <w:rFonts w:ascii="Arial" w:cs="Arial" w:eastAsia="Arial" w:hAnsi="Arial"/>
          <w:sz w:val="20"/>
          <w:szCs w:val="20"/>
          <w:b w:val="1"/>
          <w:bCs w:val="1"/>
          <w:color w:val="auto"/>
        </w:rPr>
        <w:t>SCHEDULE H, LINE 4(a), SCHEDULE OF DELINQUENT PARTICIPANT CONTRIBUTIONS</w:t>
      </w:r>
    </w:p>
    <w:p>
      <w:pPr>
        <w:jc w:val="center"/>
        <w:ind w:right="-599"/>
        <w:spacing w:after="0"/>
        <w:tabs>
          <w:tab w:leader="none" w:pos="180" w:val="left"/>
        </w:tabs>
        <w:rPr>
          <w:sz w:val="20"/>
          <w:szCs w:val="20"/>
          <w:color w:val="auto"/>
        </w:rPr>
      </w:pPr>
      <w:r>
        <w:rPr>
          <w:rFonts w:ascii="Arial" w:cs="Arial" w:eastAsia="Arial" w:hAnsi="Arial"/>
          <w:sz w:val="20"/>
          <w:szCs w:val="20"/>
          <w:b w:val="1"/>
          <w:bCs w:val="1"/>
          <w:color w:val="auto"/>
        </w:rPr>
        <w:t>EIN: 04-2515019</w:t>
      </w:r>
      <w:r>
        <w:rPr>
          <w:sz w:val="20"/>
          <w:szCs w:val="20"/>
          <w:color w:val="auto"/>
        </w:rPr>
        <w:tab/>
      </w:r>
      <w:r>
        <w:rPr>
          <w:rFonts w:ascii="Arial" w:cs="Arial" w:eastAsia="Arial" w:hAnsi="Arial"/>
          <w:sz w:val="18"/>
          <w:szCs w:val="18"/>
          <w:b w:val="1"/>
          <w:bCs w:val="1"/>
          <w:color w:val="auto"/>
        </w:rPr>
        <w:t>PN: 002</w:t>
      </w:r>
    </w:p>
    <w:p>
      <w:pPr>
        <w:jc w:val="center"/>
        <w:ind w:right="-599"/>
        <w:spacing w:after="0"/>
        <w:rPr>
          <w:sz w:val="20"/>
          <w:szCs w:val="20"/>
          <w:color w:val="auto"/>
        </w:rPr>
      </w:pPr>
      <w:r>
        <w:rPr>
          <w:rFonts w:ascii="Arial" w:cs="Arial" w:eastAsia="Arial" w:hAnsi="Arial"/>
          <w:sz w:val="20"/>
          <w:szCs w:val="20"/>
          <w:b w:val="1"/>
          <w:bCs w:val="1"/>
          <w:color w:val="auto"/>
        </w:rPr>
        <w:t>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Fully</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3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Participant Contributions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Total that Constitute</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Corrected Under</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78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Transferred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Nonexempt</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VFCP and PTE 2002-</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78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Late to the Plan</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Prohibited Transactions</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4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9"/>
              </w:rPr>
              <w:t>51</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Check here if late</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participant loan</w:t>
            </w:r>
          </w:p>
        </w:tc>
        <w:tc>
          <w:tcPr>
            <w:tcW w:w="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o</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80" w:type="dxa"/>
            <w:vAlign w:val="bottom"/>
            <w:gridSpan w:val="2"/>
          </w:tcPr>
          <w:p>
            <w:pPr>
              <w:jc w:val="center"/>
              <w:spacing w:after="0"/>
              <w:rPr>
                <w:sz w:val="20"/>
                <w:szCs w:val="20"/>
                <w:color w:val="auto"/>
              </w:rPr>
            </w:pPr>
            <w:r>
              <w:rPr>
                <w:rFonts w:ascii="Arial" w:cs="Arial" w:eastAsia="Arial" w:hAnsi="Arial"/>
                <w:sz w:val="18"/>
                <w:szCs w:val="18"/>
                <w:color w:val="auto"/>
                <w:w w:val="91"/>
              </w:rPr>
              <w:t>Contributions Pending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87"/>
              </w:rPr>
              <w:t>repayments</w:t>
            </w:r>
          </w:p>
        </w:tc>
        <w:tc>
          <w:tcPr>
            <w:tcW w:w="5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vMerge w:val="restart"/>
          </w:tcPr>
          <w:p>
            <w:pPr>
              <w:jc w:val="center"/>
              <w:ind w:right="70"/>
              <w:spacing w:after="0"/>
              <w:rPr>
                <w:sz w:val="20"/>
                <w:szCs w:val="20"/>
                <w:color w:val="auto"/>
              </w:rPr>
            </w:pPr>
            <w:r>
              <w:rPr>
                <w:rFonts w:ascii="Arial" w:cs="Arial" w:eastAsia="Arial" w:hAnsi="Arial"/>
                <w:sz w:val="18"/>
                <w:szCs w:val="18"/>
                <w:color w:val="auto"/>
                <w:w w:val="94"/>
              </w:rPr>
              <w:t>Contributions Not</w:t>
            </w:r>
          </w:p>
        </w:tc>
        <w:tc>
          <w:tcPr>
            <w:tcW w:w="2040" w:type="dxa"/>
            <w:vAlign w:val="bottom"/>
            <w:gridSpan w:val="2"/>
            <w:vMerge w:val="restart"/>
          </w:tcPr>
          <w:p>
            <w:pPr>
              <w:ind w:left="80"/>
              <w:spacing w:after="0"/>
              <w:rPr>
                <w:sz w:val="20"/>
                <w:szCs w:val="20"/>
                <w:color w:val="auto"/>
              </w:rPr>
            </w:pPr>
            <w:r>
              <w:rPr>
                <w:rFonts w:ascii="Arial" w:cs="Arial" w:eastAsia="Arial" w:hAnsi="Arial"/>
                <w:sz w:val="18"/>
                <w:szCs w:val="18"/>
                <w:color w:val="auto"/>
              </w:rPr>
              <w:t>Contributions Corrected</w:t>
            </w:r>
          </w:p>
        </w:tc>
        <w:tc>
          <w:tcPr>
            <w:tcW w:w="360" w:type="dxa"/>
            <w:vAlign w:val="bottom"/>
          </w:tcPr>
          <w:p>
            <w:pPr>
              <w:spacing w:after="0"/>
              <w:rPr>
                <w:sz w:val="10"/>
                <w:szCs w:val="10"/>
                <w:color w:val="auto"/>
              </w:rPr>
            </w:pPr>
          </w:p>
        </w:tc>
        <w:tc>
          <w:tcPr>
            <w:tcW w:w="1520" w:type="dxa"/>
            <w:vAlign w:val="bottom"/>
            <w:vMerge w:val="restart"/>
          </w:tcPr>
          <w:p>
            <w:pPr>
              <w:jc w:val="center"/>
              <w:ind w:right="250"/>
              <w:spacing w:after="0"/>
              <w:rPr>
                <w:sz w:val="20"/>
                <w:szCs w:val="20"/>
                <w:color w:val="auto"/>
              </w:rPr>
            </w:pPr>
            <w:r>
              <w:rPr>
                <w:rFonts w:ascii="Arial" w:cs="Arial" w:eastAsia="Arial" w:hAnsi="Arial"/>
                <w:sz w:val="18"/>
                <w:szCs w:val="18"/>
                <w:color w:val="auto"/>
                <w:w w:val="93"/>
              </w:rPr>
              <w:t>Correction</w:t>
            </w: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vMerge w:val="continue"/>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are included:</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center"/>
              <w:ind w:right="70"/>
              <w:spacing w:after="0"/>
              <w:rPr>
                <w:sz w:val="20"/>
                <w:szCs w:val="20"/>
                <w:color w:val="auto"/>
              </w:rPr>
            </w:pPr>
            <w:r>
              <w:rPr>
                <w:rFonts w:ascii="Arial" w:cs="Arial" w:eastAsia="Arial" w:hAnsi="Arial"/>
                <w:sz w:val="18"/>
                <w:szCs w:val="18"/>
                <w:color w:val="auto"/>
                <w:w w:val="91"/>
              </w:rPr>
              <w:t>Corrected</w:t>
            </w:r>
          </w:p>
        </w:tc>
        <w:tc>
          <w:tcPr>
            <w:tcW w:w="22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color w:val="auto"/>
              </w:rPr>
              <w:t>Outside VFCP</w:t>
            </w:r>
          </w:p>
        </w:tc>
        <w:tc>
          <w:tcPr>
            <w:tcW w:w="360" w:type="dxa"/>
            <w:vAlign w:val="bottom"/>
          </w:tcPr>
          <w:p>
            <w:pPr>
              <w:spacing w:after="0"/>
              <w:rPr>
                <w:sz w:val="20"/>
                <w:szCs w:val="20"/>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color w:val="auto"/>
                <w:w w:val="95"/>
              </w:rPr>
              <w:t>in VFCP</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gridSpan w:val="2"/>
          </w:tcPr>
          <w:p>
            <w:pPr>
              <w:jc w:val="right"/>
              <w:ind w:right="90"/>
              <w:spacing w:after="0"/>
              <w:rPr>
                <w:sz w:val="20"/>
                <w:szCs w:val="20"/>
                <w:color w:val="auto"/>
              </w:rPr>
            </w:pPr>
            <w:r>
              <w:rPr>
                <w:rFonts w:ascii="Arial" w:cs="Arial" w:eastAsia="Arial" w:hAnsi="Arial"/>
                <w:sz w:val="18"/>
                <w:szCs w:val="18"/>
                <w:color w:val="auto"/>
              </w:rPr>
              <w:t>4,206  *</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4,206  *</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Represents delinquent participant contributions from 2013. The Plan Sponsor remitted lost earnings and filed the required Form 5330 in 2014.</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14</w:t>
      </w:r>
    </w:p>
    <w:p>
      <w:pPr>
        <w:sectPr>
          <w:pgSz w:w="11900" w:h="16838" w:orient="portrait"/>
          <w:cols w:equalWidth="0" w:num="1">
            <w:col w:w="10820"/>
          </w:cols>
          <w:pgMar w:left="240" w:top="125" w:right="8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LLC 401(k)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H, LINE 4(i), SCHEDULE OF ASSETS (HELD AT END OF YEAR)</w:t>
      </w:r>
    </w:p>
    <w:p>
      <w:pPr>
        <w:jc w:val="center"/>
        <w:spacing w:after="0"/>
        <w:tabs>
          <w:tab w:leader="none" w:pos="180" w:val="left"/>
        </w:tabs>
        <w:rPr>
          <w:sz w:val="20"/>
          <w:szCs w:val="20"/>
          <w:color w:val="auto"/>
        </w:rPr>
      </w:pPr>
      <w:r>
        <w:rPr>
          <w:rFonts w:ascii="Arial" w:cs="Arial" w:eastAsia="Arial" w:hAnsi="Arial"/>
          <w:sz w:val="20"/>
          <w:szCs w:val="20"/>
          <w:b w:val="1"/>
          <w:bCs w:val="1"/>
          <w:color w:val="auto"/>
        </w:rPr>
        <w:t>EIN: 04-2515019</w:t>
      </w:r>
      <w:r>
        <w:rPr>
          <w:sz w:val="20"/>
          <w:szCs w:val="20"/>
          <w:color w:val="auto"/>
        </w:rPr>
        <w:tab/>
      </w:r>
      <w:r>
        <w:rPr>
          <w:rFonts w:ascii="Arial" w:cs="Arial" w:eastAsia="Arial" w:hAnsi="Arial"/>
          <w:sz w:val="18"/>
          <w:szCs w:val="18"/>
          <w:b w:val="1"/>
          <w:bCs w:val="1"/>
          <w:color w:val="auto"/>
        </w:rPr>
        <w:t>PN: 002</w:t>
      </w:r>
    </w:p>
    <w:p>
      <w:pPr>
        <w:jc w:val="center"/>
        <w:spacing w:after="0"/>
        <w:rPr>
          <w:sz w:val="20"/>
          <w:szCs w:val="20"/>
          <w:color w:val="auto"/>
        </w:rPr>
      </w:pPr>
      <w:r>
        <w:rPr>
          <w:rFonts w:ascii="Arial" w:cs="Arial" w:eastAsia="Arial" w:hAnsi="Arial"/>
          <w:sz w:val="20"/>
          <w:szCs w:val="20"/>
          <w:b w:val="1"/>
          <w:bCs w:val="1"/>
          <w:color w:val="auto"/>
        </w:rPr>
        <w:t>DECEMBER 31, 2014</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Principal Number</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(a)</w:t>
            </w:r>
          </w:p>
        </w:tc>
        <w:tc>
          <w:tcPr>
            <w:tcW w:w="2700" w:type="dxa"/>
            <w:vAlign w:val="bottom"/>
          </w:tcPr>
          <w:p>
            <w:pPr>
              <w:ind w:left="740"/>
              <w:spacing w:after="0"/>
              <w:rPr>
                <w:sz w:val="20"/>
                <w:szCs w:val="20"/>
                <w:color w:val="auto"/>
              </w:rPr>
            </w:pPr>
            <w:r>
              <w:rPr>
                <w:rFonts w:ascii="Arial" w:cs="Arial" w:eastAsia="Arial" w:hAnsi="Arial"/>
                <w:sz w:val="18"/>
                <w:szCs w:val="18"/>
                <w:b w:val="1"/>
                <w:bCs w:val="1"/>
                <w:color w:val="auto"/>
              </w:rPr>
              <w:t>(b) Identity of Issue</w:t>
            </w:r>
          </w:p>
        </w:tc>
        <w:tc>
          <w:tcPr>
            <w:tcW w:w="5120" w:type="dxa"/>
            <w:vAlign w:val="bottom"/>
          </w:tcPr>
          <w:p>
            <w:pPr>
              <w:ind w:left="1560"/>
              <w:spacing w:after="0"/>
              <w:rPr>
                <w:sz w:val="20"/>
                <w:szCs w:val="20"/>
                <w:color w:val="auto"/>
              </w:rPr>
            </w:pPr>
            <w:r>
              <w:rPr>
                <w:rFonts w:ascii="Arial" w:cs="Arial" w:eastAsia="Arial" w:hAnsi="Arial"/>
                <w:sz w:val="18"/>
                <w:szCs w:val="18"/>
                <w:b w:val="1"/>
                <w:bCs w:val="1"/>
                <w:color w:val="auto"/>
              </w:rPr>
              <w:t>(c) Description of Investment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Units/Shares</w:t>
            </w:r>
          </w:p>
        </w:tc>
        <w:tc>
          <w:tcPr>
            <w:tcW w:w="12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(e) Current Value</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ind w:left="80"/>
              <w:spacing w:after="0"/>
              <w:rPr>
                <w:sz w:val="20"/>
                <w:szCs w:val="20"/>
                <w:color w:val="auto"/>
              </w:rPr>
            </w:pPr>
            <w:r>
              <w:rPr>
                <w:rFonts w:ascii="Arial" w:cs="Arial" w:eastAsia="Arial" w:hAnsi="Arial"/>
                <w:sz w:val="18"/>
                <w:szCs w:val="18"/>
                <w:color w:val="auto"/>
              </w:rPr>
              <w:t>COLLECTIVE TRUSTS:</w:t>
            </w:r>
          </w:p>
        </w:tc>
        <w:tc>
          <w:tcPr>
            <w:tcW w:w="51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BlackRock</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BlackRock Equity Index Non-Lendable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4,378,326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67,962,998</w:t>
            </w:r>
          </w:p>
        </w:tc>
        <w:tc>
          <w:tcPr>
            <w:tcW w:w="0" w:type="dxa"/>
            <w:vAlign w:val="bottom"/>
          </w:tcPr>
          <w:p>
            <w:pPr>
              <w:spacing w:after="0"/>
              <w:rPr>
                <w:sz w:val="1"/>
                <w:szCs w:val="1"/>
                <w:color w:val="auto"/>
              </w:rPr>
            </w:pPr>
          </w:p>
        </w:tc>
      </w:tr>
      <w:tr>
        <w:trPr>
          <w:trHeight w:val="284"/>
        </w:trPr>
        <w:tc>
          <w:tcPr>
            <w:tcW w:w="42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Invesco</w:t>
            </w:r>
          </w:p>
        </w:tc>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Invesco Stable Value Retirement Fund</w:t>
            </w: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116,712,954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118,697,074</w:t>
            </w:r>
          </w:p>
        </w:tc>
        <w:tc>
          <w:tcPr>
            <w:tcW w:w="0" w:type="dxa"/>
            <w:vAlign w:val="bottom"/>
          </w:tcPr>
          <w:p>
            <w:pPr>
              <w:spacing w:after="0"/>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Total collective trusts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186,660,072</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270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5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American Beacon</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American Beacon Small Cap Value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35,492,988</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American Funds</w:t>
            </w:r>
          </w:p>
        </w:tc>
        <w:tc>
          <w:tcPr>
            <w:tcW w:w="5120" w:type="dxa"/>
            <w:vAlign w:val="bottom"/>
          </w:tcPr>
          <w:p>
            <w:pPr>
              <w:ind w:left="380"/>
              <w:spacing w:after="0"/>
              <w:rPr>
                <w:sz w:val="20"/>
                <w:szCs w:val="20"/>
                <w:color w:val="auto"/>
              </w:rPr>
            </w:pPr>
            <w:r>
              <w:rPr>
                <w:rFonts w:ascii="Arial" w:cs="Arial" w:eastAsia="Arial" w:hAnsi="Arial"/>
                <w:sz w:val="18"/>
                <w:szCs w:val="18"/>
                <w:color w:val="auto"/>
              </w:rPr>
              <w:t>American Funds Growth Fund of America</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734,500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31,348,442</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American Funds</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American Washington Mutual Investors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628,996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25,763,674</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Baron Capital Growth</w:t>
            </w:r>
          </w:p>
        </w:tc>
        <w:tc>
          <w:tcPr>
            <w:tcW w:w="5120" w:type="dxa"/>
            <w:vAlign w:val="bottom"/>
          </w:tcPr>
          <w:p>
            <w:pPr>
              <w:ind w:left="380"/>
              <w:spacing w:after="0"/>
              <w:rPr>
                <w:sz w:val="20"/>
                <w:szCs w:val="20"/>
                <w:color w:val="auto"/>
              </w:rPr>
            </w:pPr>
            <w:r>
              <w:rPr>
                <w:rFonts w:ascii="Arial" w:cs="Arial" w:eastAsia="Arial" w:hAnsi="Arial"/>
                <w:sz w:val="18"/>
                <w:szCs w:val="18"/>
                <w:color w:val="auto"/>
              </w:rPr>
              <w:t>Baron Growth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408,279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29,902,369</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BlackRock</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BlackRock Global Allocation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29,103,060</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E.I.I.</w:t>
            </w:r>
          </w:p>
        </w:tc>
        <w:tc>
          <w:tcPr>
            <w:tcW w:w="5120" w:type="dxa"/>
            <w:vAlign w:val="bottom"/>
          </w:tcPr>
          <w:p>
            <w:pPr>
              <w:ind w:left="380"/>
              <w:spacing w:after="0"/>
              <w:rPr>
                <w:sz w:val="20"/>
                <w:szCs w:val="20"/>
                <w:color w:val="auto"/>
              </w:rPr>
            </w:pPr>
            <w:r>
              <w:rPr>
                <w:rFonts w:ascii="Arial" w:cs="Arial" w:eastAsia="Arial" w:hAnsi="Arial"/>
                <w:sz w:val="18"/>
                <w:szCs w:val="18"/>
                <w:color w:val="auto"/>
              </w:rPr>
              <w:t>Ell Global Property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170,362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1,586,074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Goldman Sachs</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Goldman Sachs High Yield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10,458,156</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Harbor</w:t>
            </w:r>
          </w:p>
        </w:tc>
        <w:tc>
          <w:tcPr>
            <w:tcW w:w="5120" w:type="dxa"/>
            <w:vAlign w:val="bottom"/>
          </w:tcPr>
          <w:p>
            <w:pPr>
              <w:ind w:left="380"/>
              <w:spacing w:after="0"/>
              <w:rPr>
                <w:sz w:val="20"/>
                <w:szCs w:val="20"/>
                <w:color w:val="auto"/>
              </w:rPr>
            </w:pPr>
            <w:r>
              <w:rPr>
                <w:rFonts w:ascii="Arial" w:cs="Arial" w:eastAsia="Arial" w:hAnsi="Arial"/>
                <w:sz w:val="18"/>
                <w:szCs w:val="18"/>
                <w:color w:val="auto"/>
              </w:rPr>
              <w:t>Harbor International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828,132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53,646,398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Invesco</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Invesco Equity and Income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3,569,835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36,983,487</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MFS</w:t>
            </w:r>
          </w:p>
        </w:tc>
        <w:tc>
          <w:tcPr>
            <w:tcW w:w="5120" w:type="dxa"/>
            <w:vAlign w:val="bottom"/>
          </w:tcPr>
          <w:p>
            <w:pPr>
              <w:ind w:left="380"/>
              <w:spacing w:after="0"/>
              <w:rPr>
                <w:sz w:val="20"/>
                <w:szCs w:val="20"/>
                <w:color w:val="auto"/>
              </w:rPr>
            </w:pPr>
            <w:r>
              <w:rPr>
                <w:rFonts w:ascii="Arial" w:cs="Arial" w:eastAsia="Arial" w:hAnsi="Arial"/>
                <w:sz w:val="18"/>
                <w:szCs w:val="18"/>
                <w:color w:val="auto"/>
              </w:rPr>
              <w:t>MFS International New Discovery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1,286,973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35,983,778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Oakmark</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Oakmark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1,053,471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69,929,385</w:t>
            </w:r>
          </w:p>
        </w:tc>
        <w:tc>
          <w:tcPr>
            <w:tcW w:w="0" w:type="dxa"/>
            <w:vAlign w:val="bottom"/>
          </w:tcPr>
          <w:p>
            <w:pPr>
              <w:spacing w:after="0"/>
              <w:rPr>
                <w:sz w:val="1"/>
                <w:szCs w:val="1"/>
                <w:color w:val="auto"/>
              </w:rPr>
            </w:pPr>
          </w:p>
        </w:tc>
      </w:tr>
      <w:tr>
        <w:trPr>
          <w:trHeight w:val="243"/>
        </w:trPr>
        <w:tc>
          <w:tcPr>
            <w:tcW w:w="420" w:type="dxa"/>
            <w:vAlign w:val="bottom"/>
          </w:tcPr>
          <w:p>
            <w:pPr>
              <w:spacing w:after="0"/>
              <w:rPr>
                <w:sz w:val="21"/>
                <w:szCs w:val="21"/>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PIMCO</w:t>
            </w:r>
          </w:p>
        </w:tc>
        <w:tc>
          <w:tcPr>
            <w:tcW w:w="5120" w:type="dxa"/>
            <w:vAlign w:val="bottom"/>
          </w:tcPr>
          <w:p>
            <w:pPr>
              <w:ind w:left="380"/>
              <w:spacing w:after="0"/>
              <w:rPr>
                <w:sz w:val="20"/>
                <w:szCs w:val="20"/>
                <w:color w:val="auto"/>
              </w:rPr>
            </w:pPr>
            <w:r>
              <w:rPr>
                <w:rFonts w:ascii="Arial" w:cs="Arial" w:eastAsia="Arial" w:hAnsi="Arial"/>
                <w:sz w:val="18"/>
                <w:szCs w:val="18"/>
                <w:color w:val="auto"/>
              </w:rPr>
              <w:t>PIMCO Total Return Fund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5,723,948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61,017,287</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Vanguard</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Vanguard Mid Cap Index Fund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84,583,504</w:t>
            </w:r>
          </w:p>
        </w:tc>
        <w:tc>
          <w:tcPr>
            <w:tcW w:w="0" w:type="dxa"/>
            <w:vAlign w:val="bottom"/>
          </w:tcPr>
          <w:p>
            <w:pPr>
              <w:spacing w:after="0"/>
              <w:rPr>
                <w:sz w:val="1"/>
                <w:szCs w:val="1"/>
                <w:color w:val="auto"/>
              </w:rPr>
            </w:pPr>
          </w:p>
        </w:tc>
      </w:tr>
      <w:tr>
        <w:trPr>
          <w:trHeight w:val="284"/>
        </w:trPr>
        <w:tc>
          <w:tcPr>
            <w:tcW w:w="42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Vanguard</w:t>
            </w:r>
          </w:p>
        </w:tc>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Vanguard Inflation-Protected Securities Fund</w:t>
            </w:r>
          </w:p>
        </w:tc>
        <w:tc>
          <w:tcPr>
            <w:tcW w:w="14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926,361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9,763,841</w:t>
            </w:r>
          </w:p>
        </w:tc>
        <w:tc>
          <w:tcPr>
            <w:tcW w:w="0" w:type="dxa"/>
            <w:vAlign w:val="bottom"/>
          </w:tcPr>
          <w:p>
            <w:pPr>
              <w:spacing w:after="0"/>
              <w:rPr>
                <w:sz w:val="1"/>
                <w:szCs w:val="1"/>
                <w:color w:val="auto"/>
              </w:rPr>
            </w:pPr>
          </w:p>
        </w:tc>
      </w:tr>
      <w:tr>
        <w:trPr>
          <w:trHeight w:val="277"/>
        </w:trPr>
        <w:tc>
          <w:tcPr>
            <w:tcW w:w="42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shd w:val="clear" w:color="auto" w:fill="CCEEFF"/>
          </w:tcPr>
          <w:p>
            <w:pPr>
              <w:spacing w:after="0"/>
              <w:rPr>
                <w:sz w:val="24"/>
                <w:szCs w:val="24"/>
                <w:color w:val="auto"/>
              </w:rPr>
            </w:pPr>
          </w:p>
        </w:tc>
        <w:tc>
          <w:tcPr>
            <w:tcW w:w="51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Total mutual funds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515,562,443</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p>
        </w:tc>
        <w:tc>
          <w:tcPr>
            <w:tcW w:w="2700" w:type="dxa"/>
            <w:vAlign w:val="bottom"/>
          </w:tcPr>
          <w:p>
            <w:pPr>
              <w:ind w:left="80"/>
              <w:spacing w:after="0"/>
              <w:rPr>
                <w:sz w:val="20"/>
                <w:szCs w:val="20"/>
                <w:color w:val="auto"/>
              </w:rPr>
            </w:pPr>
            <w:r>
              <w:rPr>
                <w:rFonts w:ascii="Arial" w:cs="Arial" w:eastAsia="Arial" w:hAnsi="Arial"/>
                <w:sz w:val="18"/>
                <w:szCs w:val="18"/>
                <w:color w:val="auto"/>
              </w:rPr>
              <w:t>COMMON STOCK:</w:t>
            </w:r>
          </w:p>
        </w:tc>
        <w:tc>
          <w:tcPr>
            <w:tcW w:w="5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Weatherford International plc</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Ordinary shares of Weatherford International plc</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6,670,443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76,376,568</w:t>
            </w:r>
          </w:p>
        </w:tc>
        <w:tc>
          <w:tcPr>
            <w:tcW w:w="0" w:type="dxa"/>
            <w:vAlign w:val="bottom"/>
          </w:tcPr>
          <w:p>
            <w:pPr>
              <w:spacing w:after="0"/>
              <w:rPr>
                <w:sz w:val="1"/>
                <w:szCs w:val="1"/>
                <w:color w:val="auto"/>
              </w:rPr>
            </w:pPr>
          </w:p>
        </w:tc>
      </w:tr>
      <w:tr>
        <w:trPr>
          <w:trHeight w:val="284"/>
        </w:trPr>
        <w:tc>
          <w:tcPr>
            <w:tcW w:w="42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spacing w:after="0"/>
              <w:rPr>
                <w:sz w:val="24"/>
                <w:szCs w:val="24"/>
                <w:color w:val="auto"/>
              </w:rPr>
            </w:pPr>
          </w:p>
        </w:tc>
        <w:tc>
          <w:tcPr>
            <w:tcW w:w="5120" w:type="dxa"/>
            <w:vAlign w:val="bottom"/>
            <w:tcBorders>
              <w:bottom w:val="single" w:sz="8" w:color="CCEEFF"/>
            </w:tcBorders>
          </w:tcPr>
          <w:p>
            <w:pPr>
              <w:ind w:left="1520"/>
              <w:spacing w:after="0"/>
              <w:rPr>
                <w:sz w:val="20"/>
                <w:szCs w:val="20"/>
                <w:color w:val="auto"/>
              </w:rPr>
            </w:pPr>
            <w:r>
              <w:rPr>
                <w:rFonts w:ascii="Arial" w:cs="Arial" w:eastAsia="Arial" w:hAnsi="Arial"/>
                <w:sz w:val="18"/>
                <w:szCs w:val="18"/>
                <w:color w:val="auto"/>
              </w:rPr>
              <w:t>Total common stock</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76,376,568</w:t>
            </w:r>
          </w:p>
        </w:tc>
        <w:tc>
          <w:tcPr>
            <w:tcW w:w="0" w:type="dxa"/>
            <w:vAlign w:val="bottom"/>
          </w:tcPr>
          <w:p>
            <w:pPr>
              <w:spacing w:after="0"/>
              <w:rPr>
                <w:sz w:val="1"/>
                <w:szCs w:val="1"/>
                <w:color w:val="auto"/>
              </w:rPr>
            </w:pPr>
          </w:p>
        </w:tc>
      </w:tr>
      <w:tr>
        <w:trPr>
          <w:trHeight w:val="244"/>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5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700" w:type="dxa"/>
            <w:vAlign w:val="bottom"/>
          </w:tcPr>
          <w:p>
            <w:pPr>
              <w:ind w:left="220"/>
              <w:spacing w:after="0"/>
              <w:rPr>
                <w:sz w:val="20"/>
                <w:szCs w:val="20"/>
                <w:color w:val="auto"/>
              </w:rPr>
            </w:pPr>
            <w:r>
              <w:rPr>
                <w:rFonts w:ascii="Arial" w:cs="Arial" w:eastAsia="Arial" w:hAnsi="Arial"/>
                <w:sz w:val="18"/>
                <w:szCs w:val="18"/>
                <w:color w:val="auto"/>
              </w:rPr>
              <w:t>Bank of America, N.A.</w:t>
            </w:r>
          </w:p>
        </w:tc>
        <w:tc>
          <w:tcPr>
            <w:tcW w:w="5120" w:type="dxa"/>
            <w:vAlign w:val="bottom"/>
          </w:tcPr>
          <w:p>
            <w:pPr>
              <w:ind w:left="380"/>
              <w:spacing w:after="0"/>
              <w:rPr>
                <w:sz w:val="20"/>
                <w:szCs w:val="20"/>
                <w:color w:val="auto"/>
              </w:rPr>
            </w:pPr>
            <w:r>
              <w:rPr>
                <w:rFonts w:ascii="Arial" w:cs="Arial" w:eastAsia="Arial" w:hAnsi="Arial"/>
                <w:sz w:val="18"/>
                <w:szCs w:val="18"/>
                <w:color w:val="auto"/>
              </w:rPr>
              <w:t>Retirement Bank Account (RBA)</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12,185,161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12,185,161</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BlackRock</w:t>
            </w:r>
          </w:p>
        </w:tc>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BIF Money Fund</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723,450</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20" w:type="dxa"/>
            <w:vAlign w:val="bottom"/>
          </w:tcPr>
          <w:p>
            <w:pPr>
              <w:ind w:left="380"/>
              <w:spacing w:after="0"/>
              <w:rPr>
                <w:sz w:val="20"/>
                <w:szCs w:val="20"/>
                <w:color w:val="auto"/>
              </w:rPr>
            </w:pPr>
            <w:r>
              <w:rPr>
                <w:rFonts w:ascii="Arial" w:cs="Arial" w:eastAsia="Arial" w:hAnsi="Arial"/>
                <w:sz w:val="18"/>
                <w:szCs w:val="18"/>
                <w:color w:val="auto"/>
              </w:rPr>
              <w:t>Interest rates ranging from 4.25% to 9.25% with varying</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vMerge w:val="restart"/>
          </w:tcPr>
          <w:p>
            <w:pPr>
              <w:jc w:val="right"/>
              <w:ind w:right="10"/>
              <w:spacing w:after="0"/>
              <w:rPr>
                <w:sz w:val="20"/>
                <w:szCs w:val="20"/>
                <w:color w:val="auto"/>
              </w:rPr>
            </w:pPr>
            <w:r>
              <w:rPr>
                <w:rFonts w:ascii="Arial" w:cs="Arial" w:eastAsia="Arial" w:hAnsi="Arial"/>
                <w:sz w:val="18"/>
                <w:szCs w:val="18"/>
                <w:color w:val="auto"/>
              </w:rPr>
              <w:t>29,451,351</w:t>
            </w:r>
          </w:p>
        </w:tc>
        <w:tc>
          <w:tcPr>
            <w:tcW w:w="0" w:type="dxa"/>
            <w:vAlign w:val="bottom"/>
          </w:tcPr>
          <w:p>
            <w:pPr>
              <w:spacing w:after="0"/>
              <w:rPr>
                <w:sz w:val="1"/>
                <w:szCs w:val="1"/>
                <w:color w:val="auto"/>
              </w:rPr>
            </w:pPr>
          </w:p>
        </w:tc>
      </w:tr>
      <w:tr>
        <w:trPr>
          <w:trHeight w:val="257"/>
        </w:trPr>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Participant loans</w:t>
            </w:r>
          </w:p>
        </w:tc>
        <w:tc>
          <w:tcPr>
            <w:tcW w:w="5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maturity dates</w:t>
            </w: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Total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820,959,045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Party-in-interest.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Column (d) Cost was omitted as all investments are participant-directed.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270"/>
        <w:spacing w:after="0" w:line="287" w:lineRule="auto"/>
        <w:rPr>
          <w:sz w:val="20"/>
          <w:szCs w:val="20"/>
          <w:color w:val="auto"/>
        </w:rPr>
      </w:pPr>
      <w:r>
        <w:rPr>
          <w:rFonts w:ascii="Arial" w:cs="Arial" w:eastAsia="Arial" w:hAnsi="Arial"/>
          <w:sz w:val="19"/>
          <w:szCs w:val="19"/>
          <w:color w:val="auto"/>
        </w:rPr>
        <w:t>THE PLAN. Pursuant to the requirements of the Securities Exchange Act of 1934, the Benefits Administrative Committee, which administers the Plan, has duly caused this annual report to be signed on its behalf by the undersigned hereunto duly authorized.</w:t>
      </w:r>
    </w:p>
    <w:p>
      <w:pPr>
        <w:spacing w:after="0" w:line="200" w:lineRule="exact"/>
        <w:rPr>
          <w:sz w:val="20"/>
          <w:szCs w:val="20"/>
          <w:color w:val="auto"/>
        </w:rPr>
      </w:pPr>
    </w:p>
    <w:p>
      <w:pPr>
        <w:spacing w:after="0" w:line="358"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WEATHERFORD INTERNATIONAL, LLC</w:t>
      </w:r>
    </w:p>
    <w:p>
      <w:pPr>
        <w:spacing w:after="0" w:line="54"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401(k) SAVINGS PLAN</w:t>
      </w:r>
    </w:p>
    <w:p>
      <w:pPr>
        <w:spacing w:after="0" w:line="324" w:lineRule="exact"/>
        <w:rPr>
          <w:sz w:val="20"/>
          <w:szCs w:val="20"/>
          <w:color w:val="auto"/>
        </w:rPr>
      </w:pPr>
    </w:p>
    <w:p>
      <w:pPr>
        <w:ind w:left="1180"/>
        <w:spacing w:after="0"/>
        <w:tabs>
          <w:tab w:leader="none" w:pos="3560" w:val="left"/>
        </w:tabs>
        <w:rPr>
          <w:sz w:val="20"/>
          <w:szCs w:val="20"/>
          <w:color w:val="auto"/>
        </w:rPr>
      </w:pPr>
      <w:r>
        <w:rPr>
          <w:rFonts w:ascii="Arial" w:cs="Arial" w:eastAsia="Arial" w:hAnsi="Arial"/>
          <w:sz w:val="20"/>
          <w:szCs w:val="20"/>
          <w:color w:val="auto"/>
        </w:rPr>
        <w:t>Date: June 23, 2015</w:t>
      </w:r>
      <w:r>
        <w:rPr>
          <w:sz w:val="20"/>
          <w:szCs w:val="20"/>
          <w:color w:val="auto"/>
        </w:rPr>
        <w:tab/>
      </w:r>
      <w:r>
        <w:rPr>
          <w:rFonts w:ascii="Arial" w:cs="Arial" w:eastAsia="Arial" w:hAnsi="Arial"/>
          <w:sz w:val="19"/>
          <w:szCs w:val="19"/>
          <w:color w:val="auto"/>
        </w:rPr>
        <w:t>/s/ Kathy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27305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47" w:lineRule="exact"/>
        <w:rPr>
          <w:sz w:val="20"/>
          <w:szCs w:val="20"/>
          <w:color w:val="auto"/>
        </w:rPr>
      </w:pPr>
    </w:p>
    <w:p>
      <w:pPr>
        <w:ind w:left="3580"/>
        <w:spacing w:after="0"/>
        <w:rPr>
          <w:sz w:val="20"/>
          <w:szCs w:val="20"/>
          <w:color w:val="auto"/>
        </w:rPr>
      </w:pPr>
      <w:r>
        <w:rPr>
          <w:rFonts w:ascii="Arial" w:cs="Arial" w:eastAsia="Arial" w:hAnsi="Arial"/>
          <w:sz w:val="20"/>
          <w:szCs w:val="20"/>
          <w:color w:val="auto"/>
        </w:rPr>
        <w:t>Kathy Bauer</w:t>
      </w:r>
    </w:p>
    <w:p>
      <w:pPr>
        <w:spacing w:after="0" w:line="54" w:lineRule="exact"/>
        <w:rPr>
          <w:sz w:val="20"/>
          <w:szCs w:val="20"/>
          <w:color w:val="auto"/>
        </w:rPr>
      </w:pPr>
    </w:p>
    <w:p>
      <w:pPr>
        <w:ind w:left="3580" w:right="1700"/>
        <w:spacing w:after="0" w:line="316" w:lineRule="auto"/>
        <w:rPr>
          <w:sz w:val="20"/>
          <w:szCs w:val="20"/>
          <w:color w:val="auto"/>
        </w:rPr>
      </w:pPr>
      <w:r>
        <w:rPr>
          <w:rFonts w:ascii="Arial" w:cs="Arial" w:eastAsia="Arial" w:hAnsi="Arial"/>
          <w:sz w:val="18"/>
          <w:szCs w:val="18"/>
          <w:color w:val="auto"/>
        </w:rPr>
        <w:t>Director of Benefits and Chairman of the Benefits Administrative Committee for Weatherford International, LLC and Weatherford International plc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INDEX TO EXHIBITS</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Exhibit</w:t>
      </w:r>
    </w:p>
    <w:p>
      <w:pPr>
        <w:spacing w:after="0" w:line="54"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6"/>
          <w:szCs w:val="16"/>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Description</w:t>
      </w:r>
    </w:p>
    <w:p>
      <w:pPr>
        <w:spacing w:after="0" w:line="376" w:lineRule="exact"/>
        <w:rPr>
          <w:sz w:val="20"/>
          <w:szCs w:val="20"/>
          <w:color w:val="auto"/>
        </w:rPr>
      </w:pPr>
    </w:p>
    <w:p>
      <w:pPr>
        <w:ind w:left="460"/>
        <w:spacing w:after="0"/>
        <w:tabs>
          <w:tab w:leader="none" w:pos="128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125"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ind w:right="260" w:firstLine="648"/>
        <w:spacing w:after="0" w:line="302" w:lineRule="auto"/>
        <w:rPr>
          <w:sz w:val="20"/>
          <w:szCs w:val="20"/>
          <w:color w:val="auto"/>
        </w:rPr>
      </w:pPr>
      <w:r>
        <w:rPr>
          <w:rFonts w:ascii="Arial" w:cs="Arial" w:eastAsia="Arial" w:hAnsi="Arial"/>
          <w:sz w:val="19"/>
          <w:szCs w:val="19"/>
          <w:color w:val="auto"/>
        </w:rPr>
        <w:t>We consent to the incorporation by reference in the Registration Statements (Form S-8 Nos. 333-112378, 333-36598, and 333-53633-100) pertaining to the Weatherford International, LLC 401(k) Savings Plan of our report dated June 23, 2015, with respect to the financial statements and schedules of the Weatherford International, LLC 401(k) Savings Plan included in this Annual Report (Form 11-K) as of December 31, 2014 and 2013 and for the year ended December 31, 2014.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/s/ Melton &amp; Melton, L.L.P.</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June 23, 2015</w:t>
      </w:r>
    </w:p>
    <w:sectPr>
      <w:pgSz w:w="11900" w:h="16838" w:orient="portrait"/>
      <w:cols w:equalWidth="0" w:num="1">
        <w:col w:w="11420"/>
      </w:cols>
      <w:pgMar w:left="240" w:top="6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decimal"/>
      <w:start w:val="5"/>
    </w:lvl>
  </w:abstractNum>
  <w:abstractNum w:abstractNumId="6">
    <w:nsid w:val="216231B"/>
    <w:multiLevelType w:val="hybridMultilevel"/>
    <w:lvl w:ilvl="0">
      <w:lvlJc w:val="left"/>
      <w:lvlText w:val="%1."/>
      <w:numFmt w:val="decimal"/>
      <w:start w:val="6"/>
    </w:lvl>
  </w:abstractNum>
  <w:abstractNum w:abstractNumId="7">
    <w:nsid w:val="1F16E9E8"/>
    <w:multiLevelType w:val="hybridMultilevel"/>
    <w:lvl w:ilvl="0">
      <w:lvlJc w:val="left"/>
      <w:lvlText w:val="%1."/>
      <w:numFmt w:val="decimal"/>
      <w:start w:val="7"/>
    </w:lvl>
  </w:abstractNum>
  <w:abstractNum w:abstractNumId="8">
    <w:nsid w:val="1190CDE7"/>
    <w:multiLevelType w:val="hybridMultilevel"/>
    <w:lvl w:ilvl="0">
      <w:lvlJc w:val="left"/>
      <w:lvlText w:val="%1."/>
      <w:numFmt w:val="decimal"/>
      <w:start w:val="8"/>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0"/>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2019-12-09T03:02:53Z</dcterms:created>
  <dcterms:modified xsi:type="dcterms:W3CDTF">2019-12-09T03:02:53Z</dcterms:modified>
</cp:coreProperties>
</file>