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04</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Clearbridge Investments,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01-0846058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 Limited Liability Corporation</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126,855,004</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131,419,398</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131,419,398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13.24%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Weatherford International plc</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00" w:right="8500"/>
        <w:spacing w:after="0" w:line="255" w:lineRule="auto"/>
        <w:rPr>
          <w:rFonts w:ascii="Arial" w:cs="Arial" w:eastAsia="Arial" w:hAnsi="Arial"/>
          <w:sz w:val="18"/>
          <w:szCs w:val="18"/>
          <w:color w:val="auto"/>
        </w:rPr>
      </w:pPr>
      <w:r>
        <w:rPr>
          <w:rFonts w:ascii="Arial" w:cs="Arial" w:eastAsia="Arial" w:hAnsi="Arial"/>
          <w:sz w:val="18"/>
          <w:szCs w:val="18"/>
          <w:color w:val="auto"/>
        </w:rPr>
        <w:t>WESTSTRASSE 1 Baar V8 6340 Switzerland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7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Clearbridge Investments, LLC</w:t>
      </w:r>
    </w:p>
    <w:p>
      <w:pPr>
        <w:spacing w:after="0" w:line="150"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620 8th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10018</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Delaware Limited Liability Corporation</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G48833100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131,419,398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13.24%</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126,855,004</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131,419,398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ClearBridge Investments, LLC</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Barbara Brooke Manning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Barbara Brooke Manning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General Counsel &amp; Chief Compliance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2019-12-17T06:33:03Z</dcterms:created>
  <dcterms:modified xsi:type="dcterms:W3CDTF">2019-12-17T06:33:03Z</dcterms:modified>
</cp:coreProperties>
</file>