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48260</wp:posOffset>
            </wp:positionH>
            <wp:positionV relativeFrom="paragraph">
              <wp:posOffset>-220345</wp:posOffset>
            </wp:positionV>
            <wp:extent cx="71691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3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27, 2018</w:t>
      </w:r>
    </w:p>
    <w:p>
      <w:pPr>
        <w:spacing w:after="0" w:line="2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u w:val="single" w:color="auto"/>
          <w:color w:val="auto"/>
        </w:rPr>
        <w:t>Weatherford International public limited company</w:t>
      </w:r>
    </w:p>
    <w:p>
      <w:pPr>
        <w:spacing w:after="0" w:line="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363" w:lineRule="exact"/>
        <w:rPr>
          <w:sz w:val="24"/>
          <w:szCs w:val="24"/>
          <w:color w:val="auto"/>
        </w:rPr>
      </w:pPr>
    </w:p>
    <w:tbl>
      <w:tblPr>
        <w:tblLayout w:type="fixed"/>
        <w:tblInd w:w="80" w:type="dxa"/>
        <w:tblCellMar>
          <w:top w:w="0" w:type="dxa"/>
          <w:left w:w="0" w:type="dxa"/>
          <w:bottom w:w="0" w:type="dxa"/>
          <w:right w:w="0" w:type="dxa"/>
        </w:tblCellMar>
      </w:tblPr>
      <w:tr>
        <w:trPr>
          <w:trHeight w:val="238"/>
        </w:trPr>
        <w:tc>
          <w:tcPr>
            <w:tcW w:w="3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Ireland</w:t>
            </w:r>
          </w:p>
        </w:tc>
        <w:tc>
          <w:tcPr>
            <w:tcW w:w="3620" w:type="dxa"/>
            <w:vAlign w:val="bottom"/>
          </w:tcPr>
          <w:p>
            <w:pPr>
              <w:jc w:val="right"/>
              <w:ind w:right="1310"/>
              <w:spacing w:after="0"/>
              <w:rPr>
                <w:sz w:val="20"/>
                <w:szCs w:val="20"/>
                <w:color w:val="auto"/>
              </w:rPr>
            </w:pPr>
            <w:r>
              <w:rPr>
                <w:rFonts w:ascii="Times New Roman" w:cs="Times New Roman" w:eastAsia="Times New Roman" w:hAnsi="Times New Roman"/>
                <w:sz w:val="18"/>
                <w:szCs w:val="18"/>
                <w:b w:val="1"/>
                <w:bCs w:val="1"/>
                <w:color w:val="auto"/>
              </w:rPr>
              <w:t>001-36504</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98-0606750</w:t>
            </w:r>
          </w:p>
        </w:tc>
      </w:tr>
      <w:tr>
        <w:trPr>
          <w:trHeight w:val="54"/>
        </w:trPr>
        <w:tc>
          <w:tcPr>
            <w:tcW w:w="36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6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3600" w:type="dxa"/>
            <w:vAlign w:val="bottom"/>
            <w:tcBorders>
              <w:bottom w:val="single" w:sz="8" w:color="auto"/>
            </w:tcBorders>
          </w:tcPr>
          <w:p>
            <w:pPr>
              <w:spacing w:after="0"/>
              <w:rPr>
                <w:sz w:val="4"/>
                <w:szCs w:val="4"/>
                <w:color w:val="auto"/>
              </w:rPr>
            </w:pPr>
          </w:p>
        </w:tc>
      </w:tr>
      <w:tr>
        <w:trPr>
          <w:trHeight w:val="237"/>
        </w:trPr>
        <w:tc>
          <w:tcPr>
            <w:tcW w:w="3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38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Number)</w:t>
            </w:r>
          </w:p>
        </w:tc>
      </w:tr>
      <w:tr>
        <w:trPr>
          <w:trHeight w:val="405"/>
        </w:trPr>
        <w:tc>
          <w:tcPr>
            <w:tcW w:w="768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Weststrasse 1, 6340 Baar, Switzerland</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CH 6340</w:t>
            </w:r>
          </w:p>
        </w:tc>
      </w:tr>
      <w:tr>
        <w:trPr>
          <w:trHeight w:val="54"/>
        </w:trPr>
        <w:tc>
          <w:tcPr>
            <w:tcW w:w="7460" w:type="dxa"/>
            <w:vAlign w:val="bottom"/>
            <w:tcBorders>
              <w:bottom w:val="single" w:sz="8" w:color="auto"/>
            </w:tcBorders>
            <w:gridSpan w:val="3"/>
          </w:tcPr>
          <w:p>
            <w:pPr>
              <w:spacing w:after="0"/>
              <w:rPr>
                <w:sz w:val="4"/>
                <w:szCs w:val="4"/>
                <w:color w:val="auto"/>
              </w:rPr>
            </w:pPr>
          </w:p>
        </w:tc>
        <w:tc>
          <w:tcPr>
            <w:tcW w:w="220" w:type="dxa"/>
            <w:vAlign w:val="bottom"/>
            <w:gridSpan w:val="2"/>
          </w:tcPr>
          <w:p>
            <w:pPr>
              <w:spacing w:after="0"/>
              <w:rPr>
                <w:sz w:val="4"/>
                <w:szCs w:val="4"/>
                <w:color w:val="auto"/>
              </w:rPr>
            </w:pPr>
          </w:p>
        </w:tc>
        <w:tc>
          <w:tcPr>
            <w:tcW w:w="3600" w:type="dxa"/>
            <w:vAlign w:val="bottom"/>
            <w:tcBorders>
              <w:bottom w:val="single" w:sz="8" w:color="auto"/>
            </w:tcBorders>
          </w:tcPr>
          <w:p>
            <w:pPr>
              <w:spacing w:after="0"/>
              <w:rPr>
                <w:sz w:val="4"/>
                <w:szCs w:val="4"/>
                <w:color w:val="auto"/>
              </w:rPr>
            </w:pPr>
          </w:p>
        </w:tc>
      </w:tr>
      <w:tr>
        <w:trPr>
          <w:trHeight w:val="237"/>
        </w:trPr>
        <w:tc>
          <w:tcPr>
            <w:tcW w:w="768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75"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+41.22.816.1500</w:t>
      </w:r>
    </w:p>
    <w:p>
      <w:pPr>
        <w:spacing w:after="0" w:line="158" w:lineRule="exact"/>
        <w:rPr>
          <w:sz w:val="24"/>
          <w:szCs w:val="24"/>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53975</wp:posOffset>
            </wp:positionV>
            <wp:extent cx="63804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80480" cy="8890"/>
                    </a:xfrm>
                    <a:prstGeom prst="rect">
                      <a:avLst/>
                    </a:prstGeom>
                    <a:noFill/>
                  </pic:spPr>
                </pic:pic>
              </a:graphicData>
            </a:graphic>
          </wp:anchor>
        </w:drawing>
      </w:r>
    </w:p>
    <w:p>
      <w:pPr>
        <w:spacing w:after="0" w:line="88"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52" w:lineRule="exact"/>
        <w:rPr>
          <w:sz w:val="24"/>
          <w:szCs w:val="24"/>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8" w:lineRule="exact"/>
        <w:rPr>
          <w:sz w:val="24"/>
          <w:szCs w:val="24"/>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340"/>
        <w:spacing w:after="0"/>
        <w:tabs>
          <w:tab w:leader="none" w:pos="246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Times New Roman" w:cs="Times New Roman" w:eastAsia="Times New Roman" w:hAnsi="Times New Roman"/>
          <w:sz w:val="16"/>
          <w:szCs w:val="16"/>
          <w:color w:val="auto"/>
        </w:rPr>
        <w:t>o</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400"/>
          </w:cols>
          <w:pgMar w:left="240" w:top="943" w:right="259" w:bottom="1440" w:gutter="0" w:footer="0" w:header="0"/>
        </w:sectPr>
      </w:pPr>
    </w:p>
    <w:bookmarkStart w:id="1" w:name="page2"/>
    <w:bookmarkEnd w:id="1"/>
    <w:p>
      <w:pPr>
        <w:ind w:left="80"/>
        <w:spacing w:after="0"/>
        <w:tabs>
          <w:tab w:leader="none" w:pos="156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200" w:lineRule="exact"/>
        <w:rPr>
          <w:sz w:val="20"/>
          <w:szCs w:val="20"/>
          <w:color w:val="auto"/>
        </w:rPr>
      </w:pPr>
    </w:p>
    <w:p>
      <w:pPr>
        <w:spacing w:after="0" w:line="232" w:lineRule="exact"/>
        <w:rPr>
          <w:sz w:val="20"/>
          <w:szCs w:val="20"/>
          <w:color w:val="auto"/>
        </w:rPr>
      </w:pPr>
    </w:p>
    <w:p>
      <w:pPr>
        <w:jc w:val="both"/>
        <w:spacing w:after="0" w:line="376" w:lineRule="auto"/>
        <w:rPr>
          <w:sz w:val="20"/>
          <w:szCs w:val="20"/>
          <w:color w:val="auto"/>
        </w:rPr>
      </w:pPr>
      <w:r>
        <w:rPr>
          <w:rFonts w:ascii="Times New Roman" w:cs="Times New Roman" w:eastAsia="Times New Roman" w:hAnsi="Times New Roman"/>
          <w:sz w:val="18"/>
          <w:szCs w:val="18"/>
          <w:color w:val="auto"/>
        </w:rPr>
        <w:t xml:space="preserve">On November 27, 2018 at 9:45 a.m., Central Time, Weatherford International plc will present to certain investors at the Jefferies Global Energy Conference held in Houston, Texas. At the start of Weatherford's presentation, the presentation materials will be available on Weatherford's website at </w:t>
      </w:r>
      <w:r>
        <w:rPr>
          <w:rFonts w:ascii="Times New Roman" w:cs="Times New Roman" w:eastAsia="Times New Roman" w:hAnsi="Times New Roman"/>
          <w:sz w:val="18"/>
          <w:szCs w:val="18"/>
          <w:u w:val="single" w:color="auto"/>
          <w:color w:val="auto"/>
        </w:rPr>
        <w:t>https://www.weatherford.com/en/investor-relations/</w:t>
      </w:r>
      <w:r>
        <w:rPr>
          <w:rFonts w:ascii="Times New Roman" w:cs="Times New Roman" w:eastAsia="Times New Roman" w:hAnsi="Times New Roman"/>
          <w:sz w:val="18"/>
          <w:szCs w:val="18"/>
          <w:color w:val="auto"/>
        </w:rPr>
        <w:t xml:space="preserve"> in the Investor Presentations section.</w:t>
      </w:r>
    </w:p>
    <w:p>
      <w:pPr>
        <w:spacing w:after="0" w:line="270" w:lineRule="exact"/>
        <w:rPr>
          <w:sz w:val="20"/>
          <w:szCs w:val="20"/>
          <w:color w:val="auto"/>
        </w:rPr>
      </w:pPr>
    </w:p>
    <w:p>
      <w:pPr>
        <w:jc w:val="both"/>
        <w:spacing w:after="0" w:line="376" w:lineRule="auto"/>
        <w:rPr>
          <w:sz w:val="20"/>
          <w:szCs w:val="20"/>
          <w:color w:val="auto"/>
        </w:rPr>
      </w:pPr>
      <w:r>
        <w:rPr>
          <w:rFonts w:ascii="Times New Roman" w:cs="Times New Roman" w:eastAsia="Times New Roman" w:hAnsi="Times New Roman"/>
          <w:sz w:val="18"/>
          <w:szCs w:val="18"/>
          <w:color w:val="auto"/>
        </w:rPr>
        <w:t>The information provided pursuant to this Item 7.01 is “furnished” and shall not be deemed to be “filed” with the Securities and Exchange Commission or incorporated by reference in any filing under the Securities Exchange Act of 1934, as amended, or the Securities Act of 1933, as amended, except as shall be expressly set forth by specific reference in any such filings.</w:t>
      </w:r>
    </w:p>
    <w:p>
      <w:pPr>
        <w:sectPr>
          <w:pgSz w:w="11900" w:h="16838" w:orient="portrait"/>
          <w:cols w:equalWidth="0" w:num="1">
            <w:col w:w="11420"/>
          </w:cols>
          <w:pgMar w:left="240" w:top="914" w:right="239" w:bottom="1440" w:gutter="0" w:footer="0" w:header="0"/>
        </w:sectPr>
      </w:pPr>
    </w:p>
    <w:bookmarkStart w:id="2" w:name="page3"/>
    <w:bookmarkEnd w:id="2"/>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8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20"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November 27, 2018</w:t>
      </w:r>
    </w:p>
    <w:p>
      <w:pPr>
        <w:spacing w:after="0" w:line="63"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By: /s/ Christina M. Ibrahim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34290</wp:posOffset>
            </wp:positionV>
            <wp:extent cx="44850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485005" cy="8890"/>
                    </a:xfrm>
                    <a:prstGeom prst="rect">
                      <a:avLst/>
                    </a:prstGeom>
                    <a:noFill/>
                  </pic:spPr>
                </pic:pic>
              </a:graphicData>
            </a:graphic>
          </wp:anchor>
        </w:drawing>
      </w:r>
    </w:p>
    <w:p>
      <w:pPr>
        <w:spacing w:after="0" w:line="57"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color w:val="auto"/>
        </w:rPr>
        <w:t>Name: Christina M. Ibrahim</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Title: Executive Vice President, General Counsel, Chief Compliance Officer and Corporate Secretary</w:t>
      </w:r>
    </w:p>
    <w:sectPr>
      <w:pgSz w:w="11900" w:h="16838" w:orient="portrait"/>
      <w:cols w:equalWidth="0" w:num="1">
        <w:col w:w="11240"/>
      </w:cols>
      <w:pgMar w:left="240" w:top="603"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2019-12-08T10:15:03Z</dcterms:created>
  <dcterms:modified xsi:type="dcterms:W3CDTF">2019-12-08T10:15:03Z</dcterms:modified>
</cp:coreProperties>
</file>