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0" w:lineRule="exact"/>
        <w:rPr>
          <w:sz w:val="24"/>
          <w:szCs w:val="24"/>
          <w:color w:val="auto"/>
        </w:rPr>
      </w:pPr>
    </w:p>
    <w:p>
      <w:pPr>
        <w:ind w:left="40"/>
        <w:spacing w:after="0"/>
        <w:tabs>
          <w:tab w:leader="none" w:pos="49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7"/>
          <w:szCs w:val="27"/>
          <w:b w:val="1"/>
          <w:bCs w:val="1"/>
          <w:color w:val="auto"/>
        </w:rPr>
        <w:t>Form 10-Q</w:t>
      </w:r>
    </w:p>
    <w:p>
      <w:pPr>
        <w:spacing w:after="0" w:line="230" w:lineRule="exact"/>
        <w:rPr>
          <w:sz w:val="24"/>
          <w:szCs w:val="24"/>
          <w:color w:val="auto"/>
        </w:rPr>
      </w:pPr>
    </w:p>
    <w:p>
      <w:pPr>
        <w:ind w:left="380" w:right="188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2015</w:t>
      </w:r>
    </w:p>
    <w:p>
      <w:pPr>
        <w:spacing w:after="0" w:line="1"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right="1880" w:hanging="345"/>
        <w:spacing w:after="0" w:line="334" w:lineRule="auto"/>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p>
      <w:pPr>
        <w:jc w:val="center"/>
        <w:ind w:right="-19"/>
        <w:spacing w:after="0"/>
        <w:rPr>
          <w:sz w:val="20"/>
          <w:szCs w:val="20"/>
          <w:color w:val="auto"/>
        </w:rPr>
      </w:pPr>
      <w:r>
        <w:rPr>
          <w:rFonts w:ascii="Arial" w:cs="Arial" w:eastAsia="Arial" w:hAnsi="Arial"/>
          <w:sz w:val="18"/>
          <w:szCs w:val="18"/>
          <w:color w:val="auto"/>
        </w:rPr>
        <w:t>Commission file number 001-36504</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Ireland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89"/>
              </w:rPr>
              <w:t>98-0606750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2"/>
              </w:rPr>
              <w:t>CH 6340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(Address of Principal Executive Offices including Zip Code)</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33"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34290</wp:posOffset>
            </wp:positionV>
            <wp:extent cx="6500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0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40"/>
        <w:spacing w:after="0" w:line="207" w:lineRule="exact"/>
        <w:tabs>
          <w:tab w:leader="none" w:pos="3340" w:val="left"/>
          <w:tab w:leader="none" w:pos="5940" w:val="left"/>
          <w:tab w:leader="none" w:pos="8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As of April 13, 2015, there were 774,681,386 shares of Weatherford registered shares, $0.001 par value per share, outstanding.</w:t>
      </w:r>
    </w:p>
    <w:p>
      <w:pPr>
        <w:sectPr>
          <w:pgSz w:w="11900" w:h="16838" w:orient="portrait"/>
          <w:cols w:equalWidth="0" w:num="1">
            <w:col w:w="11420"/>
          </w:cols>
          <w:pgMar w:left="240" w:top="1075"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for the Three Months Ended March 31, 2015</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39</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41</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32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17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20" w:type="dxa"/>
            <w:vAlign w:val="bottom"/>
          </w:tcPr>
          <w:p>
            <w:pPr>
              <w:spacing w:after="0"/>
              <w:rPr>
                <w:sz w:val="19"/>
                <w:szCs w:val="19"/>
                <w:color w:val="auto"/>
              </w:rPr>
            </w:pPr>
          </w:p>
        </w:tc>
        <w:tc>
          <w:tcPr>
            <w:tcW w:w="2400" w:type="dxa"/>
            <w:vAlign w:val="bottom"/>
            <w:gridSpan w:val="5"/>
          </w:tcPr>
          <w:p>
            <w:pPr>
              <w:ind w:left="40"/>
              <w:spacing w:after="0"/>
              <w:rPr>
                <w:sz w:val="20"/>
                <w:szCs w:val="20"/>
                <w:color w:val="auto"/>
              </w:rPr>
            </w:pPr>
            <w:r>
              <w:rPr>
                <w:rFonts w:ascii="Arial" w:cs="Arial" w:eastAsia="Arial" w:hAnsi="Arial"/>
                <w:sz w:val="17"/>
                <w:szCs w:val="17"/>
                <w:b w:val="1"/>
                <w:bCs w:val="1"/>
                <w:color w:val="auto"/>
                <w:w w:val="93"/>
              </w:rPr>
              <w:t>Three Months Ended March 31,</w:t>
            </w:r>
          </w:p>
        </w:tc>
      </w:tr>
      <w:tr>
        <w:trPr>
          <w:trHeight w:val="31"/>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3"/>
        </w:trPr>
        <w:tc>
          <w:tcPr>
            <w:tcW w:w="9020" w:type="dxa"/>
            <w:vAlign w:val="bottom"/>
          </w:tcPr>
          <w:p>
            <w:pPr>
              <w:ind w:left="40"/>
              <w:spacing w:after="0"/>
              <w:rPr>
                <w:sz w:val="20"/>
                <w:szCs w:val="20"/>
                <w:color w:val="auto"/>
              </w:rPr>
            </w:pPr>
            <w:r>
              <w:rPr>
                <w:rFonts w:ascii="Arial" w:cs="Arial" w:eastAsia="Arial" w:hAnsi="Arial"/>
                <w:sz w:val="17"/>
                <w:szCs w:val="17"/>
                <w:i w:val="1"/>
                <w:iCs w:val="1"/>
                <w:color w:val="auto"/>
              </w:rPr>
              <w:t>(Dollars and shares in millions, except per share amounts)</w:t>
            </w:r>
          </w:p>
        </w:tc>
        <w:tc>
          <w:tcPr>
            <w:tcW w:w="260" w:type="dxa"/>
            <w:vAlign w:val="bottom"/>
          </w:tcPr>
          <w:p>
            <w:pPr>
              <w:spacing w:after="0"/>
              <w:rPr>
                <w:sz w:val="20"/>
                <w:szCs w:val="20"/>
                <w:color w:val="auto"/>
              </w:rPr>
            </w:pPr>
          </w:p>
        </w:tc>
        <w:tc>
          <w:tcPr>
            <w:tcW w:w="900" w:type="dxa"/>
            <w:vAlign w:val="bottom"/>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2014</w:t>
            </w:r>
          </w:p>
        </w:tc>
      </w:tr>
      <w:tr>
        <w:trPr>
          <w:trHeight w:val="31"/>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Products</w:t>
            </w:r>
          </w:p>
        </w:tc>
        <w:tc>
          <w:tcPr>
            <w:tcW w:w="260" w:type="dxa"/>
            <w:vAlign w:val="bottom"/>
          </w:tcPr>
          <w:p>
            <w:pPr>
              <w:ind w:left="4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1,040</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1,446</w:t>
            </w: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Services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2,150</w:t>
            </w:r>
          </w:p>
        </w:tc>
      </w:tr>
      <w:tr>
        <w:trPr>
          <w:trHeight w:val="219"/>
        </w:trPr>
        <w:tc>
          <w:tcPr>
            <w:tcW w:w="9020" w:type="dxa"/>
            <w:vAlign w:val="bottom"/>
          </w:tcPr>
          <w:p>
            <w:pPr>
              <w:ind w:left="40"/>
              <w:spacing w:after="0"/>
              <w:rPr>
                <w:sz w:val="20"/>
                <w:szCs w:val="20"/>
                <w:color w:val="auto"/>
              </w:rPr>
            </w:pPr>
            <w:r>
              <w:rPr>
                <w:rFonts w:ascii="Arial" w:cs="Arial" w:eastAsia="Arial" w:hAnsi="Arial"/>
                <w:sz w:val="17"/>
                <w:szCs w:val="17"/>
                <w:color w:val="auto"/>
              </w:rPr>
              <w:t>Total Revenues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2,794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3,596</w:t>
            </w: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b w:val="1"/>
                <w:bCs w:val="1"/>
                <w:color w:val="auto"/>
              </w:rPr>
              <w:t>Costs and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Products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1,064</w:t>
            </w: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Cost of Services</w:t>
            </w:r>
          </w:p>
        </w:tc>
        <w:tc>
          <w:tcPr>
            <w:tcW w:w="2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1,299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1,775</w:t>
            </w: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w:t>
            </w: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Selling, General and Administrative Attributable to Segments</w:t>
            </w:r>
          </w:p>
        </w:tc>
        <w:tc>
          <w:tcPr>
            <w:tcW w:w="2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414</w:t>
            </w: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74</w:t>
            </w: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2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70</w:t>
            </w: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 on Sale of Business,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9020" w:type="dxa"/>
            <w:vAlign w:val="bottom"/>
          </w:tcPr>
          <w:p>
            <w:pPr>
              <w:ind w:left="40"/>
              <w:spacing w:after="0"/>
              <w:rPr>
                <w:sz w:val="20"/>
                <w:szCs w:val="20"/>
                <w:color w:val="auto"/>
              </w:rPr>
            </w:pPr>
            <w:r>
              <w:rPr>
                <w:rFonts w:ascii="Arial" w:cs="Arial" w:eastAsia="Arial" w:hAnsi="Arial"/>
                <w:sz w:val="17"/>
                <w:szCs w:val="17"/>
                <w:color w:val="auto"/>
              </w:rPr>
              <w:t>Total Costs and Expenses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2,744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3,466</w:t>
            </w:r>
          </w:p>
        </w:tc>
      </w:tr>
      <w:tr>
        <w:trPr>
          <w:trHeight w:val="31"/>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Operating Income</w:t>
            </w:r>
          </w:p>
        </w:tc>
        <w:tc>
          <w:tcPr>
            <w:tcW w:w="2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130</w:t>
            </w: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Devaluation of Venezuelan Bolivar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318"/>
        </w:trPr>
        <w:tc>
          <w:tcPr>
            <w:tcW w:w="90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Provision for Income Taxes</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1"/>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31"/>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 Attributable to Weatherford</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9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Per Share Attributable to Weatherford: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Basic and Diluted</w:t>
            </w:r>
          </w:p>
        </w:tc>
        <w:tc>
          <w:tcPr>
            <w:tcW w:w="260" w:type="dxa"/>
            <w:vAlign w:val="bottom"/>
          </w:tcPr>
          <w:p>
            <w:pPr>
              <w:ind w:left="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(0.05)</w:t>
            </w: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Weighted Average Shares Outstanding:</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9"/>
        </w:trPr>
        <w:tc>
          <w:tcPr>
            <w:tcW w:w="9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Basic and Diluted</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776</w:t>
            </w:r>
          </w:p>
        </w:tc>
      </w:tr>
      <w:tr>
        <w:trPr>
          <w:trHeight w:val="31"/>
        </w:trPr>
        <w:tc>
          <w:tcPr>
            <w:tcW w:w="9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49"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INCOME (LOSS)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400" w:type="dxa"/>
            <w:vAlign w:val="bottom"/>
            <w:gridSpan w:val="5"/>
          </w:tcPr>
          <w:p>
            <w:pPr>
              <w:jc w:val="right"/>
              <w:spacing w:after="0"/>
              <w:rPr>
                <w:sz w:val="20"/>
                <w:szCs w:val="20"/>
                <w:color w:val="auto"/>
              </w:rPr>
            </w:pPr>
            <w:r>
              <w:rPr>
                <w:rFonts w:ascii="Arial" w:cs="Arial" w:eastAsia="Arial" w:hAnsi="Arial"/>
                <w:sz w:val="18"/>
                <w:szCs w:val="18"/>
                <w:b w:val="1"/>
                <w:bCs w:val="1"/>
                <w:color w:val="auto"/>
                <w:w w:val="97"/>
              </w:rPr>
              <w:t>Three Months Ended March</w:t>
            </w:r>
          </w:p>
        </w:tc>
      </w:tr>
      <w:tr>
        <w:trPr>
          <w:trHeight w:val="234"/>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31,</w:t>
            </w:r>
          </w:p>
        </w:tc>
        <w:tc>
          <w:tcPr>
            <w:tcW w:w="880" w:type="dxa"/>
            <w:vAlign w:val="bottom"/>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9"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March 31,</w:t>
            </w:r>
          </w:p>
        </w:tc>
        <w:tc>
          <w:tcPr>
            <w:tcW w:w="18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i w:val="1"/>
                <w:iCs w:val="1"/>
                <w:color w:val="auto"/>
              </w:rPr>
              <w:t>(Dollars and shares in millions, except par value)</w:t>
            </w:r>
          </w:p>
        </w:tc>
        <w:tc>
          <w:tcPr>
            <w:tcW w:w="200" w:type="dxa"/>
            <w:vAlign w:val="bottom"/>
          </w:tcPr>
          <w:p>
            <w:pPr>
              <w:spacing w:after="0"/>
              <w:rPr>
                <w:sz w:val="23"/>
                <w:szCs w:val="23"/>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8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Accounts Receivable, Net of Allowance for Uncollectible Accounts of $111 and $108</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3,015</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3,087</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1,065</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7,592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7,944</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8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Property, Plant and Equipment, Net of Accumulated Depreciation of $6,976 and $6,895</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6,932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7,123</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3,011</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Intangible Assets, Net of Accumulated Amortization of $746 and $744</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440</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265</w:t>
            </w:r>
          </w:p>
        </w:tc>
      </w:tr>
      <w:tr>
        <w:trPr>
          <w:trHeight w:val="33"/>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18,889</w:t>
            </w:r>
          </w:p>
        </w:tc>
      </w:tr>
      <w:tr>
        <w:trPr>
          <w:trHeight w:val="20"/>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8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Short-term Borrowings and Current Portion of Long-term Debt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727</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1,736</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Accrued Salaries and Benefits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425</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909</w:t>
            </w:r>
          </w:p>
        </w:tc>
      </w:tr>
      <w:tr>
        <w:trPr>
          <w:trHeight w:val="33"/>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4,027</w:t>
            </w:r>
          </w:p>
        </w:tc>
      </w:tr>
      <w:tr>
        <w:trPr>
          <w:trHeight w:val="297"/>
        </w:trPr>
        <w:tc>
          <w:tcPr>
            <w:tcW w:w="8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6,798</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1,031</w:t>
            </w:r>
          </w:p>
        </w:tc>
      </w:tr>
      <w:tr>
        <w:trPr>
          <w:trHeight w:val="33"/>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11,856</w:t>
            </w:r>
          </w:p>
        </w:tc>
      </w:tr>
      <w:tr>
        <w:trPr>
          <w:trHeight w:val="291"/>
        </w:trPr>
        <w:tc>
          <w:tcPr>
            <w:tcW w:w="8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0"/>
        </w:trPr>
        <w:tc>
          <w:tcPr>
            <w:tcW w:w="8460" w:type="dxa"/>
            <w:vAlign w:val="bottom"/>
          </w:tcPr>
          <w:p>
            <w:pPr>
              <w:ind w:left="40"/>
              <w:spacing w:after="0"/>
              <w:rPr>
                <w:sz w:val="20"/>
                <w:szCs w:val="20"/>
                <w:color w:val="auto"/>
              </w:rPr>
            </w:pPr>
            <w:r>
              <w:rPr>
                <w:rFonts w:ascii="Arial" w:cs="Arial" w:eastAsia="Arial" w:hAnsi="Arial"/>
                <w:sz w:val="16"/>
                <w:szCs w:val="16"/>
                <w:color w:val="auto"/>
                <w:w w:val="93"/>
              </w:rPr>
              <w:t>Shares - Par Value $0.001; Authorized 1,356 shares, Issued and Outstanding 774 shares at March 31, 2015 and December 31,</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8460" w:type="dxa"/>
            <w:vAlign w:val="bottom"/>
          </w:tcPr>
          <w:p>
            <w:pPr>
              <w:ind w:left="40"/>
              <w:spacing w:after="0"/>
              <w:rPr>
                <w:sz w:val="20"/>
                <w:szCs w:val="20"/>
                <w:color w:val="auto"/>
              </w:rPr>
            </w:pPr>
            <w:r>
              <w:rPr>
                <w:rFonts w:ascii="Arial" w:cs="Arial" w:eastAsia="Arial" w:hAnsi="Arial"/>
                <w:sz w:val="16"/>
                <w:szCs w:val="16"/>
                <w:color w:val="auto"/>
              </w:rPr>
              <w:t>2014</w:t>
            </w:r>
          </w:p>
        </w:tc>
        <w:tc>
          <w:tcPr>
            <w:tcW w:w="20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in Excess of Par Value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5,411</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2,427</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Weatherford Shareholders’ Equity</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6,529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6,958</w:t>
            </w: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6,598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7,033</w:t>
            </w:r>
          </w:p>
        </w:tc>
      </w:tr>
      <w:tr>
        <w:trPr>
          <w:trHeight w:val="33"/>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18,889</w:t>
            </w:r>
          </w:p>
        </w:tc>
      </w:tr>
      <w:tr>
        <w:trPr>
          <w:trHeight w:val="20"/>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49"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8860" w:type="dxa"/>
            <w:vAlign w:val="bottom"/>
          </w:tcPr>
          <w:p>
            <w:pPr>
              <w:spacing w:after="0"/>
              <w:rPr>
                <w:sz w:val="18"/>
                <w:szCs w:val="18"/>
                <w:color w:val="auto"/>
              </w:rPr>
            </w:pPr>
          </w:p>
        </w:tc>
        <w:tc>
          <w:tcPr>
            <w:tcW w:w="234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33"/>
        </w:trPr>
        <w:tc>
          <w:tcPr>
            <w:tcW w:w="8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886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r>
      <w:tr>
        <w:trPr>
          <w:trHeight w:val="33"/>
        </w:trPr>
        <w:tc>
          <w:tcPr>
            <w:tcW w:w="8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8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351</w:t>
            </w:r>
          </w:p>
        </w:tc>
      </w:tr>
      <w:tr>
        <w:trPr>
          <w:trHeight w:val="33"/>
        </w:trPr>
        <w:tc>
          <w:tcPr>
            <w:tcW w:w="8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Deferred Income Tax Provision (Benefit)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8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Devaluation of Venezuelan Bolivar</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8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Change in Operating Assets and Liabilities, Net of Effect of Businesses Acquired:</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33"/>
        </w:trPr>
        <w:tc>
          <w:tcPr>
            <w:tcW w:w="8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8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Billings in Excess of Costs and Estimated Earnings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8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8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210"/>
        </w:trPr>
        <w:tc>
          <w:tcPr>
            <w:tcW w:w="88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Capital Expenditures for Property, Plant and Equipment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33"/>
        </w:trPr>
        <w:tc>
          <w:tcPr>
            <w:tcW w:w="8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of Intellectual Property</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Proceeds from Sale of Assets and Businesses, Net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8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10"/>
        </w:trPr>
        <w:tc>
          <w:tcPr>
            <w:tcW w:w="88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Repayments of Long-term Debt, Net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8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Borrowings of Short-term Debt, Net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w:t>
            </w: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Other Financing Activities, Net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w:t>
            </w:r>
          </w:p>
        </w:tc>
      </w:tr>
      <w:tr>
        <w:trPr>
          <w:trHeight w:val="217"/>
        </w:trPr>
        <w:tc>
          <w:tcPr>
            <w:tcW w:w="88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8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8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33"/>
        </w:trPr>
        <w:tc>
          <w:tcPr>
            <w:tcW w:w="8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r>
      <w:tr>
        <w:trPr>
          <w:trHeight w:val="284"/>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367</w:t>
            </w:r>
          </w:p>
        </w:tc>
      </w:tr>
      <w:tr>
        <w:trPr>
          <w:trHeight w:val="203"/>
        </w:trPr>
        <w:tc>
          <w:tcPr>
            <w:tcW w:w="8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8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Income Taxes Paid, Net of Refunds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103</w:t>
            </w:r>
          </w:p>
        </w:tc>
      </w:tr>
    </w:tbl>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449"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Weatherford International plc (the “Company”) are prepared in accordance with U.S. generally accepted accounting principles (“U.S. GAAP”) and include all adjustments of a normal recurring nature which, in our opinion, are necessary to present fairly our Condensed Consolidated Balance Sheet at March 31, 2015 and December 31, 2014, Condensed Consolidated Statements of Operations, Condensed Consolidated Statements of Comprehensive Income (Loss) and Condensed Consolidated Statements of Cash Flows for the three months ended March 31, 2015 and 2014. When referring to “Weatherford” and using phrases such as “we,” “us,” and “our,” the intent is to refer to Weatherford International plc, a public limited company organized under the law of Ireland, and its subsidiaries as a whole or on a regional basis, depending on the context in which the statements are made.</w:t>
      </w:r>
    </w:p>
    <w:p>
      <w:pPr>
        <w:spacing w:after="0" w:line="203" w:lineRule="exact"/>
        <w:rPr>
          <w:sz w:val="20"/>
          <w:szCs w:val="20"/>
          <w:color w:val="auto"/>
        </w:rPr>
      </w:pPr>
    </w:p>
    <w:p>
      <w:pPr>
        <w:jc w:val="both"/>
        <w:ind w:firstLine="338"/>
        <w:spacing w:after="0" w:line="276" w:lineRule="auto"/>
        <w:rPr>
          <w:sz w:val="20"/>
          <w:szCs w:val="20"/>
          <w:color w:val="auto"/>
        </w:rPr>
      </w:pPr>
      <w:r>
        <w:rPr>
          <w:rFonts w:ascii="Arial" w:cs="Arial" w:eastAsia="Arial" w:hAnsi="Arial"/>
          <w:sz w:val="17"/>
          <w:szCs w:val="17"/>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2014 included in our Annual Report on Form 10-K. The results of operations for the three months ended March 31, 2015 are not necessarily indicative of the results expected for the year ending December 31, 2015.</w:t>
      </w:r>
    </w:p>
    <w:p>
      <w:pPr>
        <w:spacing w:after="0" w:line="186"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market of inventories, equity investments, intangible assets and goodwill, property, plant and equipment, income taxes, percentage-of-completion accounting for long-term contracts, self-insurance, foreign currency exchange rates, pension and post-retirement benefit plans,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first quarter of 2015, we changed our business structure to better align with management’s current view and future growth objectives. This involved separating our Land Drilling Rigs business into a reportable segment resulting in a total of five reportable segments. We have recast prior periods to conform to the current business segment presentation. See “Note 14 – Segment Information” for additional information.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consolidate all wholly-owned subsidiaries, controlled joint ventures and variable interest entities where the Company has determined it is the primary beneficiary. Investments in affiliates in which we exercise significant influence over operating and financial policies are accounted for using the equity method. All material intercompany accounts and transactions have been eliminated in consolidation.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Devaluation of Venezuelan Bolivar and Inflationary Impacts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new Venezuelan currency exchange system, known as the “Marginal Currency System” (or “SIMADI”), opened for trading February 12, 2015, replacing the Venezuela’s Supplementary Foreign Currency Administration System auction rate (“SICAD”) mechanism. The SIMADI is intended to provide limited access to a free market rate of exchange. In the first quarter of 2015, we recognized remeasurement charges of $26 million and will continue to monitor the impact on our financial statements of the evolving Venezuela exchange rate. At March 31, 2015 our net monetary asset position denominated in Venezuelan bolivar was approximately $11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right="9060" w:hanging="332"/>
        <w:spacing w:after="0" w:line="604" w:lineRule="auto"/>
        <w:tabs>
          <w:tab w:leader="none" w:pos="241"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Business Combinations </w:t>
      </w:r>
      <w:r>
        <w:rPr>
          <w:rFonts w:ascii="Arial" w:cs="Arial" w:eastAsia="Arial" w:hAnsi="Arial"/>
          <w:sz w:val="15"/>
          <w:szCs w:val="15"/>
          <w:b w:val="1"/>
          <w:bCs w:val="1"/>
          <w:i w:val="1"/>
          <w:iCs w:val="1"/>
          <w:color w:val="auto"/>
        </w:rPr>
        <w:t>Acquisitions &amp; Divestitures</w:t>
      </w:r>
    </w:p>
    <w:p>
      <w:pPr>
        <w:jc w:val="both"/>
        <w:ind w:firstLine="324"/>
        <w:spacing w:after="0" w:line="342" w:lineRule="auto"/>
        <w:rPr>
          <w:sz w:val="20"/>
          <w:szCs w:val="20"/>
          <w:color w:val="auto"/>
        </w:rPr>
      </w:pPr>
      <w:r>
        <w:rPr>
          <w:rFonts w:ascii="Arial" w:cs="Arial" w:eastAsia="Arial" w:hAnsi="Arial"/>
          <w:sz w:val="16"/>
          <w:szCs w:val="16"/>
          <w:color w:val="auto"/>
        </w:rPr>
        <w:t>From time to time, we acquire assets and businesses we believe are important to our long-term strategy or dispose of assets and businesses that are no longer a strategic fit within our business. We did not complete any acquisitions or divestitures during the quarters ended March 31, 2015 and March 31, 2014.</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May 2012, we acquired a company that designs and produces well completion tools. Our purchase consideration included a contingent consideration arrangement valued at approximately $3 million at December 31, 2014. At March 31, 2015, the contingent consideration arrangement was valued at approximately $12 million. The arrangement will be settled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Charges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fourth quarter of 2014, in response to the significant decline in the price of crude oil and our anticipation of a lower level of exploration and production spending in 2015, we initiated a plan to reduce our overall costs and workforce to better align with anticipated activity levels. This cost reduction plan (the “2015 Plan”) includes a workforce reduction and other cost reduction measures initiated across our geographic regions. In connection with the 2015 Plan, we recognized restructuring charges of $41 million in the three months ended March 31, 2015. Our restructuring charges include termination (severance) benefits of $40 million and other restructuring charges of $1 million. Other restructuring charges include contract termination costs, relocation and other associated costs.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2014, we announced a cost reduction plan (the “2014 Plan”), which included a worldwide workforce reduction and other cost reduction measures. The 2014 Plan resulted in restructuring charges of $70 million primarily related to termination (severance) benefits in the three months ended March 31, 2014. As of December 31, 2014, we completed our planned headcount reductions and closures of underperforming operating locations in connection with the 2014 Plan.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present the components of the 2015 Plan and the 2014 Plan restructuring charges by segment for the three months ended March 31, 2015 and 2014.</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8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92"/>
              </w:rPr>
              <w:t>Three Months Ended March 31, 2015</w:t>
            </w:r>
          </w:p>
        </w:tc>
      </w:tr>
      <w:tr>
        <w:trPr>
          <w:trHeight w:val="27"/>
        </w:trPr>
        <w:tc>
          <w:tcPr>
            <w:tcW w:w="5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Pr>
          <w:p>
            <w:pPr>
              <w:spacing w:after="0"/>
              <w:rPr>
                <w:sz w:val="23"/>
                <w:szCs w:val="23"/>
                <w:color w:val="auto"/>
              </w:rPr>
            </w:pP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2015 Plan</w:t>
            </w:r>
          </w:p>
        </w:tc>
        <w:tc>
          <w:tcPr>
            <w:tcW w:w="360" w:type="dxa"/>
            <w:vAlign w:val="bottom"/>
          </w:tcPr>
          <w:p>
            <w:pPr>
              <w:spacing w:after="0"/>
              <w:rPr>
                <w:sz w:val="23"/>
                <w:szCs w:val="23"/>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5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r>
      <w:tr>
        <w:trPr>
          <w:trHeight w:val="20"/>
        </w:trPr>
        <w:tc>
          <w:tcPr>
            <w:tcW w:w="5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42"/>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0" w:type="dxa"/>
            <w:vAlign w:val="bottom"/>
            <w:gridSpan w:val="5"/>
          </w:tcPr>
          <w:p>
            <w:pPr>
              <w:jc w:val="right"/>
              <w:ind w:right="890"/>
              <w:spacing w:after="0"/>
              <w:rPr>
                <w:sz w:val="20"/>
                <w:szCs w:val="20"/>
                <w:color w:val="auto"/>
              </w:rPr>
            </w:pPr>
            <w:r>
              <w:rPr>
                <w:rFonts w:ascii="Arial" w:cs="Arial" w:eastAsia="Arial" w:hAnsi="Arial"/>
                <w:sz w:val="18"/>
                <w:szCs w:val="18"/>
                <w:b w:val="1"/>
                <w:bCs w:val="1"/>
                <w:color w:val="auto"/>
              </w:rPr>
              <w:t>Three Months Ended March 31, 2014</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20"/>
                <w:szCs w:val="20"/>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Total</w:t>
            </w:r>
          </w:p>
        </w:tc>
      </w:tr>
      <w:tr>
        <w:trPr>
          <w:trHeight w:val="270"/>
        </w:trPr>
        <w:tc>
          <w:tcPr>
            <w:tcW w:w="220" w:type="dxa"/>
            <w:vAlign w:val="bottom"/>
          </w:tcPr>
          <w:p>
            <w:pPr>
              <w:spacing w:after="0"/>
              <w:rPr>
                <w:sz w:val="23"/>
                <w:szCs w:val="23"/>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3"/>
                <w:szCs w:val="23"/>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Severance</w:t>
            </w:r>
          </w:p>
        </w:tc>
        <w:tc>
          <w:tcPr>
            <w:tcW w:w="220" w:type="dxa"/>
            <w:vAlign w:val="bottom"/>
          </w:tcPr>
          <w:p>
            <w:pPr>
              <w:spacing w:after="0"/>
              <w:rPr>
                <w:sz w:val="23"/>
                <w:szCs w:val="23"/>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Restructuring</w:t>
            </w:r>
          </w:p>
        </w:tc>
        <w:tc>
          <w:tcPr>
            <w:tcW w:w="260" w:type="dxa"/>
            <w:vAlign w:val="bottom"/>
          </w:tcPr>
          <w:p>
            <w:pPr>
              <w:spacing w:after="0"/>
              <w:rPr>
                <w:sz w:val="23"/>
                <w:szCs w:val="23"/>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b w:val="1"/>
                <w:bCs w:val="1"/>
                <w:color w:val="auto"/>
              </w:rPr>
              <w:t>2014 Plan</w:t>
            </w:r>
          </w:p>
        </w:tc>
        <w:tc>
          <w:tcPr>
            <w:tcW w:w="260" w:type="dxa"/>
            <w:vAlign w:val="bottom"/>
          </w:tcPr>
          <w:p>
            <w:pPr>
              <w:spacing w:after="0"/>
              <w:rPr>
                <w:sz w:val="23"/>
                <w:szCs w:val="23"/>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Charges</w:t>
            </w:r>
          </w:p>
        </w:tc>
        <w:tc>
          <w:tcPr>
            <w:tcW w:w="220" w:type="dxa"/>
            <w:vAlign w:val="bottom"/>
          </w:tcPr>
          <w:p>
            <w:pPr>
              <w:spacing w:after="0"/>
              <w:rPr>
                <w:sz w:val="23"/>
                <w:szCs w:val="23"/>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260" w:type="dxa"/>
            <w:vAlign w:val="bottom"/>
          </w:tcPr>
          <w:p>
            <w:pPr>
              <w:spacing w:after="0"/>
              <w:rPr>
                <w:sz w:val="23"/>
                <w:szCs w:val="23"/>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Other Charges</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220" w:type="dxa"/>
            <w:vAlign w:val="bottom"/>
          </w:tcPr>
          <w:p>
            <w:pPr>
              <w:spacing w:after="0"/>
              <w:rPr>
                <w:sz w:val="21"/>
                <w:szCs w:val="21"/>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43"/>
        </w:trPr>
        <w:tc>
          <w:tcPr>
            <w:tcW w:w="220" w:type="dxa"/>
            <w:vAlign w:val="bottom"/>
          </w:tcPr>
          <w:p>
            <w:pPr>
              <w:spacing w:after="0"/>
              <w:rPr>
                <w:sz w:val="21"/>
                <w:szCs w:val="21"/>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43"/>
        </w:trPr>
        <w:tc>
          <w:tcPr>
            <w:tcW w:w="220" w:type="dxa"/>
            <w:vAlign w:val="bottom"/>
          </w:tcPr>
          <w:p>
            <w:pPr>
              <w:spacing w:after="0"/>
              <w:rPr>
                <w:sz w:val="21"/>
                <w:szCs w:val="21"/>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57"/>
        </w:trPr>
        <w:tc>
          <w:tcPr>
            <w:tcW w:w="220" w:type="dxa"/>
            <w:vAlign w:val="bottom"/>
          </w:tcPr>
          <w:p>
            <w:pPr>
              <w:spacing w:after="0"/>
              <w:rPr>
                <w:sz w:val="22"/>
                <w:szCs w:val="22"/>
                <w:color w:val="auto"/>
              </w:rPr>
            </w:pPr>
          </w:p>
        </w:tc>
        <w:tc>
          <w:tcPr>
            <w:tcW w:w="614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severance and other restructuring charges gave rise to certain liabilities, the components of which are summarized below, and largely relate to the severance accrued as part of both plans that will be paid pursuant to the respective arrangements and statutory requirements.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40" w:type="dxa"/>
            <w:vAlign w:val="bottom"/>
            <w:gridSpan w:val="9"/>
          </w:tcPr>
          <w:p>
            <w:pPr>
              <w:jc w:val="right"/>
              <w:ind w:right="370"/>
              <w:spacing w:after="0"/>
              <w:rPr>
                <w:sz w:val="20"/>
                <w:szCs w:val="20"/>
                <w:color w:val="auto"/>
              </w:rPr>
            </w:pPr>
            <w:r>
              <w:rPr>
                <w:rFonts w:ascii="Arial" w:cs="Arial" w:eastAsia="Arial" w:hAnsi="Arial"/>
                <w:sz w:val="18"/>
                <w:szCs w:val="18"/>
                <w:b w:val="1"/>
                <w:bCs w:val="1"/>
                <w:color w:val="auto"/>
              </w:rPr>
              <w:t>Three Months Ended March 31, 2015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5"/>
          </w:tcPr>
          <w:p>
            <w:pPr>
              <w:ind w:left="920"/>
              <w:spacing w:after="0"/>
              <w:rPr>
                <w:sz w:val="20"/>
                <w:szCs w:val="20"/>
                <w:color w:val="auto"/>
              </w:rPr>
            </w:pPr>
            <w:r>
              <w:rPr>
                <w:rFonts w:ascii="Arial" w:cs="Arial" w:eastAsia="Arial" w:hAnsi="Arial"/>
                <w:sz w:val="18"/>
                <w:szCs w:val="18"/>
                <w:b w:val="1"/>
                <w:bCs w:val="1"/>
                <w:color w:val="auto"/>
              </w:rPr>
              <w:t>2015 Plan</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2014 Plan</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Total Severance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and Other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Severance</w:t>
            </w:r>
          </w:p>
        </w:tc>
        <w:tc>
          <w:tcPr>
            <w:tcW w:w="200" w:type="dxa"/>
            <w:vAlign w:val="bottom"/>
          </w:tcPr>
          <w:p>
            <w:pPr>
              <w:spacing w:after="0"/>
              <w:rPr>
                <w:sz w:val="23"/>
                <w:szCs w:val="23"/>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Restructuring</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Severance</w:t>
            </w:r>
          </w:p>
        </w:tc>
        <w:tc>
          <w:tcPr>
            <w:tcW w:w="14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1"/>
              </w:rPr>
              <w:t>Restructuring</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Restructuring</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Liability</w:t>
            </w:r>
          </w:p>
        </w:tc>
        <w:tc>
          <w:tcPr>
            <w:tcW w:w="200" w:type="dxa"/>
            <w:vAlign w:val="bottom"/>
          </w:tcPr>
          <w:p>
            <w:pPr>
              <w:spacing w:after="0"/>
              <w:rPr>
                <w:sz w:val="23"/>
                <w:szCs w:val="23"/>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Liability</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6"/>
              </w:rPr>
              <w:t>Liability</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Liability</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Liability</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89"/>
              </w:rPr>
              <w:t>Corporate and 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2980" w:type="dxa"/>
            <w:vAlign w:val="bottom"/>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20" w:type="dxa"/>
            <w:vAlign w:val="bottom"/>
          </w:tcPr>
          <w:p>
            <w:pPr>
              <w:spacing w:after="0"/>
              <w:rPr>
                <w:sz w:val="24"/>
                <w:szCs w:val="24"/>
                <w:color w:val="auto"/>
              </w:rPr>
            </w:pPr>
          </w:p>
        </w:tc>
        <w:tc>
          <w:tcPr>
            <w:tcW w:w="8020" w:type="dxa"/>
            <w:vAlign w:val="bottom"/>
            <w:gridSpan w:val="15"/>
          </w:tcPr>
          <w:p>
            <w:pPr>
              <w:ind w:left="120"/>
              <w:spacing w:after="0"/>
              <w:rPr>
                <w:sz w:val="20"/>
                <w:szCs w:val="20"/>
                <w:color w:val="auto"/>
              </w:rPr>
            </w:pPr>
            <w:r>
              <w:rPr>
                <w:rFonts w:ascii="Arial" w:cs="Arial" w:eastAsia="Arial" w:hAnsi="Arial"/>
                <w:sz w:val="18"/>
                <w:szCs w:val="18"/>
                <w:color w:val="auto"/>
                <w:w w:val="94"/>
              </w:rPr>
              <w:t>The following table presents the restructuring liability activity for the three months ended March 31, 2015.</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40" w:type="dxa"/>
            <w:vAlign w:val="bottom"/>
            <w:gridSpan w:val="9"/>
          </w:tcPr>
          <w:p>
            <w:pPr>
              <w:jc w:val="center"/>
              <w:ind w:left="70"/>
              <w:spacing w:after="0"/>
              <w:rPr>
                <w:sz w:val="20"/>
                <w:szCs w:val="20"/>
                <w:color w:val="auto"/>
              </w:rPr>
            </w:pPr>
            <w:r>
              <w:rPr>
                <w:rFonts w:ascii="Arial" w:cs="Arial" w:eastAsia="Arial" w:hAnsi="Arial"/>
                <w:sz w:val="18"/>
                <w:szCs w:val="18"/>
                <w:b w:val="1"/>
                <w:bCs w:val="1"/>
                <w:color w:val="auto"/>
                <w:w w:val="92"/>
              </w:rPr>
              <w:t>Three Months Ended March 31, 2015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40" w:type="dxa"/>
            <w:vAlign w:val="bottom"/>
            <w:gridSpan w:val="5"/>
            <w:vMerge w:val="restart"/>
          </w:tcPr>
          <w:p>
            <w:pPr>
              <w:jc w:val="center"/>
              <w:ind w:right="100"/>
              <w:spacing w:after="0"/>
              <w:rPr>
                <w:sz w:val="20"/>
                <w:szCs w:val="20"/>
                <w:color w:val="auto"/>
              </w:rPr>
            </w:pPr>
            <w:r>
              <w:rPr>
                <w:rFonts w:ascii="Arial" w:cs="Arial" w:eastAsia="Arial" w:hAnsi="Arial"/>
                <w:sz w:val="18"/>
                <w:szCs w:val="18"/>
                <w:b w:val="1"/>
                <w:bCs w:val="1"/>
                <w:color w:val="auto"/>
                <w:w w:val="88"/>
              </w:rPr>
              <w:t>Accrued Balance</w:t>
            </w: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640" w:type="dxa"/>
            <w:vAlign w:val="bottom"/>
            <w:gridSpan w:val="5"/>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at December 31,</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Accrued Balance at</w:t>
            </w:r>
          </w:p>
        </w:tc>
        <w:tc>
          <w:tcPr>
            <w:tcW w:w="0" w:type="dxa"/>
            <w:vAlign w:val="bottom"/>
          </w:tcPr>
          <w:p>
            <w:pPr>
              <w:spacing w:after="0"/>
              <w:rPr>
                <w:sz w:val="1"/>
                <w:szCs w:val="1"/>
                <w:color w:val="auto"/>
              </w:rPr>
            </w:pPr>
          </w:p>
        </w:tc>
      </w:tr>
      <w:tr>
        <w:trPr>
          <w:trHeight w:val="234"/>
        </w:trPr>
        <w:tc>
          <w:tcPr>
            <w:tcW w:w="320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Charges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rPr>
              <w:t>Cash Payments</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March 31, 2015</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2015 Plan:</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Severance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1"/>
                <w:szCs w:val="21"/>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0" w:type="dxa"/>
            <w:vAlign w:val="bottom"/>
          </w:tcPr>
          <w:p>
            <w:pPr>
              <w:jc w:val="right"/>
              <w:ind w:right="119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7"/>
        </w:trPr>
        <w:tc>
          <w:tcPr>
            <w:tcW w:w="3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restructuring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2014 Plan:</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Severance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restructuring liability</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Total severance and other restructuring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2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3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37"/>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liability</w:t>
            </w:r>
          </w:p>
        </w:tc>
        <w:tc>
          <w:tcPr>
            <w:tcW w:w="14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gridSpan w:val="3"/>
            <w:vMerge w:val="continue"/>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2"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Percentage of Completion Contracts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three months ended March 31, 2015, we recognized estimated project income of $42 million related to our long-term early production facility construction contract in Iraq accounted for under the percentage-of-completion method. Total estimated losses on these loss projects were $337 million at March 31, 2015.</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of March 31, 2015, our percentage-of-completion project estimates include $137 million of claims revenue and $26 million of back charges. We have a variety of unapproved contract change orders or claims that are not included in our revenues as of March 31, 2015. The amounts associated with these contract change orders or claims are included in revenue only when they can be estimated reliably and their realization is reasonably assured. During the three months ended March 31, 2015, an additional $53 million of claims revenue was included in our project estimates of which $6 million were approved. Our costs in excess of billings as of March 31, 2015 were $207 million and are included in the “Other Current Assets” line on the balance sheet.</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three months ended March 31, 2014, we recognized estimated project losses of $26 million related to our long-term early production facility construction contracts in Iraq accounted for under the percentage-of-completion method. Total estimated losses on these projects were $333 million at March 31, 2014. As of March 31, 2014, our percentage-of-completion project estimates include $64 million of claims revenue. Claims revenue of $28 million was recognized during the three months ended March 31, 2014.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5. Inventories, Net</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8120" w:type="dxa"/>
            <w:vAlign w:val="bottom"/>
          </w:tcPr>
          <w:p>
            <w:pPr>
              <w:ind w:left="340"/>
              <w:spacing w:after="0"/>
              <w:rPr>
                <w:sz w:val="20"/>
                <w:szCs w:val="20"/>
                <w:color w:val="auto"/>
              </w:rPr>
            </w:pPr>
            <w:r>
              <w:rPr>
                <w:rFonts w:ascii="Arial" w:cs="Arial" w:eastAsia="Arial" w:hAnsi="Arial"/>
                <w:sz w:val="18"/>
                <w:szCs w:val="18"/>
                <w:color w:val="auto"/>
              </w:rPr>
              <w:t>Inventories, net of reserves, by category were as follows: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812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2015</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2014</w:t>
            </w:r>
          </w:p>
        </w:tc>
      </w:tr>
      <w:tr>
        <w:trPr>
          <w:trHeight w:val="27"/>
        </w:trPr>
        <w:tc>
          <w:tcPr>
            <w:tcW w:w="8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3,087</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perform an impairment test for goodwill and indefinite-lived intangible assets annually as of October 1, or more frequently if indicators of potential impairment exist. Due to the change in our reporting segments (See “Note 14 – Segment Information”) we now report Land Drilling Rigs as a segment. The goodwill associated with the Land Drilling Rigs reporting unit was previously impaired in 2014.</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reportable segment for the three months ended March 31, 2015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Europe/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MENA/</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SSA/</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Latin</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Land Drilling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0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Asia Pacific</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Russia</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America</w:t>
            </w: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Rigs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3,011</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March 31, 2015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6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80"/>
        </w:trPr>
        <w:tc>
          <w:tcPr>
            <w:tcW w:w="8040" w:type="dxa"/>
            <w:vAlign w:val="bottom"/>
            <w:gridSpan w:val="3"/>
          </w:tcPr>
          <w:p>
            <w:pPr>
              <w:spacing w:after="0"/>
              <w:rPr>
                <w:sz w:val="20"/>
                <w:szCs w:val="20"/>
                <w:color w:val="auto"/>
              </w:rPr>
            </w:pPr>
            <w:r>
              <w:rPr>
                <w:rFonts w:ascii="Arial" w:cs="Arial" w:eastAsia="Arial" w:hAnsi="Arial"/>
                <w:sz w:val="18"/>
                <w:szCs w:val="18"/>
                <w:b w:val="1"/>
                <w:bCs w:val="1"/>
                <w:color w:val="auto"/>
              </w:rPr>
              <w:t>7. Short-term Borrowings and Current Portion of Long-term Debt</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140" w:type="dxa"/>
            <w:vAlign w:val="bottom"/>
          </w:tcPr>
          <w:p>
            <w:pPr>
              <w:spacing w:after="0"/>
              <w:rPr>
                <w:sz w:val="24"/>
                <w:szCs w:val="24"/>
                <w:color w:val="auto"/>
              </w:rPr>
            </w:pPr>
          </w:p>
        </w:tc>
        <w:tc>
          <w:tcPr>
            <w:tcW w:w="7900" w:type="dxa"/>
            <w:vAlign w:val="bottom"/>
            <w:gridSpan w:val="2"/>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2015</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2014</w:t>
            </w:r>
          </w:p>
        </w:tc>
      </w:tr>
      <w:tr>
        <w:trPr>
          <w:trHeight w:val="27"/>
        </w:trPr>
        <w:tc>
          <w:tcPr>
            <w:tcW w:w="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paper program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140" w:type="dxa"/>
            <w:vAlign w:val="bottom"/>
          </w:tcPr>
          <w:p>
            <w:pPr>
              <w:spacing w:after="0"/>
              <w:rPr>
                <w:sz w:val="21"/>
                <w:szCs w:val="21"/>
                <w:color w:val="auto"/>
              </w:rPr>
            </w:pPr>
          </w:p>
        </w:tc>
        <w:tc>
          <w:tcPr>
            <w:tcW w:w="7900" w:type="dxa"/>
            <w:vAlign w:val="bottom"/>
            <w:gridSpan w:val="2"/>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364-day term loan facility</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140" w:type="dxa"/>
            <w:vAlign w:val="bottom"/>
          </w:tcPr>
          <w:p>
            <w:pPr>
              <w:spacing w:after="0"/>
              <w:rPr>
                <w:sz w:val="21"/>
                <w:szCs w:val="21"/>
                <w:color w:val="auto"/>
              </w:rPr>
            </w:pPr>
          </w:p>
        </w:tc>
        <w:tc>
          <w:tcPr>
            <w:tcW w:w="7900" w:type="dxa"/>
            <w:vAlign w:val="bottom"/>
            <w:gridSpan w:val="2"/>
          </w:tcPr>
          <w:p>
            <w:pPr>
              <w:ind w:left="40"/>
              <w:spacing w:after="0"/>
              <w:rPr>
                <w:sz w:val="20"/>
                <w:szCs w:val="20"/>
                <w:color w:val="auto"/>
              </w:rPr>
            </w:pPr>
            <w:r>
              <w:rPr>
                <w:rFonts w:ascii="Arial" w:cs="Arial" w:eastAsia="Arial" w:hAnsi="Arial"/>
                <w:sz w:val="18"/>
                <w:szCs w:val="18"/>
                <w:color w:val="auto"/>
              </w:rPr>
              <w:t>Other short-term bank loans</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14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r>
      <w:tr>
        <w:trPr>
          <w:trHeight w:val="243"/>
        </w:trPr>
        <w:tc>
          <w:tcPr>
            <w:tcW w:w="140" w:type="dxa"/>
            <w:vAlign w:val="bottom"/>
          </w:tcPr>
          <w:p>
            <w:pPr>
              <w:spacing w:after="0"/>
              <w:rPr>
                <w:sz w:val="21"/>
                <w:szCs w:val="21"/>
                <w:color w:val="auto"/>
              </w:rPr>
            </w:pPr>
          </w:p>
        </w:tc>
        <w:tc>
          <w:tcPr>
            <w:tcW w:w="790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14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140" w:type="dxa"/>
            <w:vAlign w:val="bottom"/>
          </w:tcPr>
          <w:p>
            <w:pPr>
              <w:spacing w:after="0"/>
              <w:rPr>
                <w:sz w:val="22"/>
                <w:szCs w:val="22"/>
                <w:color w:val="auto"/>
              </w:rPr>
            </w:pPr>
          </w:p>
        </w:tc>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727</w:t>
            </w:r>
          </w:p>
        </w:tc>
      </w:tr>
      <w:tr>
        <w:trPr>
          <w:trHeight w:val="20"/>
        </w:trPr>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maintain a $2.25 billion unsecured, revolving credit agreement (the “Credit Agreement”) with JPMorgan Chase Bank, N.A., as administrative agent, scheduled to mature July 13, 2016. The Credit Agreement can be used for a combination of borrowings, support for our $2.25 billion commercial paper program and issuances of letters of credit. This agreement requires that we maintain a debt-to-total capitalization ratio of less than 60%. We were in compliance with this covenant at March 31, 2015. At March 31, 2015, we had $1.5 billion available under the Credit Agreement and there were $28 million in outstanding letters of credit in addition to the commercial paper and borrowings under the revolving credit facility.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364-Day Term Loan Facility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2015, we had a $400 million, 364-day term loan facility with a syndicate of banks that matured on April 9, 2015. As of March 31, 2015, we had borrowings of $175 million drawn on this facility. The 364-day term loan facility included the same debt-to-capitalization requirement that is contained in our Credit Agreement, with which we are in compliance. On April 9, 2015, we paid the outstanding balance of $175 million on this term loan facility.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and letter of credit facilities. At March 31, 2015, we had $228 million in short-term borrowings under these arrangements, including $180 million borrowed under a credit agreement entered into in March 2014 that matures on March 20, 2016, with a Libor-based interest rate of 1.57% as of March 31, 2015. In addition, we had $573 million of letters of credit under various uncommitted facilities and $278 million of surety bonds, primarily performance bonds, issued by financial sureties against an indemnification from us at March 31, 2015.</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 of our short-term borrowings approximates their fair value as of March 31, 2015. The current portion of long-term debt at March 31, 2015 is primarily related to our 5.5% senior notes maturing February 2016 and our capital leases.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three months of 2015, through a series of open market transactions, we repurchased certain of our 4.5% senior notes, 5.95% senior notes, 6.5% senior notes and 6.75% senior notes with a total book value of $160 million. We recognized a cumulative gain of approximately $12 million on these transactions.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32"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Measured and Recognized at Fair Value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estimate fair value at a price that would be received to sell an asset or paid to transfer a liability in an orderly transaction between market participants in the principal market for the asset or liability. Other than the derivative instruments discussed in “Note 9 – Derivative Instruments,” we had no other material assets or liabilities measured and recognized at fair value on a recurring basis at March 31, 2015 and December 31, 2014.</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short-term borrowings and long-term debt. The carrying value of our commercial paper and other short-term borrowings approximates their fair value due to the short-term duration of the associated interest rate periods. These short-term borrowings are classified as Level 2 in the fair value hierarchy.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The fair value of our long-term debt is classified as Level 2 in the fair value hierarchy and is a measure of its current value under present market conditions and is established based on observable inputs in less active markets.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340"/>
              <w:spacing w:after="0"/>
              <w:rPr>
                <w:sz w:val="20"/>
                <w:szCs w:val="20"/>
                <w:color w:val="auto"/>
              </w:rPr>
            </w:pPr>
            <w:r>
              <w:rPr>
                <w:rFonts w:ascii="Arial" w:cs="Arial" w:eastAsia="Arial" w:hAnsi="Arial"/>
                <w:sz w:val="18"/>
                <w:szCs w:val="18"/>
                <w:color w:val="auto"/>
              </w:rPr>
              <w:t>The fair value and carrying value of our senior notes were as follows:</w:t>
            </w: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6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54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2015</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2014</w:t>
            </w:r>
          </w:p>
        </w:tc>
      </w:tr>
      <w:tr>
        <w:trPr>
          <w:trHeight w:val="27"/>
        </w:trPr>
        <w:tc>
          <w:tcPr>
            <w:tcW w:w="67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15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6,498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6,660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exposed to market risk from changes in foreign currency and changes in interest rates. 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The major risks from interest rate derivatives include changes in the interest rates affecting the fair value of such instruments, potential increases in interest expense due to market increases in floating interest rates and the creditworthiness of the counterparties in such transactions. In light of events in the global credit markets and the potential impact of these events on the liquidity of the banking industry, we continue to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 Level 2 values for financial assets and liabilities are based on quoted prices in inactive markets, or whose values are based on models. Level 2 inputs to those models are observable either directly or indirectly for substantially the full term of the asset or liability.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the associated debt. Amounts paid or received upon termination of interest rate swaps accounted for as fair value hedges represent the fair value of the agreements at the time of termination and are amortized as a reduction, in the case of gains, or as an increase, in the case of losses, of interest expense over the remaining term of the debt. As of March 31, 2015, we had net unamortized gains of $31 million associated with interest rate swap terminations. These gains are being amortized over the remaining term of the originally hedged debt as a reduction in interest expense.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9"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Derivative Instruments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enter into contracts to hedge our exposure to currency fluctuations in various foreign currencies. At March 31, 2015 and December 31, 2014, we had outstanding foreign currency forward contracts with notional amounts aggregating $1.3 billion and $1.6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are calculated by reference to the notional amounts and by other terms of the derivative contracts, such as exchange rates.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2014, to hedge our exposure to the Canadian dollar, we held cross-currency swaps between the U.S. dollar and Canadian dollar with a notional amount of $168 million. We settled the cross-currency swap arrangements in the three months ended March 31, 2015 after recognizing a mark-to-market gain of $13 million. We collected $8 million in proceeds upon settlement.</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foreign currency forward contracts and cross-currency swaps were not designated as hedges, and the changes in fair value of the contracts are recorded each period in current earnings in the line captioned “Other, Net” on the accompanying Condensed Consolidated Statements of Operations.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estimated fair values of these foreign currency forward contracts and amounts receivable or owed associated with closed foreign currency contracts and the total estimated fair values of our cross-currency contracts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2015</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December 31, 2014</w:t>
            </w:r>
          </w:p>
        </w:tc>
        <w:tc>
          <w:tcPr>
            <w:tcW w:w="2400" w:type="dxa"/>
            <w:vAlign w:val="bottom"/>
          </w:tcPr>
          <w:p>
            <w:pPr>
              <w:ind w:left="68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i w:val="1"/>
                <w:iCs w:val="1"/>
                <w:color w:val="auto"/>
              </w:rPr>
              <w:t>Other Current Assets</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Other Current Liabilities</w:t>
            </w: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Cross-currency swap contracts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i w:val="1"/>
                <w:iCs w:val="1"/>
                <w:color w:val="auto"/>
              </w:rPr>
              <w:t>Other Liabilities</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effect of derivative instruments designated as fair value hedges and those not designated as hedges on the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Gain (Loss) Recognized in Income</w:t>
            </w:r>
          </w:p>
        </w:tc>
        <w:tc>
          <w:tcPr>
            <w:tcW w:w="352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 March 31,</w:t>
            </w:r>
          </w:p>
        </w:tc>
        <w:tc>
          <w:tcPr>
            <w:tcW w:w="3520" w:type="dxa"/>
            <w:vAlign w:val="bottom"/>
          </w:tcPr>
          <w:p>
            <w:pPr>
              <w:spacing w:after="0"/>
              <w:rPr>
                <w:sz w:val="20"/>
                <w:szCs w:val="20"/>
                <w:color w:val="auto"/>
              </w:rPr>
            </w:pPr>
          </w:p>
        </w:tc>
      </w:tr>
      <w:tr>
        <w:trPr>
          <w:trHeight w:val="27"/>
        </w:trPr>
        <w:tc>
          <w:tcPr>
            <w:tcW w:w="448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520" w:type="dxa"/>
            <w:vAlign w:val="bottom"/>
          </w:tcPr>
          <w:p>
            <w:pPr>
              <w:ind w:left="124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Derivatives designated as fair value hedges: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Interest rate swaps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Interest Expense, Net</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97"/>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Other, Net</w:t>
            </w: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Cross-currency swap contracts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Other, Net</w:t>
            </w:r>
          </w:p>
        </w:tc>
      </w:tr>
      <w:tr>
        <w:trPr>
          <w:trHeight w:val="702"/>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We estimate our annual effective tax rate based on year-to-date operating results and our forecast of operating results for the remainder of the year, by jurisdiction, and apply this rate to the year-to-date operating results. If our actual results, by jurisdiction, differ from the forecasted operating results, our effective tax rate can change affecting the tax expense for both successive interim results as well as the annual tax results. For the three months ended March 31, 2015, we had zero tax provision on a loss before income taxes of $107 million. Our results for the three months ended March 31, 2015 were impacted by discrete loss before tax items, including restructuring charges of $41 million and devaluation of Venezuela Bolivar of $26 million, all with no significant tax benefit.</w:t>
      </w:r>
    </w:p>
    <w:p>
      <w:pPr>
        <w:spacing w:after="0" w:line="193"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by approximately $14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For the three months ended March 31, 2014, we had a tax provision of $27 million on a loss before income taxes of $5 million. Our results were impacted by discrete income before tax items, including restructuring charges and project losses of approximately $116 million, with no significant tax benefit.</w:t>
      </w:r>
    </w:p>
    <w:p>
      <w:pPr>
        <w:spacing w:after="0" w:line="17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summarizes our shareholders’ equity activity for the three months ended March 31, 2015 and 2014: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Capital In</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Non-</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640" w:type="dxa"/>
            <w:vAlign w:val="bottom"/>
          </w:tcPr>
          <w:p>
            <w:pPr>
              <w:spacing w:after="0"/>
              <w:rPr>
                <w:sz w:val="17"/>
                <w:szCs w:val="17"/>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Par Value of</w:t>
            </w: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Excess of Par</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Shareholders’</w:t>
            </w: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Issued Shares</w:t>
            </w: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2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2013</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8,203</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4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Dividends Paid to Noncontrolling</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Interests</w:t>
            </w:r>
          </w:p>
        </w:tc>
        <w:tc>
          <w:tcPr>
            <w:tcW w:w="4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Awards Granted, Vested and</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4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8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Balance at March 31, 2014</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4,603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2,970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7,971</w:t>
            </w:r>
          </w:p>
        </w:tc>
      </w:tr>
      <w:tr>
        <w:trPr>
          <w:trHeight w:val="271"/>
        </w:trPr>
        <w:tc>
          <w:tcPr>
            <w:tcW w:w="26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2014</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5,411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7,033</w:t>
            </w:r>
          </w:p>
        </w:tc>
      </w:tr>
      <w:tr>
        <w:trPr>
          <w:trHeight w:val="33"/>
        </w:trPr>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4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33"/>
        </w:trPr>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to Noncontrolling</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4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Equity Awards Granted, Vested and</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Exercised</w:t>
            </w:r>
          </w:p>
        </w:tc>
        <w:tc>
          <w:tcPr>
            <w:tcW w:w="4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44"/>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2015</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5,423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2,309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6,598</w:t>
            </w:r>
          </w:p>
        </w:tc>
      </w:tr>
      <w:tr>
        <w:trPr>
          <w:trHeight w:val="20"/>
        </w:trPr>
        <w:tc>
          <w:tcPr>
            <w:tcW w:w="2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49"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presents the changes in our accumulated other comprehensive income (loss) by component for the three months ended March 31, 2015 and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Currency</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Defined Benefit</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Deferred Loss 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4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Adjustment</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Pension</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Derivatives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activity</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other comprehensive income before reclassifications from the defined benefit pension component of other comprehensive income relates to the conversion of one of our international pension plans from a defined benefit plan to a defined contribution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Basic earnings per share for all periods presented equals net income divided by the weighted average number of our shares outstanding during the period including participating securities. Diluted earnings per share is computed by dividing net income by the weighted average number of our shares outstanding during the period including participating securities, adjusted for the dilutive effect of our stock options, restricted shares and performance units.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discloses basic and diluted weighted average shares outstanding:</w:t>
      </w:r>
    </w:p>
    <w:p>
      <w:pPr>
        <w:spacing w:after="0" w:line="16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22860</wp:posOffset>
            </wp:positionV>
            <wp:extent cx="1217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8"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5780" w:type="dxa"/>
            <w:vAlign w:val="bottom"/>
          </w:tcPr>
          <w:p>
            <w:pPr>
              <w:ind w:left="20"/>
              <w:spacing w:after="0"/>
              <w:rPr>
                <w:sz w:val="20"/>
                <w:szCs w:val="20"/>
                <w:color w:val="auto"/>
              </w:rPr>
            </w:pPr>
            <w:r>
              <w:rPr>
                <w:rFonts w:ascii="Arial" w:cs="Arial" w:eastAsia="Arial" w:hAnsi="Arial"/>
                <w:sz w:val="16"/>
                <w:szCs w:val="16"/>
                <w:i w:val="1"/>
                <w:iCs w:val="1"/>
                <w:color w:val="auto"/>
              </w:rPr>
              <w:t>(Shares in millions)</w:t>
            </w:r>
          </w:p>
        </w:tc>
        <w:tc>
          <w:tcPr>
            <w:tcW w:w="24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r>
      <w:tr>
        <w:trPr>
          <w:trHeight w:val="27"/>
        </w:trPr>
        <w:tc>
          <w:tcPr>
            <w:tcW w:w="5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7"/>
        </w:trPr>
        <w:tc>
          <w:tcPr>
            <w:tcW w:w="578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basic and diluted weighted average shares outstanding for the periods presented are equivalent due to the net loss attributable to shareholders. Diluted weighted average shares outstanding for the three months ended March 31, 2015 and 2014 exclude potential shares for stock options, restricted shares and performance units outstanding as we have net losses for that period and their inclusion would be anti-dilutive.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number of anti-dilutive shares excluded:</w:t>
      </w:r>
    </w:p>
    <w:p>
      <w:pPr>
        <w:spacing w:after="0" w:line="16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22860</wp:posOffset>
            </wp:positionV>
            <wp:extent cx="1217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8"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3860" w:type="dxa"/>
            <w:vAlign w:val="bottom"/>
          </w:tcPr>
          <w:p>
            <w:pPr>
              <w:ind w:left="20"/>
              <w:spacing w:after="0"/>
              <w:rPr>
                <w:sz w:val="20"/>
                <w:szCs w:val="20"/>
                <w:color w:val="auto"/>
              </w:rPr>
            </w:pPr>
            <w:r>
              <w:rPr>
                <w:rFonts w:ascii="Arial" w:cs="Arial" w:eastAsia="Arial" w:hAnsi="Arial"/>
                <w:sz w:val="16"/>
                <w:szCs w:val="16"/>
                <w:i w:val="1"/>
                <w:iCs w:val="1"/>
                <w:color w:val="auto"/>
              </w:rPr>
              <w:t>(Shares in millions)</w:t>
            </w:r>
          </w:p>
        </w:tc>
        <w:tc>
          <w:tcPr>
            <w:tcW w:w="43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 due to net loss</w:t>
            </w:r>
          </w:p>
        </w:tc>
        <w:tc>
          <w:tcPr>
            <w:tcW w:w="4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CCEEFF"/>
            </w:tcBorders>
            <w:shd w:val="clear" w:color="auto" w:fill="CCEEFF"/>
          </w:tcPr>
          <w:p>
            <w:pPr>
              <w:spacing w:after="0"/>
              <w:rPr>
                <w:sz w:val="15"/>
                <w:szCs w:val="15"/>
                <w:color w:val="auto"/>
              </w:rPr>
            </w:pPr>
          </w:p>
        </w:tc>
        <w:tc>
          <w:tcPr>
            <w:tcW w:w="436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75"/>
        </w:trPr>
        <w:tc>
          <w:tcPr>
            <w:tcW w:w="3860" w:type="dxa"/>
            <w:vAlign w:val="bottom"/>
          </w:tcPr>
          <w:p>
            <w:pPr>
              <w:spacing w:after="0"/>
              <w:rPr>
                <w:sz w:val="24"/>
                <w:szCs w:val="24"/>
                <w:color w:val="auto"/>
              </w:rPr>
            </w:pPr>
          </w:p>
        </w:tc>
        <w:tc>
          <w:tcPr>
            <w:tcW w:w="4360" w:type="dxa"/>
            <w:vAlign w:val="bottom"/>
          </w:tcPr>
          <w:p>
            <w:pPr>
              <w:jc w:val="right"/>
              <w:ind w:right="34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the following employee share-based compensation expense during the three months ended March 31, 2015 and 2014:</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5"/>
          </w:tcPr>
          <w:p>
            <w:pPr>
              <w:jc w:val="center"/>
              <w:ind w:right="10"/>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34"/>
        </w:trPr>
        <w:tc>
          <w:tcPr>
            <w:tcW w:w="6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31,</w:t>
            </w:r>
          </w:p>
        </w:tc>
        <w:tc>
          <w:tcPr>
            <w:tcW w:w="92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r>
      <w:tr>
        <w:trPr>
          <w:trHeight w:val="27"/>
        </w:trPr>
        <w:tc>
          <w:tcPr>
            <w:tcW w:w="6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Related tax benefit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three months ended March 31, 2015, we granted approximately 1.6 million performance units, which will vest with continued employment, if the Company meets certain market-based performance goals. The performance units have a weighted average grant date fair value of $10.45 per share based on the Monte Carlo simulation method. The assumptions used in the Monte Carlo simulation included a risk-free rate of 0.51%, volatility of 46.1% and a zero dividend yield. As of March 31, 2015, there was $23 million of unrecognized compensation related to our performance units. This cost is expected to be recognized over a weighted average period of 2 years.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March 31, 2015, we also granted 1.7 million restricted shares at a weighted average grant date fair value of $11.46 per share. As of March 31, 2015, there was $81 million of unrecognized compensation related to our unvested restricted share grants. This cost is expected to be recognized over a weighted average period of 2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the three months ended March 31, 2015, we changed our business structure to better align with management’s current view and future growth objectives. This involved separating our Land Drilling Rigs business into a reportable segment resulting in a total of five reportable segments which are North America, MENA/Asia Pacific, Europe/SSA/Russia, Latin America and Land Drilling Rigs. The operational performance of our segments is reviewed and managed primarily on a geographic basis, and we report the regional segments as separate, distinct reporting segments. In addition, the operations we intend to divest, in the case of our Land Drilling Rigs business, is reviewed and managed apart from our regional segments in the Land Drilling Rigs segment. Our corporate and other expenses that do not individually meet the criteria for group presentation continue to be reported separately as Corporate and Research and Development. Each business reflects a reportable segment led by separate business segment management that reports directly or indirectly to our chief operating decision maker (“CODM”). Our CODM assesses performance and allocates resources on the basis of the five reportable segments. We have revised our business segment reporting to reflect our current management approach and recast prior periods to conform to the current business segment presentation.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9"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 as presented in our Form 10-K.</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gridSpan w:val="6"/>
          </w:tcPr>
          <w:p>
            <w:pPr>
              <w:jc w:val="center"/>
              <w:ind w:left="1110"/>
              <w:spacing w:after="0"/>
              <w:rPr>
                <w:sz w:val="20"/>
                <w:szCs w:val="20"/>
                <w:color w:val="auto"/>
              </w:rPr>
            </w:pPr>
            <w:r>
              <w:rPr>
                <w:rFonts w:ascii="Arial" w:cs="Arial" w:eastAsia="Arial" w:hAnsi="Arial"/>
                <w:sz w:val="18"/>
                <w:szCs w:val="18"/>
                <w:b w:val="1"/>
                <w:bCs w:val="1"/>
                <w:color w:val="auto"/>
                <w:w w:val="92"/>
              </w:rPr>
              <w:t>Three Months Ended March 31, 2015</w:t>
            </w:r>
          </w:p>
        </w:tc>
        <w:tc>
          <w:tcPr>
            <w:tcW w:w="15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3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420" w:type="dxa"/>
            <w:vAlign w:val="bottom"/>
          </w:tcPr>
          <w:p>
            <w:pPr>
              <w:spacing w:after="0"/>
              <w:rPr>
                <w:sz w:val="18"/>
                <w:szCs w:val="18"/>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from</w:t>
            </w:r>
          </w:p>
        </w:tc>
        <w:tc>
          <w:tcPr>
            <w:tcW w:w="420" w:type="dxa"/>
            <w:vAlign w:val="bottom"/>
          </w:tcPr>
          <w:p>
            <w:pPr>
              <w:spacing w:after="0"/>
              <w:rPr>
                <w:sz w:val="18"/>
                <w:szCs w:val="18"/>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8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360" w:type="dxa"/>
            <w:vAlign w:val="bottom"/>
          </w:tcPr>
          <w:p>
            <w:pPr>
              <w:spacing w:after="0"/>
              <w:rPr>
                <w:sz w:val="20"/>
                <w:szCs w:val="20"/>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34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Operations</w:t>
            </w:r>
          </w:p>
        </w:tc>
        <w:tc>
          <w:tcPr>
            <w:tcW w:w="420" w:type="dxa"/>
            <w:vAlign w:val="bottom"/>
          </w:tcPr>
          <w:p>
            <w:pPr>
              <w:spacing w:after="0"/>
              <w:rPr>
                <w:sz w:val="20"/>
                <w:szCs w:val="20"/>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Gain on Sale of Business, Net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(b)</w:t>
            </w:r>
          </w:p>
        </w:tc>
        <w:tc>
          <w:tcPr>
            <w:tcW w:w="3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8890</wp:posOffset>
            </wp:positionV>
            <wp:extent cx="383349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33495" cy="26035"/>
                    </a:xfrm>
                    <a:prstGeom prst="rect">
                      <a:avLst/>
                    </a:prstGeom>
                    <a:noFill/>
                  </pic:spPr>
                </pic:pic>
              </a:graphicData>
            </a:graphic>
          </wp:anchor>
        </w:drawing>
      </w:r>
    </w:p>
    <w:p>
      <w:pPr>
        <w:spacing w:after="0" w:line="24" w:lineRule="exact"/>
        <w:rPr>
          <w:sz w:val="20"/>
          <w:szCs w:val="20"/>
          <w:color w:val="auto"/>
        </w:rPr>
      </w:pPr>
    </w:p>
    <w:p>
      <w:pPr>
        <w:ind w:left="500" w:right="20" w:hanging="330"/>
        <w:spacing w:after="0" w:line="272" w:lineRule="auto"/>
        <w:tabs>
          <w:tab w:leader="none" w:pos="500"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the three months ended March 31, 2015, we recognized restructuring charges of $41 million: $8 million in North America, $6 million in MENA/Asia Pacific, $7 million in Europe/SSA/Russia, $12 million in Latin America, $5 million in Land Drilling Rigs and $3 million in Corporate and Research and Development.</w:t>
      </w:r>
    </w:p>
    <w:p>
      <w:pPr>
        <w:spacing w:after="0" w:line="1" w:lineRule="exact"/>
        <w:rPr>
          <w:rFonts w:ascii="Arial" w:cs="Arial" w:eastAsia="Arial" w:hAnsi="Arial"/>
          <w:sz w:val="15"/>
          <w:szCs w:val="15"/>
          <w:color w:val="auto"/>
        </w:rPr>
      </w:pPr>
    </w:p>
    <w:p>
      <w:pPr>
        <w:ind w:left="500" w:hanging="330"/>
        <w:spacing w:after="0" w:line="257"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three months ended March 31, 2015 includes professional fees of $13 million related to the divestiture of our non-core businesses, restatement related litigation, post-settlement monitor and auditor expenses and other charges of $8 million.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gridSpan w:val="6"/>
          </w:tcPr>
          <w:p>
            <w:pPr>
              <w:jc w:val="center"/>
              <w:ind w:left="1110"/>
              <w:spacing w:after="0"/>
              <w:rPr>
                <w:sz w:val="20"/>
                <w:szCs w:val="20"/>
                <w:color w:val="auto"/>
              </w:rPr>
            </w:pPr>
            <w:r>
              <w:rPr>
                <w:rFonts w:ascii="Arial" w:cs="Arial" w:eastAsia="Arial" w:hAnsi="Arial"/>
                <w:sz w:val="18"/>
                <w:szCs w:val="18"/>
                <w:b w:val="1"/>
                <w:bCs w:val="1"/>
                <w:color w:val="auto"/>
                <w:w w:val="92"/>
              </w:rPr>
              <w:t>Three Months Ended March 31, 2014</w:t>
            </w:r>
          </w:p>
        </w:tc>
        <w:tc>
          <w:tcPr>
            <w:tcW w:w="15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3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420" w:type="dxa"/>
            <w:vAlign w:val="bottom"/>
          </w:tcPr>
          <w:p>
            <w:pPr>
              <w:spacing w:after="0"/>
              <w:rPr>
                <w:sz w:val="18"/>
                <w:szCs w:val="18"/>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from</w:t>
            </w:r>
          </w:p>
        </w:tc>
        <w:tc>
          <w:tcPr>
            <w:tcW w:w="420" w:type="dxa"/>
            <w:vAlign w:val="bottom"/>
          </w:tcPr>
          <w:p>
            <w:pPr>
              <w:spacing w:after="0"/>
              <w:rPr>
                <w:sz w:val="18"/>
                <w:szCs w:val="18"/>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8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360" w:type="dxa"/>
            <w:vAlign w:val="bottom"/>
          </w:tcPr>
          <w:p>
            <w:pPr>
              <w:spacing w:after="0"/>
              <w:rPr>
                <w:sz w:val="20"/>
                <w:szCs w:val="20"/>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34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Operations</w:t>
            </w:r>
          </w:p>
        </w:tc>
        <w:tc>
          <w:tcPr>
            <w:tcW w:w="420" w:type="dxa"/>
            <w:vAlign w:val="bottom"/>
          </w:tcPr>
          <w:p>
            <w:pPr>
              <w:spacing w:after="0"/>
              <w:rPr>
                <w:sz w:val="20"/>
                <w:szCs w:val="20"/>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(c)</w:t>
            </w: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70"/>
        </w:trPr>
        <w:tc>
          <w:tcPr>
            <w:tcW w:w="53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(d)</w:t>
            </w:r>
          </w:p>
        </w:tc>
        <w:tc>
          <w:tcPr>
            <w:tcW w:w="3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500" w:right="20" w:hanging="330"/>
        <w:spacing w:after="0" w:line="265" w:lineRule="auto"/>
        <w:tabs>
          <w:tab w:leader="none" w:pos="500" w:val="left"/>
        </w:tabs>
        <w:numPr>
          <w:ilvl w:val="0"/>
          <w:numId w:val="6"/>
        </w:numPr>
        <w:rPr>
          <w:rFonts w:ascii="Arial" w:cs="Arial" w:eastAsia="Arial" w:hAnsi="Arial"/>
          <w:sz w:val="15"/>
          <w:szCs w:val="15"/>
          <w:color w:val="auto"/>
        </w:rPr>
      </w:pPr>
      <w:r>
        <w:rPr>
          <w:rFonts w:ascii="Arial" w:cs="Arial" w:eastAsia="Arial" w:hAnsi="Arial"/>
          <w:sz w:val="15"/>
          <w:szCs w:val="15"/>
          <w:color w:val="auto"/>
        </w:rPr>
        <w:t>For the three months ended March 31, 2014, we recognized restructuring charges of $70 million: $9 million in North America, $4 million in MENA/Asia Pacific, $19 million in Europe/SSA/Russia, $19 million in Latin America, $3 million in Land Drilling Rigs and $16 million in Corporate and Research and Development.</w:t>
      </w:r>
    </w:p>
    <w:p>
      <w:pPr>
        <w:spacing w:after="0" w:line="1" w:lineRule="exact"/>
        <w:rPr>
          <w:rFonts w:ascii="Arial" w:cs="Arial" w:eastAsia="Arial" w:hAnsi="Arial"/>
          <w:sz w:val="15"/>
          <w:szCs w:val="15"/>
          <w:color w:val="auto"/>
        </w:rPr>
      </w:pPr>
    </w:p>
    <w:p>
      <w:pPr>
        <w:ind w:left="500" w:right="20" w:hanging="330"/>
        <w:spacing w:after="0" w:line="257"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three months ended March 31, 2014 includes professional fees of $23 million related to the divestiture of our non-core businesses, restatement related litigation, the settlement of the U.S. government investigations and redomestication and other charges of $3 million.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9"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80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0"/>
        </w:trPr>
        <w:tc>
          <w:tcPr>
            <w:tcW w:w="60" w:type="dxa"/>
            <w:vAlign w:val="bottom"/>
          </w:tcPr>
          <w:p>
            <w:pPr>
              <w:spacing w:after="0"/>
              <w:rPr>
                <w:sz w:val="24"/>
                <w:szCs w:val="24"/>
                <w:color w:val="auto"/>
              </w:rPr>
            </w:pPr>
          </w:p>
        </w:tc>
        <w:tc>
          <w:tcPr>
            <w:tcW w:w="7960" w:type="dxa"/>
            <w:vAlign w:val="bottom"/>
            <w:gridSpan w:val="2"/>
          </w:tcPr>
          <w:p>
            <w:pPr>
              <w:ind w:left="280"/>
              <w:spacing w:after="0"/>
              <w:rPr>
                <w:sz w:val="20"/>
                <w:szCs w:val="20"/>
                <w:color w:val="auto"/>
              </w:rPr>
            </w:pPr>
            <w:r>
              <w:rPr>
                <w:rFonts w:ascii="Arial" w:cs="Arial" w:eastAsia="Arial" w:hAnsi="Arial"/>
                <w:sz w:val="18"/>
                <w:szCs w:val="18"/>
                <w:color w:val="auto"/>
              </w:rPr>
              <w:t>The following table presents total assets by segment for each period ended:</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3"/>
          </w:tcPr>
          <w:p>
            <w:pPr>
              <w:jc w:val="right"/>
              <w:ind w:right="1130"/>
              <w:spacing w:after="0"/>
              <w:rPr>
                <w:sz w:val="20"/>
                <w:szCs w:val="20"/>
                <w:color w:val="auto"/>
              </w:rPr>
            </w:pPr>
            <w:r>
              <w:rPr>
                <w:rFonts w:ascii="Arial" w:cs="Arial" w:eastAsia="Arial" w:hAnsi="Arial"/>
                <w:sz w:val="18"/>
                <w:szCs w:val="18"/>
                <w:b w:val="1"/>
                <w:bCs w:val="1"/>
                <w:color w:val="auto"/>
              </w:rPr>
              <w:t>Total Assets</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r>
      <w:tr>
        <w:trPr>
          <w:trHeight w:val="270"/>
        </w:trPr>
        <w:tc>
          <w:tcPr>
            <w:tcW w:w="60" w:type="dxa"/>
            <w:vAlign w:val="bottom"/>
          </w:tcPr>
          <w:p>
            <w:pPr>
              <w:spacing w:after="0"/>
              <w:rPr>
                <w:sz w:val="23"/>
                <w:szCs w:val="23"/>
                <w:color w:val="auto"/>
              </w:rPr>
            </w:pPr>
          </w:p>
        </w:tc>
        <w:tc>
          <w:tcPr>
            <w:tcW w:w="796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280" w:type="dxa"/>
            <w:vAlign w:val="bottom"/>
          </w:tcPr>
          <w:p>
            <w:pPr>
              <w:spacing w:after="0"/>
              <w:rPr>
                <w:sz w:val="23"/>
                <w:szCs w:val="23"/>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3"/>
                <w:szCs w:val="23"/>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7,297</w:t>
            </w:r>
          </w:p>
        </w:tc>
      </w:tr>
      <w:tr>
        <w:trPr>
          <w:trHeight w:val="243"/>
        </w:trPr>
        <w:tc>
          <w:tcPr>
            <w:tcW w:w="60" w:type="dxa"/>
            <w:vAlign w:val="bottom"/>
          </w:tcPr>
          <w:p>
            <w:pPr>
              <w:spacing w:after="0"/>
              <w:rPr>
                <w:sz w:val="21"/>
                <w:szCs w:val="21"/>
                <w:color w:val="auto"/>
              </w:rPr>
            </w:pPr>
          </w:p>
        </w:tc>
        <w:tc>
          <w:tcPr>
            <w:tcW w:w="79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3,006</w:t>
            </w:r>
          </w:p>
        </w:tc>
        <w:tc>
          <w:tcPr>
            <w:tcW w:w="2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3,022</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3,106</w:t>
            </w:r>
          </w:p>
        </w:tc>
      </w:tr>
      <w:tr>
        <w:trPr>
          <w:trHeight w:val="243"/>
        </w:trPr>
        <w:tc>
          <w:tcPr>
            <w:tcW w:w="60" w:type="dxa"/>
            <w:vAlign w:val="bottom"/>
          </w:tcPr>
          <w:p>
            <w:pPr>
              <w:spacing w:after="0"/>
              <w:rPr>
                <w:sz w:val="21"/>
                <w:szCs w:val="21"/>
                <w:color w:val="auto"/>
              </w:rPr>
            </w:pPr>
          </w:p>
        </w:tc>
        <w:tc>
          <w:tcPr>
            <w:tcW w:w="79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3,163</w:t>
            </w:r>
          </w:p>
        </w:tc>
        <w:tc>
          <w:tcPr>
            <w:tcW w:w="2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3,211</w:t>
            </w:r>
          </w:p>
        </w:tc>
      </w:tr>
      <w:tr>
        <w:trPr>
          <w:trHeight w:val="27"/>
        </w:trPr>
        <w:tc>
          <w:tcPr>
            <w:tcW w:w="6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16,636</w:t>
            </w:r>
          </w:p>
        </w:tc>
      </w:tr>
      <w:tr>
        <w:trPr>
          <w:trHeight w:val="243"/>
        </w:trPr>
        <w:tc>
          <w:tcPr>
            <w:tcW w:w="60" w:type="dxa"/>
            <w:vAlign w:val="bottom"/>
          </w:tcPr>
          <w:p>
            <w:pPr>
              <w:spacing w:after="0"/>
              <w:rPr>
                <w:sz w:val="21"/>
                <w:szCs w:val="21"/>
                <w:color w:val="auto"/>
              </w:rPr>
            </w:pPr>
          </w:p>
        </w:tc>
        <w:tc>
          <w:tcPr>
            <w:tcW w:w="79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1,880</w:t>
            </w:r>
          </w:p>
        </w:tc>
        <w:tc>
          <w:tcPr>
            <w:tcW w:w="2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1,907</w:t>
            </w:r>
          </w:p>
        </w:tc>
      </w:tr>
      <w:tr>
        <w:trPr>
          <w:trHeight w:val="27"/>
        </w:trPr>
        <w:tc>
          <w:tcPr>
            <w:tcW w:w="6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17,856</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18,543</w:t>
            </w:r>
          </w:p>
        </w:tc>
      </w:tr>
      <w:tr>
        <w:trPr>
          <w:trHeight w:val="243"/>
        </w:trPr>
        <w:tc>
          <w:tcPr>
            <w:tcW w:w="60" w:type="dxa"/>
            <w:vAlign w:val="bottom"/>
          </w:tcPr>
          <w:p>
            <w:pPr>
              <w:spacing w:after="0"/>
              <w:rPr>
                <w:sz w:val="21"/>
                <w:szCs w:val="21"/>
                <w:color w:val="auto"/>
              </w:rPr>
            </w:pPr>
          </w:p>
        </w:tc>
        <w:tc>
          <w:tcPr>
            <w:tcW w:w="7960" w:type="dxa"/>
            <w:vAlign w:val="bottom"/>
            <w:gridSpan w:val="2"/>
          </w:tcPr>
          <w:p>
            <w:pPr>
              <w:ind w:left="20"/>
              <w:spacing w:after="0"/>
              <w:rPr>
                <w:sz w:val="20"/>
                <w:szCs w:val="20"/>
                <w:color w:val="auto"/>
              </w:rPr>
            </w:pPr>
            <w:r>
              <w:rPr>
                <w:rFonts w:ascii="Arial" w:cs="Arial" w:eastAsia="Arial" w:hAnsi="Arial"/>
                <w:sz w:val="18"/>
                <w:szCs w:val="18"/>
                <w:color w:val="auto"/>
              </w:rPr>
              <w:t>Corporate and Research and Development</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367</w:t>
            </w:r>
          </w:p>
        </w:tc>
        <w:tc>
          <w:tcPr>
            <w:tcW w:w="2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346</w:t>
            </w:r>
          </w:p>
        </w:tc>
      </w:tr>
      <w:tr>
        <w:trPr>
          <w:trHeight w:val="27"/>
        </w:trPr>
        <w:tc>
          <w:tcPr>
            <w:tcW w:w="6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0" w:type="dxa"/>
            <w:vAlign w:val="bottom"/>
          </w:tcPr>
          <w:p>
            <w:pPr>
              <w:spacing w:after="0"/>
              <w:rPr>
                <w:sz w:val="22"/>
                <w:szCs w:val="22"/>
                <w:color w:val="auto"/>
              </w:rPr>
            </w:pPr>
          </w:p>
        </w:tc>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18,223</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18,889</w:t>
            </w: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60" w:firstLine="324"/>
        <w:spacing w:after="0" w:line="264" w:lineRule="auto"/>
        <w:rPr>
          <w:sz w:val="20"/>
          <w:szCs w:val="20"/>
          <w:color w:val="auto"/>
        </w:rPr>
      </w:pPr>
      <w:r>
        <w:rPr>
          <w:rFonts w:ascii="Arial" w:cs="Arial" w:eastAsia="Arial" w:hAnsi="Arial"/>
          <w:sz w:val="18"/>
          <w:szCs w:val="18"/>
          <w:color w:val="auto"/>
        </w:rPr>
        <w:t>Total assets in the United States, which is part of our North America segment, were $5.7 billion and $6.1 billion as of March 31, 2015 and December 31, 2014, respectively. The remaining North America total assets balance of $1 billion and $1.2 billion, respectively as of March 31, 2015 and December 31, 2014, is related to our operations in Canada.</w:t>
      </w:r>
    </w:p>
    <w:p>
      <w:pPr>
        <w:spacing w:after="0" w:line="150" w:lineRule="exact"/>
        <w:rPr>
          <w:sz w:val="20"/>
          <w:szCs w:val="20"/>
          <w:color w:val="auto"/>
        </w:rPr>
      </w:pPr>
    </w:p>
    <w:p>
      <w:pPr>
        <w:ind w:left="340" w:right="8180" w:hanging="332"/>
        <w:spacing w:after="0" w:line="566" w:lineRule="auto"/>
        <w:tabs>
          <w:tab w:leader="none" w:pos="28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Disputes, Litigation and Contingencies </w:t>
      </w:r>
      <w:r>
        <w:rPr>
          <w:rFonts w:ascii="Arial" w:cs="Arial" w:eastAsia="Arial" w:hAnsi="Arial"/>
          <w:sz w:val="16"/>
          <w:szCs w:val="16"/>
          <w:b w:val="1"/>
          <w:bCs w:val="1"/>
          <w:i w:val="1"/>
          <w:iCs w:val="1"/>
          <w:color w:val="auto"/>
        </w:rPr>
        <w:t>Shareholder Litigation</w:t>
      </w:r>
    </w:p>
    <w:p>
      <w:pPr>
        <w:spacing w:after="0" w:line="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the FCPA and trade sanctions related to the U.S. government investigations disclosed above and in our U.S. Securities and Exchange Commission (the “SEC”) filings since 2007. Those shareholder derivative cases, captioned </w:t>
      </w:r>
      <w:r>
        <w:rPr>
          <w:rFonts w:ascii="Arial" w:cs="Arial" w:eastAsia="Arial" w:hAnsi="Arial"/>
          <w:sz w:val="17"/>
          <w:szCs w:val="17"/>
          <w:i w:val="1"/>
          <w:iCs w:val="1"/>
          <w:color w:val="auto"/>
        </w:rPr>
        <w:t>Neff v. Brady, et al.</w:t>
      </w:r>
      <w:r>
        <w:rPr>
          <w:rFonts w:ascii="Arial" w:cs="Arial" w:eastAsia="Arial" w:hAnsi="Arial"/>
          <w:sz w:val="17"/>
          <w:szCs w:val="17"/>
          <w:color w:val="auto"/>
        </w:rPr>
        <w:t xml:space="preserve">, No. 201040764, </w:t>
      </w:r>
      <w:r>
        <w:rPr>
          <w:rFonts w:ascii="Arial" w:cs="Arial" w:eastAsia="Arial" w:hAnsi="Arial"/>
          <w:sz w:val="17"/>
          <w:szCs w:val="17"/>
          <w:i w:val="1"/>
          <w:iCs w:val="1"/>
          <w:color w:val="auto"/>
        </w:rPr>
        <w:t>Rosner v. Brady, et al.</w:t>
      </w:r>
      <w:r>
        <w:rPr>
          <w:rFonts w:ascii="Arial" w:cs="Arial" w:eastAsia="Arial" w:hAnsi="Arial"/>
          <w:sz w:val="17"/>
          <w:szCs w:val="17"/>
          <w:color w:val="auto"/>
        </w:rPr>
        <w:t xml:space="preserve">, No. 201047343, and </w:t>
      </w:r>
      <w:r>
        <w:rPr>
          <w:rFonts w:ascii="Arial" w:cs="Arial" w:eastAsia="Arial" w:hAnsi="Arial"/>
          <w:sz w:val="17"/>
          <w:szCs w:val="17"/>
          <w:i w:val="1"/>
          <w:iCs w:val="1"/>
          <w:color w:val="auto"/>
        </w:rPr>
        <w:t>Hess v. Duroc-Danner,</w:t>
      </w:r>
      <w:r>
        <w:rPr>
          <w:rFonts w:ascii="Arial" w:cs="Arial" w:eastAsia="Arial" w:hAnsi="Arial"/>
          <w:sz w:val="17"/>
          <w:szCs w:val="17"/>
          <w:color w:val="auto"/>
        </w:rPr>
        <w:t xml:space="preserve"> </w:t>
      </w:r>
      <w:r>
        <w:rPr>
          <w:rFonts w:ascii="Arial" w:cs="Arial" w:eastAsia="Arial" w:hAnsi="Arial"/>
          <w:sz w:val="17"/>
          <w:szCs w:val="17"/>
          <w:i w:val="1"/>
          <w:iCs w:val="1"/>
          <w:color w:val="auto"/>
        </w:rPr>
        <w:t>et al.</w:t>
      </w:r>
      <w:r>
        <w:rPr>
          <w:rFonts w:ascii="Arial" w:cs="Arial" w:eastAsia="Arial" w:hAnsi="Arial"/>
          <w:sz w:val="17"/>
          <w:szCs w:val="17"/>
          <w:color w:val="auto"/>
        </w:rPr>
        <w:t>, No. 201040765, were filed in Harris County, Texas state court and consolidated (collectively referred to as the “Neff Case”). In 2014, one of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cases, </w:t>
      </w:r>
      <w:r>
        <w:rPr>
          <w:rFonts w:ascii="Arial" w:cs="Arial" w:eastAsia="Arial" w:hAnsi="Arial"/>
          <w:sz w:val="17"/>
          <w:szCs w:val="17"/>
          <w:i w:val="1"/>
          <w:iCs w:val="1"/>
          <w:color w:val="auto"/>
        </w:rPr>
        <w:t>Hess v. Duroc-Danner, et al.</w:t>
      </w:r>
      <w:r>
        <w:rPr>
          <w:rFonts w:ascii="Arial" w:cs="Arial" w:eastAsia="Arial" w:hAnsi="Arial"/>
          <w:sz w:val="17"/>
          <w:szCs w:val="17"/>
          <w:color w:val="auto"/>
        </w:rPr>
        <w:t xml:space="preserve">, No. 201040765, was voluntarily dismissed from the Neff Case.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Neff Case. That case, captioned </w:t>
      </w:r>
      <w:r>
        <w:rPr>
          <w:rFonts w:ascii="Arial" w:cs="Arial" w:eastAsia="Arial" w:hAnsi="Arial"/>
          <w:sz w:val="17"/>
          <w:szCs w:val="17"/>
          <w:i w:val="1"/>
          <w:iCs w:val="1"/>
          <w:color w:val="auto"/>
        </w:rPr>
        <w:t>Erste-Sparinvest KAG v. Duroc-Danner, et al.,</w:t>
      </w:r>
      <w:r>
        <w:rPr>
          <w:rFonts w:ascii="Arial" w:cs="Arial" w:eastAsia="Arial" w:hAnsi="Arial"/>
          <w:sz w:val="17"/>
          <w:szCs w:val="17"/>
          <w:color w:val="auto"/>
        </w:rPr>
        <w:t xml:space="preserve"> No. 201420933 (Harris County, Texas) was consolidated into the Neff Case in September 2014. A motion to dismiss the consolidated action is pending.</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March 2012, a purported securities class action captioned </w:t>
      </w:r>
      <w:r>
        <w:rPr>
          <w:rFonts w:ascii="Arial" w:cs="Arial" w:eastAsia="Arial" w:hAnsi="Arial"/>
          <w:sz w:val="18"/>
          <w:szCs w:val="18"/>
          <w:i w:val="1"/>
          <w:iCs w:val="1"/>
          <w:color w:val="auto"/>
        </w:rPr>
        <w:t>Freedman v. Weatherford International Ltd., et al.</w:t>
      </w:r>
      <w:r>
        <w:rPr>
          <w:rFonts w:ascii="Arial" w:cs="Arial" w:eastAsia="Arial" w:hAnsi="Arial"/>
          <w:sz w:val="18"/>
          <w:szCs w:val="18"/>
          <w:color w:val="auto"/>
        </w:rPr>
        <w:t>, No. 1:12-cv-02121-LAK (SDNY) was filed in the Southern District of New York against us and certain current and former officers. That case alleges violation of the federal securities laws related to the restatement of our historical financial statements announced on February 21, 2012, and later added claims related to the announcement of a subsequent restatement on July 24, 2012. In the three months ended December 31, 2014, we advanced settlement negotiations such that settlement is deemed probable and we continue to maintain an accrual of the estimated probable loss.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cannot reliably predict the outcome of these cases including the amount of any possible loss. If one or more negative outcomes were to occur relative to these cases, the aggregate impact to our financial condition could be material.</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March 2011, a shareholder derivative action, </w:t>
      </w:r>
      <w:r>
        <w:rPr>
          <w:rFonts w:ascii="Arial" w:cs="Arial" w:eastAsia="Arial" w:hAnsi="Arial"/>
          <w:sz w:val="17"/>
          <w:szCs w:val="17"/>
          <w:i w:val="1"/>
          <w:iCs w:val="1"/>
          <w:color w:val="auto"/>
        </w:rPr>
        <w:t>Iron Workers Mid-South Pension Fund v. Duroc-Danner, et al.</w:t>
      </w:r>
      <w:r>
        <w:rPr>
          <w:rFonts w:ascii="Arial" w:cs="Arial" w:eastAsia="Arial" w:hAnsi="Arial"/>
          <w:sz w:val="17"/>
          <w:szCs w:val="17"/>
          <w:color w:val="auto"/>
        </w:rPr>
        <w:t xml:space="preserve">, No. 201119822, was filed in Harris County, Texas, civil court purportedly on behalf of the Company against certain current and former officers and directors, alleging breaches of duty related to the material weakness and restatement announcements. In February 2012, a second substantially similar shareholder derivative action, </w:t>
      </w:r>
      <w:r>
        <w:rPr>
          <w:rFonts w:ascii="Arial" w:cs="Arial" w:eastAsia="Arial" w:hAnsi="Arial"/>
          <w:sz w:val="17"/>
          <w:szCs w:val="17"/>
          <w:i w:val="1"/>
          <w:iCs w:val="1"/>
          <w:color w:val="auto"/>
        </w:rPr>
        <w:t>Wandel v. Duroc-Danner, et al.</w:t>
      </w:r>
      <w:r>
        <w:rPr>
          <w:rFonts w:ascii="Arial" w:cs="Arial" w:eastAsia="Arial" w:hAnsi="Arial"/>
          <w:sz w:val="17"/>
          <w:szCs w:val="17"/>
          <w:color w:val="auto"/>
        </w:rPr>
        <w:t>, No. 1:12-cv-01305-LAK (SDNY), was filed in federal court in the Southern District of New York. In June 2014, the parties signed a term sheet</w:t>
      </w:r>
      <w:r>
        <w:rPr>
          <w:rFonts w:ascii="Arial" w:cs="Arial" w:eastAsia="Arial" w:hAnsi="Arial"/>
          <w:sz w:val="17"/>
          <w:szCs w:val="17"/>
          <w:i w:val="1"/>
          <w:iCs w:val="1"/>
          <w:color w:val="auto"/>
        </w:rPr>
        <w:t xml:space="preserve"> </w:t>
      </w:r>
      <w:r>
        <w:rPr>
          <w:rFonts w:ascii="Arial" w:cs="Arial" w:eastAsia="Arial" w:hAnsi="Arial"/>
          <w:sz w:val="17"/>
          <w:szCs w:val="17"/>
          <w:color w:val="auto"/>
        </w:rPr>
        <w:t>resolving the action for an agreed upon set of revised corporate procedures, no monetary payment by the defendants, and an award of attorneys’ fees for the planitiff’s counsel. In March 2015, the court approved notice to the class of the proposed settlement and set the final hearing for June 24, 2015. We maintain an immaterial accrual for the attorney’s fees included in the proposed settlement.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32"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March 2011, a purported shareholder class action captioned </w:t>
      </w:r>
      <w:r>
        <w:rPr>
          <w:rFonts w:ascii="Arial" w:cs="Arial" w:eastAsia="Arial" w:hAnsi="Arial"/>
          <w:sz w:val="16"/>
          <w:szCs w:val="16"/>
          <w:i w:val="1"/>
          <w:iCs w:val="1"/>
          <w:color w:val="auto"/>
        </w:rPr>
        <w:t>Dobina v. Weatherford International Ltd.</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No. 1:11-cv-01646-LAK (SDNY), was filed in the U.S. District Court for the Southern District of New York, following our announcement on March 1, 2011 of a material weakness in our internal controls over financial reporting for income taxes, and restatement of our historical financial statements (the “2011 Class Action”). The lawsuit alleged violation of the federal securities laws by us and certain current and former officers. During the three months ended December 31, 2013, we entered into negotiations to settle the 2011 Class Action. As a result of these negotiations, settlement became probable and a settlement agreement was signed on January 29, 2014. The settlement was approved by the U.S. District Court for the Southern District of New York on January 5, 2015, and final judgment entered on January 30, 2015. The settlement agreement required payments totaling $53 million which was entirely funded by our insurers.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and Internal Investigations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17, 2014, the U.S. District Court for the Southern District of Texas approved the settlement agreements between us and certain of our subsidiaries and the U.S. Department of Justice (“DOJ”). On November 26, 2013, we announced that we and our subsidiaries also entered into settlement agreements with the U.S. Departments of Treasury and Commerce and with the SEC, which the U.S. District Court for the Southern District of Texas entered on December 20, 2013. These agreements collectively resolved investigations of prior alleged violations by us and certain of our subsidiaries relating to certain trade sanctions laws, participation in the United Nations oil-for-food program governing sales of goods into Iraq and non-compliance with FCPA matters.</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$253 million payable by us and our subsidiaries was paid in January and February 2014 pursuant to the terms of the settlement agreements. These agreements include a requirement to retain, for a period of at least 18 months, an independent monitor responsible for assessing our compliance with the terms of the agreement so as to address and reduce the risk of recurrence of alleged misconduct, after which we would continue to evaluate our own compliance program and make periodic reports to the DOJ and SEC and maintain agreed compliance monitoring and reporting systems, all of which is costly to us. In April 2014, the independent monitor was retained and the compliance assessment period began. These agreements also require us to retain an independent third party to retroactively audit our compliance with U.S. export control laws during the years 2012, 2013 and 2014. This audit is on-going.</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SEC and DOJ are also investigating the circumstances surrounding the material weakness in our internal controls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We are cooperating fully with these investigations. We are unable to predict the outcome of these matters due to the inherent uncertainties presented by such investigations, and we are unable to predict potential outcomes or estimate the range of potential loss contingencies, if any. The government, generally, has a broad range of civil and criminal penalties available for these types of matters under applicable law and regulation, including injunctive relief, fines, penalties and modifications to business practices, some of which, if imposed on us, could be material to our business, financial condition or results of operations.</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Additionally, we are aware of various disputes and potential claims and are a party in various litigation involving claims against us, some of which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 In addition we have certain claims, disputes and pending litigation regarding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New Accounting Pronouncements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April 2015, the FASB issued new guidance related to presentation of debt issue costs. The new standard requires that debt issuance costs related to a recognized debt liability be presented in the balance sheet as a direct deduction from the carrying amount of that debt liability. The new standard is effective for fiscal years, and interim periods within those fiscal years, beginning after December 15, 2015. Early adoption is permitted. We are currently evaluating the impact this guidance will have on the Consolidated Financial Statements and related Note disclosures.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February 2015, the Financial Accounting Standards Board (“FASB”) issued new guidance related to consolidations. The new standard amends the guidelines for determining whether certain legal entities should be consolidated and reduces the number of consolidation models. The new standard is effective for fiscal years, and interim periods within those fiscal years, beginning after December 15, 2015. Early adoption is permitted. We are currently evaluating the impact this guidance will have on the Consolidated Financial Statements and related Note disclosures.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2014, the FASB issued new guidance intended to change the criteria for recognition of revenue. The core principle of the guidance is that an entity should recognize revenue to depict the transfer of promised goods or services to customers in an amount that reflects the consideration to which the entity expects to be entitled in exchange for those goods or services. This guidance is effective beginning with the first quarter of 2017 and early adoption is not permitted. In April 2015, the FASB proposed a one year deferral of the effective date of the new revenue standard for public and non public entities reporting under U.S. GAAP. We are currently evaluating the impact the adoption of this guidance would have on our Consolidated Financial Statements or Note disclosures.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9"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(“Weatherford Ireland”), a public limited company organized under the laws of Ireland, a Swiss tax resident, and the ultimate parent of the Weatherford group, guarantees the obligations of our subsidiaries – Weatherford International Ltd., a Bermuda exempted company (“Weatherford Bermuda”), and Weatherford International, LLC, a Delaware limited liability company (“Weatherford Delaware”), including the notes and credit facilities listed below.</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March 31, 2015 and December 31, 2014: (1) 6.35% senior notes and (2) 6.80% senior notes.</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following obligations of Weatherford Bermuda were guaranteed by Weatherford Delaware at March 31, 2015 and December 31, 2014: (1) revolving credit facility, (2) 5.50% senior notes, (3) 6.50% senior notes, (4) 6.00% senior notes, (5) 7.00% senior notes, (6) 9.625% senior notes, (7) 9.875% senior notes, (8) 5.125% senior notes, (9) 6.75% senior notes, (10) 4.50% senior notes and (11) 5.95% senior notes. In 2014, we refinanced the 364-day term loan facility with a new 364-day term loan facility, which was an obligation of Weatherford Bermuda guaranteed by Weatherford Delaware as of March 31, 2015.</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(2,744)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9"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Switzerland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(3,466)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(7,208)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(7,241)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7,319</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(7,250)</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7,169</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(7,453)</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7,080</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7,594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7,592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8,242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10,613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9,707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(32,488)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10,574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10,631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18,223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1,466</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2,839</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1,651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3,288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4,393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5,239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6,278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11,625</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6,529</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8,250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10,680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10,281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32,210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(43,198)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18,223</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Switzerland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7,470</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7,975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7,944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8,662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10,490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9,730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(32,856)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Held in Parent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10,490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10,945</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8,672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10,537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10,312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33,328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(43,960)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18,889</w:t>
            </w:r>
          </w:p>
        </w:tc>
        <w:tc>
          <w:tcPr>
            <w:tcW w:w="0" w:type="dxa"/>
            <w:vAlign w:val="bottom"/>
          </w:tcPr>
          <w:p>
            <w:pPr>
              <w:spacing w:after="0"/>
              <w:rPr>
                <w:sz w:val="1"/>
                <w:szCs w:val="1"/>
                <w:color w:val="auto"/>
              </w:rPr>
            </w:pPr>
          </w:p>
        </w:tc>
      </w:tr>
      <w:tr>
        <w:trPr>
          <w:trHeight w:val="311"/>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4,027</w:t>
            </w: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6,202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3,544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4,794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11,856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6,958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6,768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28,459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(32,857)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6,958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8,672</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10,537</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10,312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33,328</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(43,960)</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18,889</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in Cash and Cash</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Equivalents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Switzerland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7,319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(7,241)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7,348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Contribution to Subsidiary</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in Cash and Cash</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Equivalents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9"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used herein, the “Company,” “we,” “us” and “our” refer to Weatherford International plc (“Weatherford Ireland”), a public limited company organized under the laws of Ireland, and its subsidiaries on a consolidated basis, or for periods prior to June 17, 2014, to our predecessor, Weatherford International Ltd. (“Weatherford Switzerland”), a Swiss joint-stock corporation and its subsidiaries on a consolidated basis.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in conjunction with the Condensed Consolidated Financial Statements and Notes included with this report and our Consolidated Financial Statements, Notes and related MD&amp;A for the year ended December 31, 2014 included in our Annual Report on Form 10-K.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“Item 1A. -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three months ended March 31, 2015, we changed our business structure to better align with management’s current view and future growth objectives. This involved separating our Land Drilling Rigs business into a reportable segment resulting in a total of five reportable segments which are North America, MENA/Asia Pacific, Europe/SSA/Russia, Latin America and Land Drilling Rigs. We have recast prior periods to conform to the current business segment presentation. See “Note 14 – Segment Information” for additional information.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over 100 countries and have service and sales locations in nearly all of the oil and natural gas producing regions in the world. Our operational performance is reviewed on a geographic basis, and we report the following regions as separate, distinct reporting segments mentioned previously.</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principally provide equipment and services to the oil and natural gas exploration and production industry, both on land and offshore, through our product service line groups: (1) Formation Evaluation and Well Construction, (2) Completion and Production, and (3) Land Drilling Rigs, which together comprise a total of 14 service lines.</w:t>
      </w:r>
    </w:p>
    <w:p>
      <w:pPr>
        <w:spacing w:after="0" w:line="181" w:lineRule="exact"/>
        <w:rPr>
          <w:sz w:val="20"/>
          <w:szCs w:val="20"/>
          <w:color w:val="auto"/>
        </w:rPr>
      </w:pPr>
    </w:p>
    <w:p>
      <w:pPr>
        <w:jc w:val="both"/>
        <w:ind w:left="740" w:hanging="327"/>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service lines include Managed-Pressure Drilling, Drilling Services,Tubular Running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Drilling Tools, Wireline Services, Testing and Production Services, Re-entry and Fishing, Cementing, Liner Systems, Integrated Laboratory Services and Surface Logging.</w:t>
      </w:r>
    </w:p>
    <w:p>
      <w:pPr>
        <w:spacing w:after="0" w:line="73"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service lines include Artificial Lift Systems, Stimulation and Completion Systems.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encompasses our land drilling rigs business, including the products and services ancillary thereto.</w:t>
      </w:r>
    </w:p>
    <w:p>
      <w:pPr>
        <w:spacing w:after="0" w:line="3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sell our products and services separately or may bundle them together to provide integrated solutions, up to and including integrated well construction where we are responsible for the entire process of drilling, constructing and completing a well. Our customers include both exploration and production companies and other oilfield service companies. Depending on the service line, customer and location, our contracts vary in their terms, provisions and indemnities. We earn revenues under our contracts when products and services are delivered. Typically, we provide products and services at a well site where our personnel and equipment may be located together with personnel and equipment of our customer and third parties, such as other service providers. Our services are usually short-term in nature; day-rate based and cancellable should our customer wish to alter the scope of work. Consequently, our backlog of firm orders is not material to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Throughout 2014, we successfully disposed several of our non-core businesses. We received cash proceeds totaling over $1.7 billion from these dispositions, which were not core to our ongoing business strategy, and used $1.2 billion of the proceeds to reduce debt. For the year ended December 31, 2014, we recognized a gain on these dispositions of $349 million. In the first quarter of 2015, the Company recorded net working capital adjustments and other closing balance sheet adjustments which increased the gain on these transactions by $3 million. See “Note 2 – Business Combinations.”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level of spending in the energy industry is heavily influenced by changes in the current and expected future prices of oil and natural gas. Changes in expenditures result in an increased or decreased demand for our products and services. Rig count is an indicator of the level of spending for the exploration for and production of oil and natural gas reserves. The following chart sets forth certain statistics that reflect historical market conditions:</w:t>
      </w:r>
    </w:p>
    <w:p>
      <w:pPr>
        <w:spacing w:after="0" w:line="14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Henry Hub</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ind w:left="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2"/>
              </w:rPr>
              <w:t xml:space="preserve">Gas </w:t>
            </w:r>
            <w:r>
              <w:rPr>
                <w:rFonts w:ascii="Arial" w:cs="Arial" w:eastAsia="Arial" w:hAnsi="Arial"/>
                <w:sz w:val="25"/>
                <w:szCs w:val="25"/>
                <w:b w:val="1"/>
                <w:bCs w:val="1"/>
                <w:color w:val="auto"/>
                <w:w w:val="82"/>
                <w:vertAlign w:val="superscript"/>
              </w:rPr>
              <w:t>(b)</w:t>
            </w:r>
          </w:p>
        </w:tc>
        <w:tc>
          <w:tcPr>
            <w:tcW w:w="1600" w:type="dxa"/>
            <w:vAlign w:val="bottom"/>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2015</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2014</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2,294</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1,315</w:t>
            </w: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2014</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r>
      <w:tr>
        <w:trPr>
          <w:trHeight w:val="27"/>
        </w:trPr>
        <w:tc>
          <w:tcPr>
            <w:tcW w:w="3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Price per barrel of West Texas Intermediate (“WTI”) crude oil of the date indicated at Cushing Oklahoma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Thomson Reuters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Price per MM/BTU as of the date indicated at Henry Hub Louisiana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Thomson Reuters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Average rig count for the period indicated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Baker Hughes Rig Count</w:t>
      </w:r>
    </w:p>
    <w:p>
      <w:pPr>
        <w:spacing w:after="0" w:line="2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first three months of 2015, oil prices ranged from a high of $54.29 per barrel in mid February to a low of $44.45 per barrel in late January. Natural gas ranged from a high of $3.21 MM/BTU in mid January to a low of $2.58 MM/BTU in early February. Factors influencing oil and natural gas prices during the period include hydrocarbon inventory levels, realized and expected global economic growth, realized and expected levels of hydrocarbon demand, level of production capacity within the Organization of Petroleum Exporting Countries (“OPEC”), weather and geopolitical uncertainty.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2015, we entered a year challenged by the recent steep decline in oil prices. This decline is expected to materially reduce capital spending by our customers thereby reducing our revenue, both through lower activity levels and pricing. Our response to this environment will be to continue to focus on developing our core businesses while reducing cost and improving cash flow. In the fourth quarter of 2014, responsive to these changing market conditions, we commenced a reduction in force exercise initially targeting 8,000 employee positions, and in the first quarter we increased the target by 2,000 to a total of 10,000 employees. We expect these reductions to be substantially complete in the first half of 2015.</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expect North America to be severely impacted by both lower volume and pricing pressure as our customers continue to reduce spending due to the decline in commodity prices. For the remainder of the year activity in North America will be curtailed but partially offset by our efforts to rationalize our cost structure. Internationally, we expect to show resilient year-on-year performance through the 2015 market decline, with Latin America having improvements in Brazil and Argentina while in the Eastern Hemisphere the Middle East will play an important role with incremental business in the Gulf markets and Sub-Sahara Africa will continue to build on its 2014 success in Well Construction market penetration.</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Over the longer term, we believe the outlook for our core businesses is favorable. As well production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increase demand for our products and services. These factors provide us with a positive outlook for our core businesses over the longer term. However, the level of improvement in our core businesses in the future will depend heavily on pricing, volume of work and our ability to offer solutions to more efficiently extract hydrocarbons, control costs and penetrate new and existing markets with our newly developed technologies.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continually seek opportunities to maximize efficiency and value through various transactions, including purchases or dispositions of assets, businesses, investments or joint ventures. We evaluate our disposition candidates based on the strategic fit within our business and objectives. It is also our intention to divest our remaining land drilling rigs. Upon completion, the cash proceeds from any divestitures are expected to be used to repay or repurchase debt. Any such debt reduction may include the repurchase of our outstanding senior notes prior to their maturity in open market, privately negotiated transaction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contains selected financial data comparing our consolidated and segment results from operations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2014:</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1"/>
              </w:rPr>
              <w:t>Favorable</w:t>
            </w:r>
          </w:p>
        </w:tc>
        <w:tc>
          <w:tcPr>
            <w:tcW w:w="14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05"/>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60"/>
              <w:spacing w:after="0"/>
              <w:rPr>
                <w:sz w:val="20"/>
                <w:szCs w:val="20"/>
                <w:color w:val="auto"/>
              </w:rPr>
            </w:pPr>
            <w:r>
              <w:rPr>
                <w:rFonts w:ascii="Arial" w:cs="Arial" w:eastAsia="Arial" w:hAnsi="Arial"/>
                <w:sz w:val="16"/>
                <w:szCs w:val="16"/>
                <w:i w:val="1"/>
                <w:iCs w:val="1"/>
                <w:color w:val="auto"/>
              </w:rPr>
              <w:t>(Dollars and shares in millions, except per share data)</w:t>
            </w: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(Unfavorable)</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MENA/Asia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Europe/SSA/Russia</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Latin America</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5200" w:type="dxa"/>
            <w:vAlign w:val="bottom"/>
          </w:tcPr>
          <w:p>
            <w:pPr>
              <w:ind w:left="200"/>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Land Drilling Rigs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5200" w:type="dxa"/>
            <w:vAlign w:val="bottom"/>
          </w:tcPr>
          <w:p>
            <w:pPr>
              <w:ind w:left="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 (Expense):</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MENA/Asia Pacific</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1,100 %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Europe/SSA/Russia</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Sale of Businesses,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Other Items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97"/>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Devaluation of Venezuelan Bolivar</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Provision for Income Tax</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Diluted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716"/>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7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Percentage by Product Service Line Group</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chart contains the percentage distribution of our consolidated revenues by product service line group for the three months ended March 31, 2015 and 2014:</w:t>
      </w:r>
    </w:p>
    <w:p>
      <w:pPr>
        <w:spacing w:after="0" w:line="112"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Three Months Ended March</w:t>
      </w:r>
    </w:p>
    <w:p>
      <w:pPr>
        <w:spacing w:after="0" w:line="27"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22860</wp:posOffset>
            </wp:positionV>
            <wp:extent cx="15005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38"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Formation Evaluation and Well Construction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Completion and Production</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Drilling Rigs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57"/>
        </w:trPr>
        <w:tc>
          <w:tcPr>
            <w:tcW w:w="6760" w:type="dxa"/>
            <w:vAlign w:val="bottom"/>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r>
      <w:tr>
        <w:trPr>
          <w:trHeight w:val="20"/>
        </w:trPr>
        <w:tc>
          <w:tcPr>
            <w:tcW w:w="6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Revenues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Consolidated revenues decreased $802 million, or 22%, in the first quarter ended March 31, 2015 compared to the first quarter of 2014. Revenues decreased in the first quarter of 2015 across all our segments with declines of $447 million, or 28%, in North America, $208 million, or 13%, in our International segments and $147 million, or 43%, in Land Drilling Rigs. International revenues represent revenues of our regional segments other than North America and the Land Drilling Rigs segments. The decline in North American revenue is consistent with the 29% decrease in North American rig count since the first quarter of 2014 with consistent declines of approximately 20% across all product lines in the United States and significant declines of more than 40% across our product lines in Canada. These results were driven by a combination of lower service activity and customer pricing pressure. The decline in revenues in our International segments was in line with the decline in international rig count of 6% since the first quarter of 2014 as well as declines in revenue from our Europe/Russia/SSA and MENA/Asia Pacific due to pricing pressure and reduced activity across all product lines. The decline in our Land Drilling Rigs revenue is primarily attributable to the decline in drilling activity consistent with the rig count declines, decreases in new drilling activity and the 2014 disposal of our land drilling and workover rig operations in Russia and Venezuela.</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Consolidated segment operating income decreased $113 million, or 33% in the three months ended March 31, 2015, compared to the first quarter of 2014. The decline in operating income is consistent with the reduction in activity resulting from the significant decline in both the price of oil and rig counts, which has put pressure on our pricing and has resulted in lower volume of work. Additionally, consolidated operating income for the three months ended March 31, 2015 and 2014 includes legacy contract and other related charges of $9 million and $46 million, respectively, and restructuring charges of $41 million and $70 million, respectively. For additional information regarding charges by segment, see the subsection entitled “Segment Results” and “Restructuring Charges” below.</w:t>
      </w:r>
    </w:p>
    <w:p>
      <w:pPr>
        <w:spacing w:after="0" w:line="19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Other items impacting our results for the three months ended March 31, 2015 and 2014 included expenses of $21 million and $26 million, respectively, incurred in conjunction with the divestiture of non-core businesses, restatement related litigation and our previously settled U.S. government investigations.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North America</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in our North America segment decreased $447 million, or 28%, in the first quarter of 2015 compared to the first quarter of 2014. North America average rig count decreased 29% since March 31, 2014. The decline in revenue in the three months ended March 31, 2015 was due to lower activity and pricing pressure that broadly impacted all product lines, particularly artificial lift, intervention services and pressure pumping. The disposition of our engineered chemistry business on December 31, 2014 also negatively impacted revenues when compared to the same period in the prior year. Total revenues in the United States, which is part of our North America segment, were $945 million and $1.2 billion for the three months ended March 31, 2015 and 2014, respectively. The remaining revenues of our North America segment of $218 million and $382 million for the three months ended March 31, 2015 and 2014, respectively, were derived from our operations in Canada.</w:t>
      </w:r>
    </w:p>
    <w:p>
      <w:pPr>
        <w:spacing w:after="0" w:line="18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Operating income decreased $206 million, or 105%, resulting in a $10 million loss in the first quarter of 2015 compared to income of $196 million the first quarter of 2014. Contributing to the decline was the rig count decrease of 29% since March 31, 2014, increased pricing pressure and reduced activity associated with the significant decline in oil prices. Due to these factors operating income decreased in the United States and Canada across all product lines, particularly artificial lift, drilling services and pressure pumping. In the three months ended March 31, 2015 and 2014, we recognized “Restructuring Charges” on our Condensed Consolidated Statements of Operations of $8 million and $9 million, respectively, related to operations in North America.</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MENA/Asia Pacific</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Revenues in our MENA/Asia Pacific segment decreased $86 million, or 14%, in the first quarter of 2015 compared to the first quarter of 2014. The lower revenue in MENA was mainly due to reduced work volume primarily in the artificial lift, wireline services, and stimulation product lines, as well as the revenues lost following the sale of the pipeline and specialty services product line in September of 2014. The revenue decline in the Asia Pacific region is mostly attributable to decreased activity in China and Indonesia primarily related to the artificial lift and intervention services and drilling tools product lines. These revenue declines were partially offset by increased activity in Saudi Arabia primarily in our drilling services and well construction product lines.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increased $55 million the first quarter of 2015 compared to the first quarter of 2014. The increase in operating income is primarily attributable to improvements in North Africa and Malaysia and higher profitability resulting from unprofitable locations that were closed in the previous year. In the three months ended March 31, 2015 and 2014, we recognized “Restructuring Charges” on our Condensed Consolidated Statements of Operations of $6 million and $4 million, respectively, related to operations in MENA/Asia Pacific.</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Europe/SSA/Russia</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Europe/SSA/Russia segment decreased $99 million, or 19%, in the first quarter of 2015 compared to the first quarter of 2014. The decline in revenues is due to a decline in activity reflected as a reduction in well construction revenue in the North Sea and West Africa, and drilling services revenue in Russia. Additionally, the sale of the pipeline and specialty services and engineered chemistry product line in the third and fourth quarters of 2014, respectively, contributed to the decline along with the impact of a weaker Russian ruble and euro.</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decreased $7 million, or 9% , in the first quarter of 2015 compared to the first quarter of 2014. The decline was consistent with the decline in revenue and with the incremental profits attributable to our cost reduction exercise. In the three months ended March 31, 2015 and 2014, we recognized “Restructuring Charges” on our Condensed Consolidated Statements of Operations of $7 million and $19 million, respectively, related to operations in Europe/SSA/Russia.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Latin America</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Revenues in our Latin America segment decreased $23 million, or 5%, in the first quarter of 2015 compared to the first quarter of 2014. The decline in revenues was largely due to declining activity and demand for our artificial lift and formation evaluation products and services.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Operating income increased $8 million, or 9%, in the first quarter of 2015 compared to the first quarter of 2014. The increase in the first quarter is a result of the lower level of activity associated with our artificial lift and formation evaluation services due to cost reduction initiatives in Mexico and a continued focus on higher margin activity in Argentina and Brazil. In the three months ended March 31, 2015 and 2014, we recognized “Restructuring Charges” on our Condensed Consolidated Statements of Operations of $12 million and $19 million, respectively, related to operations in Latin America.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Land Drilling Rigs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in our Land Drilling Rigs segment decreased $147 million, or 43%, in the first quarter of 2015 compared to the first quarter of 2014 primarily due to the significant decline in drilling activity consistent with the rig count declines, decreases in new drilling activity, and the 2014 disposal of our land drilling and workover rig operations in Russia and Venezuela.</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Operating income increased $37 million, or 137%, in the first quarter of 2015 compared to the first quarter of 2014. The increase in the three months ended March 31, 2015 is primarily a result of the disposal of our land drilling and workover rig operations in Russia that generated a loss during the first quarter of 2014 and improved drilling efficiencies in Iraq. In the three months ended March 31, 2015 and 2014, we recognized “Restructuring Charges” on our Condensed Consolidated Statements of Operations of $5 million and $3 million, respectively, related to our Land Drilling Rigs operations.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Devaluation of Venezuelan Bolivar and Inflationary Impacts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new Venezuelan currency exchange system, known as the “Marginal Currency System” (or “SIMADI”), opened for trading February 12, 2015, replacing the Venezuela’s Supplementary Foreign Currency Administration System auction rate (“SICAD”) mechanism. The SIMADI is intended to provide limited access to a free market rate of exchange. In the first quarter of 2015, we recognized remeasurement charges of $26 million and will continue to monitor the impact on our financial statements of the evolving Venezuela exchange rate. At March 31, 2015 our net monetary asset position denominated in Venezuelan bolivar was approximately $11 million.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Highly Inflationary Country</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has noted the concerns raised by the International Monetary Fund (“IMF”) relating to the accuracy of Argentina’s officially reported consumer price index. Given the lack of verifiable information, objective sources have not observed data that would support designating Argentina as “Highly Inflationary.” The Company is closely monitoring the work of the IMF and the price index information that becomes available. As of March 31, 2015, we had a net monetary asset position denominated in Argentina pesos of $111 million, comprised primarily of accounts receivable and current liabilities.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net was $120 million for the three months ended March 31, 2015 compared to $126 million for the three months ended March 31, 2014, respectively. Interest expense for the three months ended March 31, 2015 decreased primarily due to a decrease in our debt balance and the recent redemption of certain senior notes.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49"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We estimate our annual effective tax rate based on year-to-date operating results and our forecast of operating results for the remainder of the year, by jurisdiction, and apply this rate to the year-to-date operating results. If our actual results, by jurisdiction, differ from the forecasted operating results, our effective tax rate can change affecting the tax expense for both successive interim results as well as the annual tax results. For the three months ended March 31, 2015, we had zero tax provision on a loss before income taxes of $107 million. Our results for the three months ended March 31, 2015 were impacted by discrete loss before tax items, including restructuring charges of $41 million and devaluation of Venezuela Bolivar of $26 million, all with no significant tax benefit.</w:t>
      </w:r>
    </w:p>
    <w:p>
      <w:pPr>
        <w:spacing w:after="0" w:line="193"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by approximately $14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For the three months ended March 31, 2014, we had a tax provision of $27 million on a loss before income taxes of $5 million. Our results were impacted by discrete income before tax items, including restructuring charges and project losses of approximately $116 million, with no significant tax benefit.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fourth quarter of 2014, in response to the significant decline in the price of crude oil and our anticipation of a lower level of exploration and production spending in 2015, we initiated a plan to reduce our overall costs and workforce to better align with anticipated activity levels. This cost reduction plan (the “2015 Plan”) includes a workforce reduction and other cost reduction measures initiated across our geographic regions. In connection with the 2015 Plan, we recognized restructuring charges of $41 million in the three months ended March 31, 2015. Our restructuring charges include termination (severance) benefits of $40 million and other restructuring charges of $1 million. Other restructuring charges include contract termination costs, relocation and other associated costs. Separately, we plan to shut down and consolidate 60 operating facilities across North America by the end of the year.</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2014, we announced a cost reduction plan (the “2014 Plan”), which included a worldwide workforce reduction and other cost reduction measures. The 2014 Plan resulted in restructuring charges of $70 million related to termination (severance) benefits in the three months ended March 31, 2014. As of December 31, 2014, we completed our planned headcount reductions and closures of underperforming operating locations in connection with the 2014 Plan.</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tables present the components of the 2015 Plan and the 2014 Plan restructuring charges by segment for three months ended March 31, 2015 and 2014.</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6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2"/>
              </w:rPr>
              <w:t>Three Months Ended March 31, 2015</w:t>
            </w:r>
          </w:p>
        </w:tc>
      </w:tr>
      <w:tr>
        <w:trPr>
          <w:trHeight w:val="27"/>
        </w:trPr>
        <w:tc>
          <w:tcPr>
            <w:tcW w:w="5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3"/>
                <w:szCs w:val="23"/>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2015 Plan</w:t>
            </w:r>
          </w:p>
        </w:tc>
        <w:tc>
          <w:tcPr>
            <w:tcW w:w="380" w:type="dxa"/>
            <w:vAlign w:val="bottom"/>
          </w:tcPr>
          <w:p>
            <w:pPr>
              <w:spacing w:after="0"/>
              <w:rPr>
                <w:sz w:val="23"/>
                <w:szCs w:val="23"/>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5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33</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42"/>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0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2"/>
              </w:rPr>
              <w:t>Three Months Ended March 31, 2014</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2014 Plan</w:t>
            </w:r>
          </w:p>
        </w:tc>
        <w:tc>
          <w:tcPr>
            <w:tcW w:w="340" w:type="dxa"/>
            <w:vAlign w:val="bottom"/>
          </w:tcPr>
          <w:p>
            <w:pPr>
              <w:spacing w:after="0"/>
              <w:rPr>
                <w:sz w:val="23"/>
                <w:szCs w:val="23"/>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57"/>
        </w:trPr>
        <w:tc>
          <w:tcPr>
            <w:tcW w:w="220" w:type="dxa"/>
            <w:vAlign w:val="bottom"/>
          </w:tcPr>
          <w:p>
            <w:pPr>
              <w:spacing w:after="0"/>
              <w:rPr>
                <w:sz w:val="22"/>
                <w:szCs w:val="22"/>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2015, we had cash and cash equivalents of $512 million compared to $474 million at December 31, 2014. At March 31, 2015, cash and cash equivalents reflected a negative impact of $12 million due to the devaluation of the Venezuelan bolivar related to the adoption of the new Venezuelan currency exchange system called the SIMADI, which replaced the SICAD II exchange. The following table summarizes cash flows provided by (used in) each type of activity, for the three months ended March 31, 2015 and 2014:</w:t>
      </w:r>
    </w:p>
    <w:p>
      <w:pPr>
        <w:spacing w:after="0" w:line="129"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34290</wp:posOffset>
            </wp:positionV>
            <wp:extent cx="2487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24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52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r>
      <w:tr>
        <w:trPr>
          <w:trHeight w:val="27"/>
        </w:trPr>
        <w:tc>
          <w:tcPr>
            <w:tcW w:w="5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5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
        </w:trPr>
        <w:tc>
          <w:tcPr>
            <w:tcW w:w="5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5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r>
      <w:tr>
        <w:trPr>
          <w:trHeight w:val="27"/>
        </w:trPr>
        <w:tc>
          <w:tcPr>
            <w:tcW w:w="524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March 31, 2015, cash used in operating activities was $42 million compared to $406 million in the three months ended March 31, 2014. The improvement in operating cash flow in 2015 compared to 2014 was attributable to improved cash flow from working capital and the absence of $253 million in government settlement payments made in 2014. These improvements were partially offset by a decline of income associated with the significant decline in oil prices and drilling activity.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primary driver of our investing cash flow activities is capital expenditures for property, plant and equipment. Capital expenditures were $224 million for the three months ended March 31, 2015 and $286 million for the three months ended March 31, 2014. The amount we spend for capital expenditures varies each year based on the type of contracts in which we enter, our asset availability and our expectations with respect to industry activity levels in the following year.</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did not complete any dispositions in the three months ended March 31, 2015 and received proceeds from dispositions of $14 million for the three months ended March 31, 2014. We did not complete any acquisitions in the three months ended March 31, 2015 and 2014. While we expect to continue to make business acquisitions when strategically advantageous, our current focus is on disposition of businesses or capital assets that are no longer core to our long-term strategy.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32"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financing activities primarily consisted of the borrowing and repayment of short-term and long-term debt. Our short-term borrowings, net of repayments were $479 million in the three months ended March 31, 2015 and $625 million in the three months ended March 31, 2014. Total net long-term debt repayments were $154 million in the three months ended March 31, 2015 compared to total net long-term debt repayments of $17 million in three months ended March 31, 2014. In the first three months of 2015, through a series of open market transactions, we repurchased certain of our 4.5% senior notes, 5.95% senior notes, 6.5% senior notes and 6.75% senior notes with a total book value of $160 million. We recognized a cumulative gain of approximately $12 million on these transactions.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sources of available liquidity include cash and cash equivalent balances, cash generated from operations, dispositions, commercial paper and availabilities under committed lines of credit. We also historically have accessed banks for short-term loans from uncommitted borrowing arrangements and have accessed the capital markets with debt, equity and convertible bond offerings. From time to time we may enter into transactions to factor accounts receivable or dispose of businesses or capital assets that are no longer core to our long-term strategy. From time to time we may enter into transactions to factor accounts receivable.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Committed Borrowing Facility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a $2.25 billion unsecured, revolving credit agreement (the “Credit Agreement”) with JPMorgan Chase Bank, N.A., as administrative agent, scheduled to mature July 13, 2016. The Credit Agreement can be used for a combination of borrowings, support for our $2.25 billion commercial paper program and issuances of letters of credit. This agreement requires that we maintain a debt-to-total capitalization ratio of less than 60%. We were in compliance with this covenant at March 31,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availability under the Credit Agreement at March 31, 2015 (dollars in millions):</w:t>
      </w:r>
    </w:p>
    <w:p>
      <w:pPr>
        <w:spacing w:after="0" w:line="158" w:lineRule="exact"/>
        <w:rPr>
          <w:sz w:val="20"/>
          <w:szCs w:val="20"/>
          <w:color w:val="auto"/>
        </w:rPr>
      </w:pPr>
    </w:p>
    <w:tbl>
      <w:tblPr>
        <w:tblLayout w:type="fixed"/>
        <w:tblInd w:w="2960" w:type="dxa"/>
        <w:tblCellMar>
          <w:top w:w="0" w:type="dxa"/>
          <w:left w:w="0" w:type="dxa"/>
          <w:bottom w:w="0" w:type="dxa"/>
          <w:right w:w="0" w:type="dxa"/>
        </w:tblCellMar>
      </w:tblPr>
      <w:tr>
        <w:trPr>
          <w:trHeight w:val="270"/>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Facility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Less uses of facility:</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Letters of credit</w:t>
            </w: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57"/>
        </w:trPr>
        <w:tc>
          <w:tcPr>
            <w:tcW w:w="4520" w:type="dxa"/>
            <w:vAlign w:val="bottom"/>
          </w:tcPr>
          <w:p>
            <w:pPr>
              <w:ind w:left="40"/>
              <w:spacing w:after="0"/>
              <w:rPr>
                <w:sz w:val="20"/>
                <w:szCs w:val="20"/>
                <w:color w:val="auto"/>
              </w:rPr>
            </w:pPr>
            <w:r>
              <w:rPr>
                <w:rFonts w:ascii="Arial" w:cs="Arial" w:eastAsia="Arial" w:hAnsi="Arial"/>
                <w:sz w:val="18"/>
                <w:szCs w:val="18"/>
                <w:color w:val="auto"/>
              </w:rPr>
              <w:t>Availability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w:t>
            </w: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364-Day Term Loan Facility</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March 31, 2015, we had a $400 million, 364-day term loan facility with a syndicate of banks that matured on April 9, 2015. As of March 31, 2015, we had borrowing of $175 million drawn on this facility. The 364-day term loan facility included the same debt-to-capitalization requirement that is contained in our Credit Agreement, with which we are in compliance. On April 9, 2015, we paid the outstanding balance of $175 million on this term loan facility.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short-term borrowings with various domestic and international institutions pursuant to uncommitted and letter of credit facilities. At March 31, 2015, we had $228 million in short-term borrowings under these arrangements, including $180 million borrowed under a credit agreement entered into in March 2014 that matures on March 20, 2016, with a Libor-based interest rate of 1.57% as of March 31, 2015. In the first three months of 2015, through a series of open market transactions, we repurchased certain of our 4.5% senior notes, 5.95% senior notes, 6.5% senior notes and 6.75% senior notes with a total book value of $160 million. We recognized a cumulative gain of approximately $12 million on these transactions.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9"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Standard &amp; Poor’s Ratings Services’ credit rating on our senior unsecured debt is currently BBB- and our short-term rating is A-3. On March 11, 2015, S&amp;P removed us from Credit Watch with negative implications and changed our outlook to negative. Our Moody’s Investors Ratings Services’ credit rating on our unsecured debt is currently Baa3 and our short-term rating is P-3. On March 24, 2015, Moody Investors changed our outlook from stable to negative. On April 15, 2015, Fitch Ratings has assigned credit rating on our senior unsecured debt of BBB- and our short-term rating of F3, and a negative outlook. We have access and expect we will continue to have access to credit markets, including the U.S. commercial paper market, although the commercial paper amounts outstanding may be reduced as a result of a negative rating change. We expect to utilize the Credit Agreement or other facilities to supplement commercial paper borrowings as needed.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During 2015, we anticipate our cash requirements will include payments for capital expenditures, repayment of debt, including our 364-day term loan facility, interest payments on our outstanding debt and payments for short-term working capital needs. Our cash requirements may also include opportunistic debt repurchases, business acquisitions and amounts to settle litigation related matters. We anticipate funding these requirements from cash generated from operations, availability under our existing or additional credit facilities, the issuance of commercial paper and, if completed, proceeds from disposals of businesses or capital assets that are no longer closely aligned with our core long-term growth strategy. We anticipate that cash generated from operations will be augmented by working capital improvements driven by capital discipline and the collection of receivables. Capital expenditures for 2015 are currently projected to be approximately $850 million. The amounts we ultimately spend will depend on a number of factors including the type of contracts we enter into, asset availability and our expectations with respect to industry activity levels in 2015. Expenditures are expected to be used primarily to support anticipated near-term growth of our core businesses and our sources of liquidity are anticipated to be sufficient to meet our needs. Capital expenditures were $224 million for the three months ended March 31, 2015. Cash and cash equivalent of $512 million at March 31, 2015, are held by subsidiaries outside of Ireland. Based on the nature of our structure, we are generally able to redeploy cash with no incremental tax.</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Ireland guarantees the obligations of our subsidiaries Weatherford Bermuda and Weatherford Delaware, including the notes and credit facilities listed below.</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March 31, 2015 and December 31, 2014: (1) 6.35% senior notes and (2) 6.80% senior notes.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obligations of Weatherford Bermuda were guaranteed by Weatherford Delaware at March 31, 2015 and December 31, 2014: (1) revolving credit facility, (2) 5.50% senior notes, (3) 6.50% senior notes, (4) 6.00% senior notes, (5) 7.00% senior notes, (6) 9.625% senior notes, (7) 9.875% senior notes, (8) 5.125% senior notes, (9) 6.75% senior notes, (10) 4.50% senior notes and (11) 5.95% senior notes. In 2014, we refinanced the 364-day term loan facility with a new 364-day term loan facility, which is an obligation of Weatherford Bermuda, and is also guaranteed by Weatherford Delaware as of December 31, 2014.</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certain of these guarantee arrangements, we are required to present condensed consolidating financial information. See guarantor financial information presented in “Note 17 – Condensed Consolidating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use letters of credit and performance and bid bonds in the normal course of our business. As of March 31, 2015, we had $879 million of letters of credit and performance and bid bonds outstanding, consisting of $573 million outstanding under various uncommitted credit facilities, $28 million of letters of credit outstanding under our Credit Agreement and $278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9"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the associated debt. As of March 31, 2015, we had net unamortized gains of $31 million associated with interest rate swap terminations. These gains are being amortized over the remaining term of the originally hedged debt as a reduction in interest expense. See “Note 9 – Derivative Instruments” to our Condensed Consolidated Financial Statements for additional details.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Derivative Instruments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enter into contracts to hedge our exposure to currency fluctuations in various foreign currencies. At March 31, 2015 and December 31, 2014, we had outstanding foreign currency forward contracts with notional amounts aggregating $1.3 billion and $1.6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are calculated by reference to the notional amounts and by other terms of the derivative contracts, such as exchange rates.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cross-currency swaps between the U.S. dollar and Canadian dollar to hedge certain exposures to the Canadian dollar. At December 31, 2014, to hedge our exposure to the Canadian dollar, we held cross-currency swaps between the U.S. dollar and Canadian dollar with a notional amount of $168 million. We settled the cross-currency swap arrangements in the three months ended March 31, 2015 after recognizing a mark-to-market gain of $13 million. We collected $8 million in proceeds upon settlement.</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foreign currency forward contracts and cross-currency swaps were not designated as hedges, and the changes in fair value of the contracts are recorded each period in current earnings in the line captioned “Other, Net” on the accompanying Condensed Consolidated Statements of Operations.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Form 10-K for the year ended December 31, 2014.</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16 – New Accounting Pronouncements” to our Condensed Consolidated Financial Statements, included elsewhere in this report.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report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“Item 1A. – Risk Factors” and the following:</w:t>
      </w:r>
    </w:p>
    <w:p>
      <w:pPr>
        <w:spacing w:after="0" w:line="182"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price volatility of oil, natural gas and natural gas liquids, including the impact of the recent and significant decline in the price of crude oil;</w:t>
      </w:r>
    </w:p>
    <w:p>
      <w:pPr>
        <w:spacing w:after="0" w:line="86"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2014 and 2015 cost reduction plans;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member-country quota compliance within OPEC;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74" w:lineRule="exact"/>
        <w:rPr>
          <w:rFonts w:ascii="Arial" w:cs="Arial" w:eastAsia="Arial" w:hAnsi="Arial"/>
          <w:sz w:val="17"/>
          <w:szCs w:val="17"/>
          <w:color w:val="auto"/>
        </w:rPr>
      </w:pPr>
    </w:p>
    <w:p>
      <w:pPr>
        <w:ind w:left="980" w:right="1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access to capital or significantly higher cost of capital related to liquidity or uncertainty in the domestic or international financial markets.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quantitative and qualitative disclosures about market risk, see “Part II – Item 7A.– Quantitative and Qualitative Disclosures about Market Risk,” in our Annual Report on Form 10-K for the fiscal year ended December 31, 2014. Our exposure to market risk has not changed materially since December 31, 2014, except as described below.</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Rates and Inflationary Impacts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new Venezuelan currency exchange system, known as the “Marginal Currency System” (or “SIMADI”), opened for trading February 12, 2015, replacing the Venezuela’s Supplementary Foreign Currency Administration System auction rate (“SICAD”) mechanism. The SIMADI is intended to provide limited access to a free market rate of exchange. In the first quarter of 2015, we recognized remeasurement charges of $26 million and will continue to monitor the impact on our financial statements of the evolving Venezuela exchange rate. At March 31, 2015 our net monetary asset position denominated in Venezuelan bolivar was approximately $11 million.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Highly Inflationary Country</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has noted the concerns raised by the International Monetary Fund (“IMF”) relating to the accuracy of Argentina’s officially reported consumer price index. Given the lack of verifiable information, objective sources have not observed data that would support designating Argentina as “Highly Inflationary.” The Company is closely monitoring the work of the IMF and the price index information that becomes available. As of March 31, 2015, we had a net monetary asset position denominated in Argentina pesos of $111 million, comprised primarily of accounts receivable and current liabilities.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March 31, 2015. Based on that evaluation, our CEO and CFO concluded that our disclosure controls and procedures were effective as of March 31, 2015.</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first quarter ended March 31, 2015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9"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15 – Disputes, Litigation and Contingencies” to our Condensed Consolidated Financial Statements included elsewhere 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most recent Annual Report on Form 10-K, Part I, under the heading “Item 1A. – Risk Factors” and other information included and incorporated by reference in this report. There have been no material changes in our assessment of our risk factors from those set forth in our Annual Report on Form 10-K for the fiscal year ended December 31,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49"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2"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Performance Units Award Agreement pursuant to the Weatherford International plc 2010 Omnibus Incentive Plan</w:t>
      </w:r>
    </w:p>
    <w:p>
      <w:pPr>
        <w:spacing w:after="0" w:line="63"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Section 302 of the Sarbanes-Oxley Act of 2002.</w:t>
      </w:r>
    </w:p>
    <w:p>
      <w:pPr>
        <w:spacing w:after="0" w:line="63"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Section 906 of the Sarbanes-Oxley Act of 2002.</w:t>
      </w:r>
    </w:p>
    <w:p>
      <w:pPr>
        <w:spacing w:after="0" w:line="63" w:lineRule="exact"/>
        <w:rPr>
          <w:sz w:val="20"/>
          <w:szCs w:val="20"/>
          <w:color w:val="auto"/>
        </w:rPr>
      </w:pPr>
    </w:p>
    <w:p>
      <w:pPr>
        <w:ind w:left="1180" w:hanging="879"/>
        <w:spacing w:after="0" w:line="257"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Weatherford International plc's Quarterly Report on Form 10-Q for the quarter ended March 31, 2015, formatted in XBRL (eXtensible Business Reporting Language): (1) the unaudited Condensed Consolidated Balance Sheets, (2) the unaudited Condensed Consolidated Statements of Operations, (3) the unaudited Condensed Consolidated Statements of Comprehensive Income (Loss), (4) the unaudited Condensed Consolidated Statements of Cash Flows, and (5) the related notes to the unaudited Condensed Consolidated Financial Statements.</w:t>
      </w:r>
    </w:p>
    <w:p>
      <w:pPr>
        <w:spacing w:after="0" w:line="200" w:lineRule="exact"/>
        <w:rPr>
          <w:sz w:val="20"/>
          <w:szCs w:val="20"/>
          <w:color w:val="auto"/>
        </w:rPr>
      </w:pPr>
    </w:p>
    <w:p>
      <w:pPr>
        <w:spacing w:after="0" w:line="285" w:lineRule="exact"/>
        <w:rPr>
          <w:sz w:val="20"/>
          <w:szCs w:val="20"/>
          <w:color w:val="auto"/>
        </w:rPr>
      </w:pPr>
    </w:p>
    <w:p>
      <w:pPr>
        <w:ind w:left="1040" w:hanging="100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Management contract or compensatory plan or arrangement.</w:t>
      </w:r>
    </w:p>
    <w:p>
      <w:pPr>
        <w:spacing w:after="0" w:line="63" w:lineRule="exact"/>
        <w:rPr>
          <w:sz w:val="20"/>
          <w:szCs w:val="20"/>
          <w:color w:val="auto"/>
        </w:rPr>
      </w:pPr>
    </w:p>
    <w:p>
      <w:pPr>
        <w:ind w:left="1040" w:hanging="100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Submitted pursuant to Rule 405 and 406T of Regulation S-T.</w:t>
      </w:r>
    </w:p>
    <w:p>
      <w:pPr>
        <w:spacing w:after="0" w:line="63" w:lineRule="exact"/>
        <w:rPr>
          <w:sz w:val="20"/>
          <w:szCs w:val="20"/>
          <w:color w:val="auto"/>
        </w:rPr>
      </w:pPr>
    </w:p>
    <w:p>
      <w:pPr>
        <w:ind w:left="1040" w:hanging="100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Filed herewith.</w:t>
      </w:r>
    </w:p>
    <w:p>
      <w:pPr>
        <w:spacing w:after="0" w:line="63" w:lineRule="exact"/>
        <w:rPr>
          <w:sz w:val="20"/>
          <w:szCs w:val="20"/>
          <w:color w:val="auto"/>
        </w:rPr>
      </w:pPr>
    </w:p>
    <w:p>
      <w:pPr>
        <w:ind w:left="1040" w:hanging="100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240" w:top="449" w:right="4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160" w:type="dxa"/>
            <w:vAlign w:val="bottom"/>
          </w:tcPr>
          <w:p>
            <w:pPr>
              <w:spacing w:after="0"/>
              <w:rPr>
                <w:sz w:val="20"/>
                <w:szCs w:val="20"/>
                <w:color w:val="auto"/>
              </w:rPr>
            </w:pPr>
            <w:r>
              <w:rPr>
                <w:rFonts w:ascii="Arial" w:cs="Arial" w:eastAsia="Arial" w:hAnsi="Arial"/>
                <w:sz w:val="18"/>
                <w:szCs w:val="18"/>
                <w:color w:val="auto"/>
              </w:rPr>
              <w:t>Date: April 24, 2015</w:t>
            </w:r>
          </w:p>
        </w:tc>
        <w:tc>
          <w:tcPr>
            <w:tcW w:w="6020" w:type="dxa"/>
            <w:vAlign w:val="bottom"/>
            <w:gridSpan w:val="2"/>
          </w:tcPr>
          <w:p>
            <w:pPr>
              <w:ind w:left="1680"/>
              <w:spacing w:after="0"/>
              <w:rPr>
                <w:sz w:val="20"/>
                <w:szCs w:val="20"/>
                <w:color w:val="auto"/>
              </w:rPr>
            </w:pPr>
            <w:r>
              <w:rPr>
                <w:rFonts w:ascii="Arial" w:cs="Arial" w:eastAsia="Arial" w:hAnsi="Arial"/>
                <w:sz w:val="18"/>
                <w:szCs w:val="18"/>
                <w:color w:val="auto"/>
              </w:rPr>
              <w:t>By: /s/ Bernard J. Duroc-Danner</w:t>
            </w:r>
          </w:p>
        </w:tc>
      </w:tr>
      <w:tr>
        <w:trPr>
          <w:trHeight w:val="27"/>
        </w:trPr>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Bernard J. Duroc-Danner</w:t>
            </w:r>
          </w:p>
        </w:tc>
      </w:tr>
      <w:tr>
        <w:trPr>
          <w:trHeight w:val="270"/>
        </w:trPr>
        <w:tc>
          <w:tcPr>
            <w:tcW w:w="3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3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918"/>
        </w:trPr>
        <w:tc>
          <w:tcPr>
            <w:tcW w:w="3160" w:type="dxa"/>
            <w:vAlign w:val="bottom"/>
          </w:tcPr>
          <w:p>
            <w:pPr>
              <w:spacing w:after="0"/>
              <w:rPr>
                <w:sz w:val="20"/>
                <w:szCs w:val="20"/>
                <w:color w:val="auto"/>
              </w:rPr>
            </w:pPr>
            <w:r>
              <w:rPr>
                <w:rFonts w:ascii="Arial" w:cs="Arial" w:eastAsia="Arial" w:hAnsi="Arial"/>
                <w:sz w:val="18"/>
                <w:szCs w:val="18"/>
                <w:color w:val="auto"/>
              </w:rPr>
              <w:t>Date: April 24, 2015</w:t>
            </w:r>
          </w:p>
        </w:tc>
        <w:tc>
          <w:tcPr>
            <w:tcW w:w="6020" w:type="dxa"/>
            <w:vAlign w:val="bottom"/>
            <w:gridSpan w:val="2"/>
          </w:tcPr>
          <w:p>
            <w:pPr>
              <w:ind w:left="1680"/>
              <w:spacing w:after="0"/>
              <w:rPr>
                <w:sz w:val="20"/>
                <w:szCs w:val="20"/>
                <w:color w:val="auto"/>
              </w:rPr>
            </w:pPr>
            <w:r>
              <w:rPr>
                <w:rFonts w:ascii="Arial" w:cs="Arial" w:eastAsia="Arial" w:hAnsi="Arial"/>
                <w:sz w:val="18"/>
                <w:szCs w:val="18"/>
                <w:color w:val="auto"/>
              </w:rPr>
              <w:t>By: /s/ Krishna Shivram</w:t>
            </w:r>
          </w:p>
        </w:tc>
      </w:tr>
      <w:tr>
        <w:trPr>
          <w:trHeight w:val="27"/>
        </w:trPr>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Krishna Shivram</w:t>
            </w:r>
          </w:p>
        </w:tc>
      </w:tr>
      <w:tr>
        <w:trPr>
          <w:trHeight w:val="270"/>
        </w:trPr>
        <w:tc>
          <w:tcPr>
            <w:tcW w:w="3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620"/>
          </w:cols>
          <w:pgMar w:left="240" w:top="449" w:right="1039" w:bottom="1440" w:gutter="0" w:footer="0" w:header="0"/>
        </w:sectPr>
      </w:pPr>
    </w:p>
    <w:bookmarkStart w:id="43" w:name="page44"/>
    <w:bookmarkEnd w:id="43"/>
    <w:p>
      <w:pPr>
        <w:ind w:left="1048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WEATHERFORD INTERNATIONAL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INCENTIVE PLAN</w:t>
      </w:r>
    </w:p>
    <w:p>
      <w:pPr>
        <w:jc w:val="center"/>
        <w:spacing w:after="0"/>
        <w:rPr>
          <w:sz w:val="20"/>
          <w:szCs w:val="20"/>
          <w:color w:val="auto"/>
        </w:rPr>
      </w:pPr>
      <w:r>
        <w:rPr>
          <w:rFonts w:ascii="Arial" w:cs="Arial" w:eastAsia="Arial" w:hAnsi="Arial"/>
          <w:sz w:val="20"/>
          <w:szCs w:val="20"/>
          <w:b w:val="1"/>
          <w:bCs w:val="1"/>
          <w:color w:val="auto"/>
        </w:rPr>
        <w:t>(as amended and restated on June 17,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UNITS AWARD AGREEMENT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(Shareholder Return)</w:t>
      </w:r>
    </w:p>
    <w:p>
      <w:pPr>
        <w:ind w:right="100"/>
        <w:spacing w:after="0" w:line="266" w:lineRule="auto"/>
        <w:rPr>
          <w:sz w:val="20"/>
          <w:szCs w:val="20"/>
          <w:color w:val="auto"/>
        </w:rPr>
      </w:pPr>
      <w:r>
        <w:rPr>
          <w:rFonts w:ascii="Arial" w:cs="Arial" w:eastAsia="Arial" w:hAnsi="Arial"/>
          <w:sz w:val="18"/>
          <w:szCs w:val="18"/>
          <w:b w:val="1"/>
          <w:bCs w:val="1"/>
          <w:color w:val="auto"/>
        </w:rPr>
        <w:t xml:space="preserve">THIS PERFORMANCE UNIT AWARD AGREEMENT, </w:t>
      </w:r>
      <w:r>
        <w:rPr>
          <w:rFonts w:ascii="Arial" w:cs="Arial" w:eastAsia="Arial" w:hAnsi="Arial"/>
          <w:sz w:val="18"/>
          <w:szCs w:val="18"/>
          <w:color w:val="auto"/>
        </w:rPr>
        <w:t>including any country-specific terms set forth to an appendix attached hereto (this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by and between Weatherford International plc, an Irish public limited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w:t>
      </w:r>
    </w:p>
    <w:p>
      <w:pPr>
        <w:spacing w:after="0"/>
        <w:rPr>
          <w:sz w:val="20"/>
          <w:szCs w:val="20"/>
          <w:color w:val="auto"/>
        </w:rPr>
      </w:pPr>
      <w:r>
        <w:rPr>
          <w:rFonts w:ascii="Arial" w:cs="Arial" w:eastAsia="Arial" w:hAnsi="Arial"/>
          <w:sz w:val="19"/>
          <w:szCs w:val="19"/>
          <w:color w:val="auto"/>
        </w:rPr>
        <w:t>_______________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xml:space="preserve">”) effective as of </w:t>
      </w:r>
      <w:r>
        <w:rPr>
          <w:rFonts w:ascii="Arial" w:cs="Arial" w:eastAsia="Arial" w:hAnsi="Arial"/>
          <w:sz w:val="19"/>
          <w:szCs w:val="19"/>
          <w:b w:val="1"/>
          <w:bCs w:val="1"/>
          <w:color w:val="auto"/>
        </w:rPr>
        <w:t>_____________, 20___</w:t>
      </w:r>
      <w:r>
        <w:rPr>
          <w:rFonts w:ascii="Arial" w:cs="Arial" w:eastAsia="Arial" w:hAnsi="Arial"/>
          <w:sz w:val="19"/>
          <w:szCs w:val="19"/>
          <w:color w:val="auto"/>
        </w:rPr>
        <w:t>, pursuant to the Weatherford International plc 2010 Omnibus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Incentive Plan, as amended and restated on June 17, 2014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is incorporated by reference herein in its entirety.</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grant to the Holder Performance Unit Awards (the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under the Plan, subject to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this Agreement; and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Holder desires to have the opportunity to hold the Units subject to the terms and conditions of this Agreement;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mutual covenants and agreements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intending to be legally bound hereby, agree as follows:</w:t>
      </w:r>
    </w:p>
    <w:p>
      <w:pPr>
        <w:spacing w:after="0" w:line="191" w:lineRule="exact"/>
        <w:rPr>
          <w:sz w:val="20"/>
          <w:szCs w:val="20"/>
          <w:color w:val="auto"/>
        </w:rPr>
      </w:pPr>
    </w:p>
    <w:p>
      <w:pPr>
        <w:jc w:val="both"/>
        <w:ind w:left="660" w:hanging="652"/>
        <w:spacing w:after="0" w:line="273" w:lineRule="auto"/>
        <w:tabs>
          <w:tab w:leader="none" w:pos="66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Forfeiture Restrictions</w:t>
      </w:r>
      <w:r>
        <w:rPr>
          <w:rFonts w:ascii="Arial" w:cs="Arial" w:eastAsia="Arial" w:hAnsi="Arial"/>
          <w:sz w:val="19"/>
          <w:szCs w:val="19"/>
          <w:color w:val="auto"/>
        </w:rPr>
        <w:t>” shall mean any prohibitions and restrictions set forth herein or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Plan with respect to the sale or other disposition of the Units and the obligation to forfeit such Units to the Company. Capitalized terms not otherwise defined in this Agreement shall have the meanings given to such terms in the Plan.</w:t>
      </w:r>
    </w:p>
    <w:p>
      <w:pPr>
        <w:spacing w:after="0" w:line="172" w:lineRule="exact"/>
        <w:rPr>
          <w:rFonts w:ascii="Arial" w:cs="Arial" w:eastAsia="Arial" w:hAnsi="Arial"/>
          <w:sz w:val="19"/>
          <w:szCs w:val="19"/>
          <w:b w:val="1"/>
          <w:bCs w:val="1"/>
          <w:color w:val="auto"/>
        </w:rPr>
      </w:pPr>
    </w:p>
    <w:p>
      <w:pPr>
        <w:jc w:val="both"/>
        <w:ind w:left="660" w:hanging="652"/>
        <w:spacing w:after="0" w:line="312" w:lineRule="auto"/>
        <w:tabs>
          <w:tab w:leader="none" w:pos="6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 of Units</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as of the date of this Agreement and subject to the terms and conditions of the Plan,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grants to the Holder _________ Units. Each Unit shall, upon vesting pursuant to Section 4 and subject to the Performance Goal set out in Annex A to this Agreement, be convertible into between 0.0 and 2.0 Shares (such amount being the “</w:t>
      </w:r>
      <w:r>
        <w:rPr>
          <w:rFonts w:ascii="Arial" w:cs="Arial" w:eastAsia="Arial" w:hAnsi="Arial"/>
          <w:sz w:val="16"/>
          <w:szCs w:val="16"/>
          <w:b w:val="1"/>
          <w:bCs w:val="1"/>
          <w:i w:val="1"/>
          <w:iCs w:val="1"/>
          <w:color w:val="auto"/>
        </w:rPr>
        <w:t>Performance Multiplier</w:t>
      </w:r>
      <w:r>
        <w:rPr>
          <w:rFonts w:ascii="Arial" w:cs="Arial" w:eastAsia="Arial" w:hAnsi="Arial"/>
          <w:sz w:val="16"/>
          <w:szCs w:val="16"/>
          <w:color w:val="auto"/>
        </w:rPr>
        <w:t>”), depending on the level of achievement of the Performance Goal on the Performance Measurement Date. The Company and the Holder agree that this Agreement, (including any country-specific appendix thereto) shall complete the terms of the Units. As used herein, “</w:t>
      </w:r>
      <w:r>
        <w:rPr>
          <w:rFonts w:ascii="Arial" w:cs="Arial" w:eastAsia="Arial" w:hAnsi="Arial"/>
          <w:sz w:val="16"/>
          <w:szCs w:val="16"/>
          <w:b w:val="1"/>
          <w:bCs w:val="1"/>
          <w:i w:val="1"/>
          <w:iCs w:val="1"/>
          <w:color w:val="auto"/>
        </w:rPr>
        <w:t>Performance Measurement Date</w:t>
      </w:r>
      <w:r>
        <w:rPr>
          <w:rFonts w:ascii="Arial" w:cs="Arial" w:eastAsia="Arial" w:hAnsi="Arial"/>
          <w:sz w:val="16"/>
          <w:szCs w:val="16"/>
          <w:color w:val="auto"/>
        </w:rPr>
        <w:t>” means the last trading day in each of the years ending ______, _______ and ______, provided, however, that if any Vesting Date occurs pursuant to Section 4(b) below, then the Performance Measurement Date shall be the twenty NYSE trading days ending on the date immediately preceding the Vesting Date and the Performance Goal and Performance Multiplier shall be calculated using the volume weighted average price per share of the Company’s Ordinary Shares during such period.</w:t>
      </w:r>
    </w:p>
    <w:p>
      <w:pPr>
        <w:spacing w:after="0" w:line="382" w:lineRule="exact"/>
        <w:rPr>
          <w:rFonts w:ascii="Arial" w:cs="Arial" w:eastAsia="Arial" w:hAnsi="Arial"/>
          <w:sz w:val="16"/>
          <w:szCs w:val="16"/>
          <w:b w:val="1"/>
          <w:bCs w:val="1"/>
          <w:color w:val="auto"/>
        </w:rPr>
      </w:pPr>
    </w:p>
    <w:p>
      <w:pPr>
        <w:jc w:val="both"/>
        <w:ind w:left="660" w:hanging="652"/>
        <w:spacing w:after="0" w:line="248" w:lineRule="auto"/>
        <w:tabs>
          <w:tab w:leader="none" w:pos="66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Transfer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specified herein or in the Plan, the Units may not be sold, assigned, pledged,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hypothecated or otherwise transferred, encumbered or disposed of. Any such attempted sale, assignment, pledge, exchange, hypothecation, transfer, encumbrance or disposition in violation of this Agreement or the Plan shall be void, and the Company shall not be bound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900"/>
        <w:spacing w:after="0"/>
        <w:tabs>
          <w:tab w:leader="none" w:pos="430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5"/>
          <w:szCs w:val="15"/>
          <w:color w:val="auto"/>
        </w:rPr>
        <w:t>2010 Plan; Officer PUA Agreement</w:t>
      </w:r>
    </w:p>
    <w:p>
      <w:pPr>
        <w:sectPr>
          <w:pgSz w:w="11900" w:h="16838" w:orient="portrait"/>
          <w:cols w:equalWidth="0" w:num="1">
            <w:col w:w="11420"/>
          </w:cols>
          <w:pgMar w:left="240" w:top="351" w:right="239" w:bottom="1440" w:gutter="0" w:footer="0" w:header="0"/>
        </w:sectPr>
      </w:pPr>
    </w:p>
    <w:bookmarkStart w:id="44" w:name="page45"/>
    <w:bookmarkEnd w:id="44"/>
    <w:p>
      <w:pPr>
        <w:ind w:left="652" w:hanging="652"/>
        <w:spacing w:after="0"/>
        <w:tabs>
          <w:tab w:leader="none" w:pos="652"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Vesting or Forfeiture</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ind w:left="1132" w:hanging="484"/>
        <w:spacing w:after="0" w:line="287" w:lineRule="auto"/>
        <w:tabs>
          <w:tab w:leader="none" w:pos="1132" w:val="left"/>
        </w:tabs>
        <w:numPr>
          <w:ilvl w:val="1"/>
          <w:numId w:val="16"/>
        </w:numPr>
        <w:rPr>
          <w:rFonts w:ascii="Arial" w:cs="Arial" w:eastAsia="Arial" w:hAnsi="Arial"/>
          <w:sz w:val="19"/>
          <w:szCs w:val="19"/>
          <w:color w:val="auto"/>
        </w:rPr>
      </w:pPr>
      <w:r>
        <w:rPr>
          <w:rFonts w:ascii="Arial" w:cs="Arial" w:eastAsia="Arial" w:hAnsi="Arial"/>
          <w:sz w:val="19"/>
          <w:szCs w:val="19"/>
          <w:color w:val="auto"/>
        </w:rPr>
        <w:t>Except as specified otherwise in this Section 4, the Units shall be subject to Forfeiture Restrictions, which shall lapse in accordance with the following schedule provided that the Units have not been forfeited to the Company prior to:</w:t>
      </w:r>
    </w:p>
    <w:p>
      <w:pPr>
        <w:spacing w:after="0" w:line="322" w:lineRule="exact"/>
        <w:rPr>
          <w:sz w:val="20"/>
          <w:szCs w:val="20"/>
          <w:color w:val="auto"/>
        </w:rPr>
      </w:pPr>
    </w:p>
    <w:tbl>
      <w:tblPr>
        <w:tblLayout w:type="fixed"/>
        <w:tblInd w:w="1332" w:type="dxa"/>
        <w:tblCellMar>
          <w:top w:w="0" w:type="dxa"/>
          <w:left w:w="0" w:type="dxa"/>
          <w:bottom w:w="0" w:type="dxa"/>
          <w:right w:w="0" w:type="dxa"/>
        </w:tblCellMar>
      </w:tblPr>
      <w:tr>
        <w:trPr>
          <w:trHeight w:val="230"/>
        </w:trPr>
        <w:tc>
          <w:tcPr>
            <w:tcW w:w="3760" w:type="dxa"/>
            <w:vAlign w:val="bottom"/>
          </w:tcPr>
          <w:p>
            <w:pPr>
              <w:spacing w:after="0"/>
              <w:rPr>
                <w:sz w:val="19"/>
                <w:szCs w:val="19"/>
                <w:color w:val="auto"/>
              </w:rPr>
            </w:pPr>
          </w:p>
        </w:tc>
        <w:tc>
          <w:tcPr>
            <w:tcW w:w="5000" w:type="dxa"/>
            <w:vAlign w:val="bottom"/>
          </w:tcPr>
          <w:p>
            <w:pPr>
              <w:jc w:val="center"/>
              <w:ind w:left="521"/>
              <w:spacing w:after="0"/>
              <w:rPr>
                <w:sz w:val="20"/>
                <w:szCs w:val="20"/>
                <w:color w:val="auto"/>
              </w:rPr>
            </w:pPr>
            <w:r>
              <w:rPr>
                <w:rFonts w:ascii="Arial" w:cs="Arial" w:eastAsia="Arial" w:hAnsi="Arial"/>
                <w:sz w:val="20"/>
                <w:szCs w:val="20"/>
                <w:b w:val="1"/>
                <w:bCs w:val="1"/>
                <w:color w:val="auto"/>
                <w:w w:val="90"/>
              </w:rPr>
              <w:t>Number of Units as to Which Forfeiture</w:t>
            </w:r>
          </w:p>
        </w:tc>
      </w:tr>
      <w:tr>
        <w:trPr>
          <w:trHeight w:val="256"/>
        </w:trPr>
        <w:tc>
          <w:tcPr>
            <w:tcW w:w="3760" w:type="dxa"/>
            <w:vAlign w:val="bottom"/>
          </w:tcPr>
          <w:p>
            <w:pPr>
              <w:ind w:left="1700"/>
              <w:spacing w:after="0"/>
              <w:rPr>
                <w:sz w:val="20"/>
                <w:szCs w:val="20"/>
                <w:color w:val="auto"/>
              </w:rPr>
            </w:pPr>
            <w:r>
              <w:rPr>
                <w:rFonts w:ascii="Arial" w:cs="Arial" w:eastAsia="Arial" w:hAnsi="Arial"/>
                <w:sz w:val="20"/>
                <w:szCs w:val="20"/>
                <w:b w:val="1"/>
                <w:bCs w:val="1"/>
                <w:color w:val="auto"/>
              </w:rPr>
              <w:t>Lapse Date</w:t>
            </w:r>
          </w:p>
        </w:tc>
        <w:tc>
          <w:tcPr>
            <w:tcW w:w="5000" w:type="dxa"/>
            <w:vAlign w:val="bottom"/>
          </w:tcPr>
          <w:p>
            <w:pPr>
              <w:jc w:val="center"/>
              <w:ind w:left="521"/>
              <w:spacing w:after="0"/>
              <w:rPr>
                <w:sz w:val="20"/>
                <w:szCs w:val="20"/>
                <w:color w:val="auto"/>
              </w:rPr>
            </w:pPr>
            <w:r>
              <w:rPr>
                <w:rFonts w:ascii="Arial" w:cs="Arial" w:eastAsia="Arial" w:hAnsi="Arial"/>
                <w:sz w:val="20"/>
                <w:szCs w:val="20"/>
                <w:b w:val="1"/>
                <w:bCs w:val="1"/>
                <w:color w:val="auto"/>
                <w:w w:val="88"/>
              </w:rPr>
              <w:t>Restrictions Lapse</w:t>
            </w:r>
          </w:p>
        </w:tc>
      </w:tr>
      <w:tr>
        <w:trPr>
          <w:trHeight w:val="23"/>
        </w:trPr>
        <w:tc>
          <w:tcPr>
            <w:tcW w:w="376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92"/>
        <w:spacing w:after="0"/>
        <w:rPr>
          <w:sz w:val="20"/>
          <w:szCs w:val="20"/>
          <w:color w:val="auto"/>
        </w:rPr>
      </w:pPr>
      <w:r>
        <w:rPr>
          <w:rFonts w:ascii="Arial" w:cs="Arial" w:eastAsia="Arial" w:hAnsi="Arial"/>
          <w:sz w:val="20"/>
          <w:szCs w:val="20"/>
          <w:color w:val="auto"/>
        </w:rPr>
        <w:t>such lapse date or such earlier date as provided in clause (b) below (the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w:t>
      </w:r>
    </w:p>
    <w:p>
      <w:pPr>
        <w:spacing w:after="0" w:line="229" w:lineRule="exact"/>
        <w:rPr>
          <w:sz w:val="20"/>
          <w:szCs w:val="20"/>
          <w:color w:val="auto"/>
        </w:rPr>
      </w:pPr>
    </w:p>
    <w:p>
      <w:pPr>
        <w:jc w:val="both"/>
        <w:ind w:left="1132" w:hanging="484"/>
        <w:spacing w:after="0" w:line="271" w:lineRule="auto"/>
        <w:tabs>
          <w:tab w:leader="none" w:pos="1132"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Notwithstanding the foregoing, if (i) the Holder’s active employment or affiliation relationship with the Company and its Affiliates is terminated prior to one or more Lapse Dates (1) due to the death or Disability of the Holder, (2) by the Holder for Good Reason (as defined below) or (3) by the Company for any reason other than Cause (as defined below) then, in any such event, the Vesting Date shall be the date of termination of the Holder’s employment or affiliation relationship, or (ii) there is a Change of Control prior to _________________, then the Vesting Date shall be the date immediately preceding such Change of Control. For purposes of this Agreement,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a change in the ownership of the Company, a change in the effective control of the Company or a change in the ownership of a substantial portion of the assets of the Company as described in Section 409A. For purposes of this Agreement, the terms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and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have the meanings provided under the Holder’s Employment Agreement, if any, and in the absence of an Employment Agreement, such terms shall be inapplicable for purposes of this Agreement and any termination of the Holder’s employment other than due to clause (i)(1) of this Section 4(b) shall be governed by Section 4(c) of this Agreement.</w:t>
      </w:r>
    </w:p>
    <w:p>
      <w:pPr>
        <w:spacing w:after="0" w:line="184" w:lineRule="exact"/>
        <w:rPr>
          <w:rFonts w:ascii="Arial" w:cs="Arial" w:eastAsia="Arial" w:hAnsi="Arial"/>
          <w:sz w:val="18"/>
          <w:szCs w:val="18"/>
          <w:color w:val="auto"/>
        </w:rPr>
      </w:pPr>
    </w:p>
    <w:p>
      <w:pPr>
        <w:jc w:val="both"/>
        <w:ind w:left="1132" w:hanging="484"/>
        <w:spacing w:after="0" w:line="258" w:lineRule="auto"/>
        <w:tabs>
          <w:tab w:leader="none" w:pos="1132" w:val="left"/>
        </w:tabs>
        <w:numPr>
          <w:ilvl w:val="1"/>
          <w:numId w:val="17"/>
        </w:numPr>
        <w:rPr>
          <w:rFonts w:ascii="Arial" w:cs="Arial" w:eastAsia="Arial" w:hAnsi="Arial"/>
          <w:sz w:val="19"/>
          <w:szCs w:val="19"/>
          <w:color w:val="auto"/>
        </w:rPr>
      </w:pPr>
      <w:r>
        <w:rPr>
          <w:rFonts w:ascii="Arial" w:cs="Arial" w:eastAsia="Arial" w:hAnsi="Arial"/>
          <w:sz w:val="19"/>
          <w:szCs w:val="19"/>
          <w:color w:val="auto"/>
        </w:rPr>
        <w:t>If the Holder’s employment or affiliation relationship with the Company and its Affiliates terminates prior to the Vesting Date by the Holder for any reason other than Good Reason or by the Company for Cause, then any Forfeiture Restrictions that have not previously lapsed pursuant to the provisions of this Section 4 shall not lapse, and any Units with respect to which the Forfeiture Restrictions have not lapsed shall be forfeited to the Company on the date of the termination of the Holder’s employment or affiliation relationship with the Company and its Affiliates. In the event any Units are forfeited to the Company pursuant to this Agreement, the Company will not be obligated to pay the Holder any consideration whatsoever for the forfeited Units, or rights to receive any consideration for the forfeited Units.</w:t>
      </w:r>
    </w:p>
    <w:p>
      <w:pPr>
        <w:spacing w:after="0" w:line="186" w:lineRule="exact"/>
        <w:rPr>
          <w:rFonts w:ascii="Arial" w:cs="Arial" w:eastAsia="Arial" w:hAnsi="Arial"/>
          <w:sz w:val="19"/>
          <w:szCs w:val="19"/>
          <w:color w:val="auto"/>
        </w:rPr>
      </w:pPr>
    </w:p>
    <w:p>
      <w:pPr>
        <w:jc w:val="both"/>
        <w:ind w:left="652" w:hanging="652"/>
        <w:spacing w:after="0" w:line="253" w:lineRule="auto"/>
        <w:tabs>
          <w:tab w:leader="none" w:pos="652"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Dividend Equivalents</w:t>
      </w:r>
      <w:r>
        <w:rPr>
          <w:rFonts w:ascii="Arial" w:cs="Arial" w:eastAsia="Arial" w:hAnsi="Arial"/>
          <w:sz w:val="20"/>
          <w:szCs w:val="20"/>
          <w:color w:val="auto"/>
        </w:rPr>
        <w:t>. If during the period the Holder holds any Units awarded hereby the Company pays a dividend in cash,</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or otherwise with respect to the outstanding Ordinary Shares, nominal value $0.001 per Share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the Holder shall receive no dividend equivalent payment with respect to the Holder’s Units.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892"/>
        <w:spacing w:after="0"/>
        <w:tabs>
          <w:tab w:leader="none" w:pos="4292"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5"/>
          <w:szCs w:val="15"/>
          <w:color w:val="auto"/>
        </w:rPr>
        <w:t>2010 Plan; Officer PUA Agreement</w:t>
      </w:r>
    </w:p>
    <w:p>
      <w:pPr>
        <w:sectPr>
          <w:pgSz w:w="11900" w:h="16838" w:orient="portrait"/>
          <w:cols w:equalWidth="0" w:num="1">
            <w:col w:w="11412"/>
          </w:cols>
          <w:pgMar w:left="248" w:top="589" w:right="239" w:bottom="1440" w:gutter="0" w:footer="0" w:header="0"/>
        </w:sectPr>
      </w:pPr>
    </w:p>
    <w:bookmarkStart w:id="45" w:name="page46"/>
    <w:bookmarkEnd w:id="45"/>
    <w:p>
      <w:pPr>
        <w:jc w:val="both"/>
        <w:ind w:left="652" w:hanging="652"/>
        <w:spacing w:after="0" w:line="246" w:lineRule="auto"/>
        <w:tabs>
          <w:tab w:leader="none" w:pos="652"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Delivery of Shares</w:t>
      </w:r>
      <w:r>
        <w:rPr>
          <w:rFonts w:ascii="Arial" w:cs="Arial" w:eastAsia="Arial" w:hAnsi="Arial"/>
          <w:sz w:val="20"/>
          <w:szCs w:val="20"/>
          <w:b w:val="1"/>
          <w:bCs w:val="1"/>
          <w:color w:val="auto"/>
        </w:rPr>
        <w:t xml:space="preserve">. </w:t>
      </w:r>
      <w:r>
        <w:rPr>
          <w:rFonts w:ascii="Arial" w:cs="Arial" w:eastAsia="Arial" w:hAnsi="Arial"/>
          <w:sz w:val="20"/>
          <w:szCs w:val="20"/>
          <w:color w:val="auto"/>
        </w:rPr>
        <w:t>Upon each applicable Lapse Date of the Forfeiture Restrictions under Section 4, the Company shall deliver or</w:t>
      </w:r>
      <w:r>
        <w:rPr>
          <w:rFonts w:ascii="Arial" w:cs="Arial" w:eastAsia="Arial" w:hAnsi="Arial"/>
          <w:sz w:val="20"/>
          <w:szCs w:val="20"/>
          <w:b w:val="1"/>
          <w:bCs w:val="1"/>
          <w:color w:val="auto"/>
        </w:rPr>
        <w:t xml:space="preserve"> </w:t>
      </w:r>
      <w:r>
        <w:rPr>
          <w:rFonts w:ascii="Arial" w:cs="Arial" w:eastAsia="Arial" w:hAnsi="Arial"/>
          <w:sz w:val="20"/>
          <w:szCs w:val="20"/>
          <w:color w:val="auto"/>
        </w:rPr>
        <w:t>cause to be delivered a number of Shares equal to the number of Units with respect to which the Forfeiture Restrictions have lapsed multiplied by the applicable Performance Multiplier (subject to the satisfaction by the Holder of any Tax-Related Items arising under Section 8 of this Agreement); provided that if the Performance Multiplier is 0.0, then the Units shall be deemed forfeited on the date of lapse of the Forfeiture Restrictions.</w:t>
      </w:r>
    </w:p>
    <w:p>
      <w:pPr>
        <w:spacing w:after="0" w:line="198" w:lineRule="exact"/>
        <w:rPr>
          <w:rFonts w:ascii="Arial" w:cs="Arial" w:eastAsia="Arial" w:hAnsi="Arial"/>
          <w:sz w:val="20"/>
          <w:szCs w:val="20"/>
          <w:b w:val="1"/>
          <w:bCs w:val="1"/>
          <w:color w:val="auto"/>
        </w:rPr>
      </w:pPr>
    </w:p>
    <w:p>
      <w:pPr>
        <w:jc w:val="both"/>
        <w:ind w:left="652" w:hanging="652"/>
        <w:spacing w:after="0" w:line="273" w:lineRule="auto"/>
        <w:tabs>
          <w:tab w:leader="none" w:pos="6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Adjustments and Reorganizations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existence of the Units shall not affect in any way the right or power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its shareholders to make or authorize any or all adjustments, recapitalizations, reorganizations or other changes in the Company’s capital structure or its business, or any acquisition, merger, amalgamation or consolidation of the Company, or any issue of bonds, debentures, preferred or prior preference shares ahead of or affecting the Shares or the rights thereof, or the winding up, dissolution or liquidation of the Company, or any sale or transfer of all or any part of its assets or business, or any other corporate act or proceeding, whether of a similar character or otherwise, including a Change of Control (as defined in the Plan). An adjustment under this provision may have the effect of reducing the price at which Ordinary Shares may be acquired to less than their nominal value (the “</w:t>
      </w:r>
      <w:r>
        <w:rPr>
          <w:rFonts w:ascii="Arial" w:cs="Arial" w:eastAsia="Arial" w:hAnsi="Arial"/>
          <w:sz w:val="18"/>
          <w:szCs w:val="18"/>
          <w:b w:val="1"/>
          <w:bCs w:val="1"/>
          <w:i w:val="1"/>
          <w:iCs w:val="1"/>
          <w:color w:val="auto"/>
        </w:rPr>
        <w:t>Shortfall</w:t>
      </w:r>
      <w:r>
        <w:rPr>
          <w:rFonts w:ascii="Arial" w:cs="Arial" w:eastAsia="Arial" w:hAnsi="Arial"/>
          <w:sz w:val="18"/>
          <w:szCs w:val="18"/>
          <w:color w:val="auto"/>
        </w:rPr>
        <w:t>”), but only if and to the extent that the Committee shall be authorized to capitalize from the reserves of the Company a sum equal to the Shortfall and to apply that sum in paying up that amount on the Ordinary Shares.</w:t>
      </w:r>
    </w:p>
    <w:p>
      <w:pPr>
        <w:spacing w:after="0" w:line="176" w:lineRule="exact"/>
        <w:rPr>
          <w:rFonts w:ascii="Arial" w:cs="Arial" w:eastAsia="Arial" w:hAnsi="Arial"/>
          <w:sz w:val="18"/>
          <w:szCs w:val="18"/>
          <w:b w:val="1"/>
          <w:bCs w:val="1"/>
          <w:color w:val="auto"/>
        </w:rPr>
      </w:pPr>
    </w:p>
    <w:p>
      <w:pPr>
        <w:jc w:val="both"/>
        <w:ind w:left="652" w:hanging="652"/>
        <w:spacing w:after="0" w:line="270" w:lineRule="auto"/>
        <w:tabs>
          <w:tab w:leader="none" w:pos="6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Responsibility for Taxes &amp; Withholding</w:t>
      </w:r>
      <w:r>
        <w:rPr>
          <w:rFonts w:ascii="Arial" w:cs="Arial" w:eastAsia="Arial" w:hAnsi="Arial"/>
          <w:sz w:val="18"/>
          <w:szCs w:val="18"/>
          <w:color w:val="auto"/>
        </w:rPr>
        <w:t>. The Holder acknowledges that, regardless of any action taken by the Company or, if</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the Holder’s employer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Holder’s participation in the Plan and legally applicable to the Holder or deemed by the Company or the Employer in its discretion to be an appropriate charge to the Holder even if legally applicable to the Company or the Employer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Holder’s responsibility and may exceed the amount actually withheld by the Company or the Employer. The Holder further acknowledges that the Company and/or the Employer (a) make no representations or undertakings regarding the treatment of any Tax-Related Items in connection with any aspect of the Units, including, but not limited to, the grant, vesting or settlement of the Units, the subsequent sale of Shares acquired pursuant to such settlement and the receipt of any dividends and/or any dividend equivalents; and (b) do not commit to and are under no obligation to structure the terms of the grant or any aspect of the Units to reduce or eliminate the Holder’s liability for Tax-Related Items or achieve any particular tax result. Further, if the Holder is subject to Tax-Related Items in more than one jurisdiction between the date of grant and the date of any relevant taxable or tax withholding event, as applicable, the Holder acknowledges that the Company and/or the Employer (or former employer, as applicable) may be required to withhold or account for Tax-Related Items in more than one jurisdiction.</w:t>
      </w:r>
    </w:p>
    <w:p>
      <w:pPr>
        <w:spacing w:after="0" w:line="193" w:lineRule="exact"/>
        <w:rPr>
          <w:rFonts w:ascii="Arial" w:cs="Arial" w:eastAsia="Arial" w:hAnsi="Arial"/>
          <w:sz w:val="18"/>
          <w:szCs w:val="18"/>
          <w:b w:val="1"/>
          <w:bCs w:val="1"/>
          <w:color w:val="auto"/>
        </w:rPr>
      </w:pPr>
    </w:p>
    <w:p>
      <w:pPr>
        <w:jc w:val="both"/>
        <w:ind w:left="652"/>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Prior to any relevant taxable or tax withholding event, as applicable, the Holder agrees to make adequate arrangements satisfactory to the Company and/or the Employer to satisfy all Tax-Related Items. In this regard, the Holder authorizes the Company and/or its Affiliates, or their respective agents, at their discretion, to satisfy the obligations with regard to all Tax-Related Items by one or a combination of the following:</w:t>
      </w:r>
    </w:p>
    <w:p>
      <w:pPr>
        <w:spacing w:after="0" w:line="205" w:lineRule="exact"/>
        <w:rPr>
          <w:rFonts w:ascii="Arial" w:cs="Arial" w:eastAsia="Arial" w:hAnsi="Arial"/>
          <w:sz w:val="18"/>
          <w:szCs w:val="18"/>
          <w:b w:val="1"/>
          <w:bCs w:val="1"/>
          <w:color w:val="auto"/>
        </w:rPr>
      </w:pPr>
    </w:p>
    <w:p>
      <w:pPr>
        <w:ind w:left="1292" w:hanging="644"/>
        <w:spacing w:after="0"/>
        <w:tabs>
          <w:tab w:leader="none" w:pos="12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withholding from the Holder’s wages or other cash compensation paid to the Holder by the Company and/or its Affiliates; or</w:t>
      </w:r>
    </w:p>
    <w:p>
      <w:pPr>
        <w:spacing w:after="0" w:line="238" w:lineRule="exact"/>
        <w:rPr>
          <w:rFonts w:ascii="Arial" w:cs="Arial" w:eastAsia="Arial" w:hAnsi="Arial"/>
          <w:sz w:val="18"/>
          <w:szCs w:val="18"/>
          <w:color w:val="auto"/>
        </w:rPr>
      </w:pPr>
    </w:p>
    <w:p>
      <w:pPr>
        <w:ind w:left="1292" w:hanging="644"/>
        <w:spacing w:after="0" w:line="260" w:lineRule="auto"/>
        <w:tabs>
          <w:tab w:leader="none" w:pos="1292" w:val="left"/>
        </w:tabs>
        <w:numPr>
          <w:ilvl w:val="1"/>
          <w:numId w:val="19"/>
        </w:numPr>
        <w:rPr>
          <w:rFonts w:ascii="Arial" w:cs="Arial" w:eastAsia="Arial" w:hAnsi="Arial"/>
          <w:sz w:val="20"/>
          <w:szCs w:val="20"/>
          <w:color w:val="auto"/>
        </w:rPr>
      </w:pPr>
      <w:r>
        <w:rPr>
          <w:rFonts w:ascii="Arial" w:cs="Arial" w:eastAsia="Arial" w:hAnsi="Arial"/>
          <w:sz w:val="20"/>
          <w:szCs w:val="20"/>
          <w:color w:val="auto"/>
        </w:rPr>
        <w:t>withholding from proceeds of the Shares acquired following the lapse of the Forfeiture Restrictions either through a voluntary sale or through a mandatory sale arranged by the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92"/>
        <w:spacing w:after="0"/>
        <w:tabs>
          <w:tab w:leader="none" w:pos="4292"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5"/>
          <w:szCs w:val="15"/>
          <w:color w:val="auto"/>
        </w:rPr>
        <w:t>2010 Plan; Officer PUA Agreement</w:t>
      </w:r>
    </w:p>
    <w:p>
      <w:pPr>
        <w:sectPr>
          <w:pgSz w:w="11900" w:h="16838" w:orient="portrait"/>
          <w:cols w:equalWidth="0" w:num="1">
            <w:col w:w="11412"/>
          </w:cols>
          <w:pgMar w:left="248" w:top="589" w:right="239" w:bottom="1440" w:gutter="0" w:footer="0" w:header="0"/>
        </w:sectPr>
      </w:pPr>
    </w:p>
    <w:bookmarkStart w:id="46" w:name="page47"/>
    <w:bookmarkEnd w:id="46"/>
    <w:p>
      <w:pPr>
        <w:ind w:left="1292"/>
        <w:spacing w:after="0"/>
        <w:rPr>
          <w:sz w:val="20"/>
          <w:szCs w:val="20"/>
          <w:color w:val="auto"/>
        </w:rPr>
      </w:pPr>
      <w:r>
        <w:rPr>
          <w:rFonts w:ascii="Arial" w:cs="Arial" w:eastAsia="Arial" w:hAnsi="Arial"/>
          <w:sz w:val="20"/>
          <w:szCs w:val="20"/>
          <w:color w:val="auto"/>
        </w:rPr>
        <w:t>Company (on the Holder’s behalf pursuant to this authorization without further consent); or</w:t>
      </w:r>
    </w:p>
    <w:p>
      <w:pPr>
        <w:spacing w:after="0" w:line="229" w:lineRule="exact"/>
        <w:rPr>
          <w:sz w:val="20"/>
          <w:szCs w:val="20"/>
          <w:color w:val="auto"/>
        </w:rPr>
      </w:pPr>
    </w:p>
    <w:p>
      <w:pPr>
        <w:jc w:val="both"/>
        <w:ind w:left="1292" w:hanging="644"/>
        <w:spacing w:after="0" w:line="243" w:lineRule="auto"/>
        <w:tabs>
          <w:tab w:leader="none" w:pos="1292" w:val="left"/>
        </w:tabs>
        <w:numPr>
          <w:ilvl w:val="0"/>
          <w:numId w:val="20"/>
        </w:numPr>
        <w:rPr>
          <w:rFonts w:ascii="Arial" w:cs="Arial" w:eastAsia="Arial" w:hAnsi="Arial"/>
          <w:sz w:val="20"/>
          <w:szCs w:val="20"/>
          <w:color w:val="auto"/>
        </w:rPr>
      </w:pPr>
      <w:r>
        <w:rPr>
          <w:rFonts w:ascii="Arial" w:cs="Arial" w:eastAsia="Arial" w:hAnsi="Arial"/>
          <w:sz w:val="20"/>
          <w:szCs w:val="20"/>
          <w:color w:val="auto"/>
        </w:rPr>
        <w:t>withholding in Shares to be delivered upon the lapse of the Forfeiture Restrictions unless the Committee, in its sole discretion, indicates that this method of withholding is not available prior to the applicable taxable or tax withholding event and further provided, that if the Holder is a Section 16 officer of the Company under the U.S. Securities and Exchange Act of 1934, as amended, then the Committee (as constituted in accordance with Rule 16b-3 under the Exchange Act) shall establish the method of withholding from alternatives (a)-(c) herein and, if the Committee does not exercise its discretion prior to the Tax-Related Items withholding event, then the Holder shall be entitled to elect the method of withholding from the alternatives above.</w:t>
      </w:r>
    </w:p>
    <w:p>
      <w:pPr>
        <w:spacing w:after="0" w:line="193" w:lineRule="exact"/>
        <w:rPr>
          <w:sz w:val="20"/>
          <w:szCs w:val="20"/>
          <w:color w:val="auto"/>
        </w:rPr>
      </w:pPr>
    </w:p>
    <w:p>
      <w:pPr>
        <w:jc w:val="both"/>
        <w:ind w:left="612"/>
        <w:spacing w:after="0" w:line="243" w:lineRule="auto"/>
        <w:rPr>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rates or other applicable withholding rates, including maximum applicable rates, in which case the Holder will receive a refund of any over-withheld amount in cash and will have no entitlement to the Share equivalent. If the obligation for Tax-Related Items is satisfied by withholding in Shares, for tax purposes, the Holder is deemed to have been issued the full number of Shares subject to the vested Units, notwithstanding that a number of the Shares are held back solely for the purpose of paying the Tax-Related Items.</w:t>
      </w:r>
    </w:p>
    <w:p>
      <w:pPr>
        <w:spacing w:after="0" w:line="196" w:lineRule="exact"/>
        <w:rPr>
          <w:sz w:val="20"/>
          <w:szCs w:val="20"/>
          <w:color w:val="auto"/>
        </w:rPr>
      </w:pPr>
    </w:p>
    <w:p>
      <w:pPr>
        <w:jc w:val="both"/>
        <w:ind w:left="612"/>
        <w:spacing w:after="0" w:line="246" w:lineRule="auto"/>
        <w:rPr>
          <w:sz w:val="20"/>
          <w:szCs w:val="20"/>
          <w:color w:val="auto"/>
        </w:rPr>
      </w:pPr>
      <w:r>
        <w:rPr>
          <w:rFonts w:ascii="Arial" w:cs="Arial" w:eastAsia="Arial" w:hAnsi="Arial"/>
          <w:sz w:val="20"/>
          <w:szCs w:val="20"/>
          <w:color w:val="auto"/>
        </w:rPr>
        <w:t>Finally, the Holder agrees to pay to the Company or the Employer any amount of Tax-Related Items that the Company or the Employer may be required to withhold or account for as a result of the Holder’s participation in the Plan that cannot be satisfied by the means previously described. The Company may refuse to issue or deliver the Shares or the proceeds of the sale of Shares, if the Holder fails to comply with his or her obligations in connection with the Tax-Related Items.</w:t>
      </w:r>
    </w:p>
    <w:p>
      <w:pPr>
        <w:spacing w:after="0" w:line="186" w:lineRule="exact"/>
        <w:rPr>
          <w:sz w:val="20"/>
          <w:szCs w:val="20"/>
          <w:color w:val="auto"/>
        </w:rPr>
      </w:pPr>
    </w:p>
    <w:p>
      <w:pPr>
        <w:jc w:val="both"/>
        <w:ind w:left="652" w:hanging="652"/>
        <w:spacing w:after="0" w:line="258" w:lineRule="auto"/>
        <w:tabs>
          <w:tab w:leader="none" w:pos="652"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Employment or Affiliation Relationship</w:t>
      </w:r>
      <w:r>
        <w:rPr>
          <w:rFonts w:ascii="Arial" w:cs="Arial" w:eastAsia="Arial" w:hAnsi="Arial"/>
          <w:sz w:val="19"/>
          <w:szCs w:val="19"/>
          <w:b w:val="1"/>
          <w:bCs w:val="1"/>
          <w:color w:val="auto"/>
        </w:rPr>
        <w:t xml:space="preserve">. </w:t>
      </w:r>
      <w:r>
        <w:rPr>
          <w:rFonts w:ascii="Arial" w:cs="Arial" w:eastAsia="Arial" w:hAnsi="Arial"/>
          <w:sz w:val="19"/>
          <w:szCs w:val="19"/>
          <w:color w:val="auto"/>
        </w:rPr>
        <w:t>The grant of Units and the Holder’s participation in the Plan shall not create a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or be interpreted as forming an employment or services contract with the Company, the Employer or any Affiliate and shall not interfere with the ability of the Company, the Employer or any Affiliate, as applicable, to terminate the Holder’s employment or affiliation relationship (if any). For purposes of this Agreement, the Holder shall be considered to be in the employment of, or affiliated with, the Company, the Employer or its Affiliates as long as the Holder has an active employment or affiliation relationship with the Company, the Employer or any Affiliate. The Committee shall determine any questions as to whether and when there has been a termination of such employment or affiliation relationship, and the cause of such termination, under the Plan and the Committee’s determination shall be final and binding on all persons.</w:t>
      </w:r>
    </w:p>
    <w:p>
      <w:pPr>
        <w:spacing w:after="0" w:line="173" w:lineRule="exact"/>
        <w:rPr>
          <w:rFonts w:ascii="Arial" w:cs="Arial" w:eastAsia="Arial" w:hAnsi="Arial"/>
          <w:sz w:val="19"/>
          <w:szCs w:val="19"/>
          <w:b w:val="1"/>
          <w:bCs w:val="1"/>
          <w:color w:val="auto"/>
        </w:rPr>
      </w:pPr>
    </w:p>
    <w:p>
      <w:pPr>
        <w:ind w:left="652" w:right="20" w:hanging="652"/>
        <w:spacing w:after="0" w:line="323" w:lineRule="auto"/>
        <w:tabs>
          <w:tab w:leader="none" w:pos="6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and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shall have no rights as a shareholder of the Company in respect of the Units, including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vote and to receive dividends and other distributions, until delivery of certificates representing Shares in satisfaction of such Units.</w:t>
      </w:r>
    </w:p>
    <w:p>
      <w:pPr>
        <w:spacing w:after="0" w:line="131" w:lineRule="exact"/>
        <w:rPr>
          <w:rFonts w:ascii="Arial" w:cs="Arial" w:eastAsia="Arial" w:hAnsi="Arial"/>
          <w:sz w:val="18"/>
          <w:szCs w:val="18"/>
          <w:b w:val="1"/>
          <w:bCs w:val="1"/>
          <w:color w:val="auto"/>
        </w:rPr>
      </w:pPr>
    </w:p>
    <w:p>
      <w:pPr>
        <w:jc w:val="both"/>
        <w:ind w:left="652" w:hanging="652"/>
        <w:spacing w:after="0" w:line="277" w:lineRule="auto"/>
        <w:tabs>
          <w:tab w:leader="none" w:pos="6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 The Holder hereby explicitly and unambiguously consents to the collection, use and transfer, in electronic or other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the Holder’s personal data as described in this Agreement and any other grant materials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by and among, as applicable, the Employer, the Company and its Affiliates for the exclusive purpose of implementing, administering and managing the Holder’s participation in the Plan. The Holder understands that the Company and the Employer may hold certain personal information about the Holder, including, but not limited to, the Holder’s name, home address and telephone number, date of birth, social insurance number or other identification number, salary, nationality, job title, any Ordinary Shares or directorships held in the Company,</w:t>
      </w:r>
    </w:p>
    <w:p>
      <w:pPr>
        <w:spacing w:after="0" w:line="200" w:lineRule="exact"/>
        <w:rPr>
          <w:sz w:val="20"/>
          <w:szCs w:val="20"/>
          <w:color w:val="auto"/>
        </w:rPr>
      </w:pPr>
    </w:p>
    <w:p>
      <w:pPr>
        <w:spacing w:after="0" w:line="223" w:lineRule="exact"/>
        <w:rPr>
          <w:sz w:val="20"/>
          <w:szCs w:val="20"/>
          <w:color w:val="auto"/>
        </w:rPr>
      </w:pPr>
    </w:p>
    <w:p>
      <w:pPr>
        <w:ind w:left="3892"/>
        <w:spacing w:after="0"/>
        <w:tabs>
          <w:tab w:leader="none" w:pos="4292"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5"/>
          <w:szCs w:val="15"/>
          <w:color w:val="auto"/>
        </w:rPr>
        <w:t>2010 Plan; Officer PUA Agreement</w:t>
      </w:r>
    </w:p>
    <w:p>
      <w:pPr>
        <w:sectPr>
          <w:pgSz w:w="11900" w:h="16838" w:orient="portrait"/>
          <w:cols w:equalWidth="0" w:num="1">
            <w:col w:w="11412"/>
          </w:cols>
          <w:pgMar w:left="248" w:top="609" w:right="239" w:bottom="1440" w:gutter="0" w:footer="0" w:header="0"/>
        </w:sectPr>
      </w:pPr>
    </w:p>
    <w:bookmarkStart w:id="47" w:name="page48"/>
    <w:bookmarkEnd w:id="47"/>
    <w:p>
      <w:pPr>
        <w:jc w:val="both"/>
        <w:ind w:left="652"/>
        <w:spacing w:after="0" w:line="300" w:lineRule="auto"/>
        <w:rPr>
          <w:sz w:val="20"/>
          <w:szCs w:val="20"/>
          <w:color w:val="auto"/>
        </w:rPr>
      </w:pPr>
      <w:r>
        <w:rPr>
          <w:rFonts w:ascii="Arial" w:cs="Arial" w:eastAsia="Arial" w:hAnsi="Arial"/>
          <w:sz w:val="18"/>
          <w:szCs w:val="18"/>
          <w:color w:val="auto"/>
        </w:rPr>
        <w:t>details of all Units or any other entitlement to Shares awarded, canceled, exercised, vested, unvested or outstanding in the Holder’s favor, for the exclusive purpose of implementing, administering and managing the Plan. The Holder understands that Data will be transferred to Merrill Lynch, or such other stock plan service provider as may be selected by the Company in the future, which is assisting the Company with the implementation, administration and management of the Plan. The Holder understands that the recipients of the Data may be located in Ireland, the United States or elsewhere, and that the recipients’ country (</w:t>
      </w:r>
      <w:r>
        <w:rPr>
          <w:rFonts w:ascii="Arial" w:cs="Arial" w:eastAsia="Arial" w:hAnsi="Arial"/>
          <w:sz w:val="18"/>
          <w:szCs w:val="18"/>
          <w:i w:val="1"/>
          <w:iCs w:val="1"/>
          <w:color w:val="auto"/>
        </w:rPr>
        <w:t>e.g.</w:t>
      </w:r>
      <w:r>
        <w:rPr>
          <w:rFonts w:ascii="Arial" w:cs="Arial" w:eastAsia="Arial" w:hAnsi="Arial"/>
          <w:sz w:val="18"/>
          <w:szCs w:val="18"/>
          <w:color w:val="auto"/>
        </w:rPr>
        <w:t>, the United States) may have different data privacy laws and protections than the Holder’s country. The Holder understands that if he or she resides outside the United States, he or she may request a list with the names and addresses of any potential recipients of the Data by contacting his or her local human resources representative. The Holder authorizes the Company, Merrill Lynch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Holder understands that Data will be held only as long as is necessary to implement, administer and manage the Holder’s participation in the Plan. The Holder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Holder understands that he or she is providing the consents herein on a purely voluntary basis. If the Holder does not consent, or if the Holder later seeks to revoke his or her consent, his or her employment status or service and career with the Employer will not be adversely affected; the only adverse consequence of refusing or withdrawing the Holder’s consent is that the Company would not be able to grant the Holder Units or other equity awards or administer or maintain such awards. Therefore, the Holder understands that refusing or withdrawing his or her consent may affect the Holder’s ability to participate in the Plan. For more information on the consequences of the Holder’s refusal to consent or withdrawal of consent, the Holder understands that he or she may contact his or her local human resources representative.</w:t>
      </w:r>
    </w:p>
    <w:p>
      <w:pPr>
        <w:spacing w:after="0" w:line="165" w:lineRule="exact"/>
        <w:rPr>
          <w:sz w:val="20"/>
          <w:szCs w:val="20"/>
          <w:color w:val="auto"/>
        </w:rPr>
      </w:pPr>
    </w:p>
    <w:p>
      <w:pPr>
        <w:jc w:val="both"/>
        <w:ind w:left="652" w:hanging="652"/>
        <w:spacing w:after="0" w:line="312" w:lineRule="auto"/>
        <w:tabs>
          <w:tab w:leader="none" w:pos="652"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instruction, authorization, request or demand required hereunder shall be in writing, and shall be delivered either</w:t>
      </w:r>
      <w:r>
        <w:rPr>
          <w:rFonts w:ascii="Arial" w:cs="Arial" w:eastAsia="Arial" w:hAnsi="Arial"/>
          <w:sz w:val="16"/>
          <w:szCs w:val="16"/>
          <w:b w:val="1"/>
          <w:bCs w:val="1"/>
          <w:color w:val="auto"/>
        </w:rPr>
        <w:t xml:space="preserve"> </w:t>
      </w:r>
      <w:r>
        <w:rPr>
          <w:rFonts w:ascii="Arial" w:cs="Arial" w:eastAsia="Arial" w:hAnsi="Arial"/>
          <w:sz w:val="16"/>
          <w:szCs w:val="16"/>
          <w:color w:val="auto"/>
        </w:rPr>
        <w:t>by personal delivery, by facsimile, by certified or registered mail, return receipt requested, or by courier or delivery service, addressed to the Company at the address indicated below on the execution page of this Agreement, and to the Holder at the Holder’s address indicated in the Company’s register of Plan participants,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152" w:lineRule="exact"/>
        <w:rPr>
          <w:rFonts w:ascii="Arial" w:cs="Arial" w:eastAsia="Arial" w:hAnsi="Arial"/>
          <w:sz w:val="16"/>
          <w:szCs w:val="16"/>
          <w:b w:val="1"/>
          <w:bCs w:val="1"/>
          <w:color w:val="auto"/>
        </w:rPr>
      </w:pPr>
    </w:p>
    <w:p>
      <w:pPr>
        <w:jc w:val="both"/>
        <w:ind w:left="652" w:hanging="652"/>
        <w:spacing w:after="0" w:line="259" w:lineRule="auto"/>
        <w:tabs>
          <w:tab w:leader="none" w:pos="652"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amended from time to time by the Committee in its discretion in any manner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deems appropriate and that is consistent with the terms of the Plan. However, no such amendment shall adversely affect in a material manner any right of the Holder without his/her written consent. Only a written instrument executed and delivered by the party waiving compliance hereof shall make any waiver of the terms or conditions effective. Any waiver granted by the Company shall be effective only if executed and delivered by a duly authorized executive officer of the Company other than the Holder. The failure of any party at any time or times to require performance of any provisions hereof shall in no manner affect the right to enforce the same. No waiver by any party of any term or condition, or the breach of any term or condition</w:t>
      </w:r>
    </w:p>
    <w:p>
      <w:pPr>
        <w:spacing w:after="0" w:line="200" w:lineRule="exact"/>
        <w:rPr>
          <w:sz w:val="20"/>
          <w:szCs w:val="20"/>
          <w:color w:val="auto"/>
        </w:rPr>
      </w:pPr>
    </w:p>
    <w:p>
      <w:pPr>
        <w:spacing w:after="0" w:line="235" w:lineRule="exact"/>
        <w:rPr>
          <w:sz w:val="20"/>
          <w:szCs w:val="20"/>
          <w:color w:val="auto"/>
        </w:rPr>
      </w:pPr>
    </w:p>
    <w:p>
      <w:pPr>
        <w:ind w:left="3892"/>
        <w:spacing w:after="0"/>
        <w:tabs>
          <w:tab w:leader="none" w:pos="4292"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5"/>
          <w:szCs w:val="15"/>
          <w:color w:val="auto"/>
        </w:rPr>
        <w:t>2010 Plan; Officer PUA Agreement</w:t>
      </w:r>
    </w:p>
    <w:p>
      <w:pPr>
        <w:sectPr>
          <w:pgSz w:w="11900" w:h="16838" w:orient="portrait"/>
          <w:cols w:equalWidth="0" w:num="1">
            <w:col w:w="11412"/>
          </w:cols>
          <w:pgMar w:left="248" w:top="609" w:right="239" w:bottom="1440" w:gutter="0" w:footer="0" w:header="0"/>
        </w:sectPr>
      </w:pPr>
    </w:p>
    <w:bookmarkStart w:id="48" w:name="page49"/>
    <w:bookmarkEnd w:id="48"/>
    <w:p>
      <w:pPr>
        <w:ind w:left="652"/>
        <w:spacing w:after="0" w:line="289" w:lineRule="auto"/>
        <w:rPr>
          <w:sz w:val="20"/>
          <w:szCs w:val="20"/>
          <w:color w:val="auto"/>
        </w:rPr>
      </w:pPr>
      <w:r>
        <w:rPr>
          <w:rFonts w:ascii="Arial" w:cs="Arial" w:eastAsia="Arial" w:hAnsi="Arial"/>
          <w:sz w:val="20"/>
          <w:szCs w:val="20"/>
          <w:color w:val="auto"/>
        </w:rPr>
        <w:t>contained in this Agreement, in one or more instances, shall be construed as a continuing waiver of any such condition or breach, a waiver of any other condition, or the breach of any other term or condition.</w:t>
      </w:r>
    </w:p>
    <w:p>
      <w:pPr>
        <w:spacing w:after="0" w:line="169" w:lineRule="exact"/>
        <w:rPr>
          <w:sz w:val="20"/>
          <w:szCs w:val="20"/>
          <w:color w:val="auto"/>
        </w:rPr>
      </w:pPr>
    </w:p>
    <w:p>
      <w:pPr>
        <w:jc w:val="both"/>
        <w:ind w:left="652" w:hanging="652"/>
        <w:spacing w:after="0" w:line="266" w:lineRule="auto"/>
        <w:tabs>
          <w:tab w:leader="none" w:pos="652"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and 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validity, construction and effect of the Plan and any rules and regulations relating to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determined in accordance with applicable United States federal law and the laws of the State of Texas, without regard to any conflict of laws principles, except to the extent that the laws of Ireland mandatorily apply. The invalidity of any provision of this Agreement shall not affect any other provision of this Agreement, which shall remain in full force and effect</w:t>
      </w:r>
    </w:p>
    <w:p>
      <w:pPr>
        <w:spacing w:after="0" w:line="395" w:lineRule="exact"/>
        <w:rPr>
          <w:rFonts w:ascii="Arial" w:cs="Arial" w:eastAsia="Arial" w:hAnsi="Arial"/>
          <w:sz w:val="19"/>
          <w:szCs w:val="19"/>
          <w:b w:val="1"/>
          <w:bCs w:val="1"/>
          <w:color w:val="auto"/>
        </w:rPr>
      </w:pPr>
    </w:p>
    <w:p>
      <w:pPr>
        <w:jc w:val="both"/>
        <w:ind w:left="652" w:hanging="652"/>
        <w:spacing w:after="0" w:line="266" w:lineRule="auto"/>
        <w:tabs>
          <w:tab w:leader="none" w:pos="652"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limitations which this Agreement and the Plan impose upon the transferability of the Units,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bind, be enforceable by and inure to the benefit of the Company and its successors and assigns, and to the Holder, his permitted assigns and, upon the Holder’s death, the Holder’s estate and beneficiaries thereof (whether by will or the laws of descent and distribution), executors, administrators, agents, and legal and personal representatives.</w:t>
      </w:r>
    </w:p>
    <w:p>
      <w:pPr>
        <w:spacing w:after="0" w:line="179" w:lineRule="exact"/>
        <w:rPr>
          <w:rFonts w:ascii="Arial" w:cs="Arial" w:eastAsia="Arial" w:hAnsi="Arial"/>
          <w:sz w:val="19"/>
          <w:szCs w:val="19"/>
          <w:b w:val="1"/>
          <w:bCs w:val="1"/>
          <w:color w:val="auto"/>
        </w:rPr>
      </w:pPr>
    </w:p>
    <w:p>
      <w:pPr>
        <w:jc w:val="both"/>
        <w:ind w:left="652" w:hanging="652"/>
        <w:spacing w:after="0" w:line="271" w:lineRule="auto"/>
        <w:tabs>
          <w:tab w:leader="none" w:pos="65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hereby consents and agrees to electronic delivery of any documents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elect to deliver (including, but not limited to, plan documents, prospectus and prospectus supplements, grant or award notifications and agreements, account statements, annual and quarterly reports, and all other forms of communications) in connection with this and any other Award made or offered under the Plan. The Holder understands that, unless revoked by the Holder by giving written notice to the Company pursuant to the Plan, this consent will be effective for the duration of the Agreement. The Holder also understands that he or she will have the right at any time to request that the Company deliver written copies of any and all materials referred to above. The Holder hereby consents to any and all procedures the Company has established or may establish for an electronic signature system for delivery and acceptance of any such documents that the Company may elect to deliver, and agree that his or her electronic signature is the same as, and will have the same force and effect as, his or her manual signature. The Holder hereby consents to receive such documents by electronic delivery and agrees to participate in the Plan through an on-line or electronic system established and maintained by the Company or a third party designated by the Company.</w:t>
      </w:r>
    </w:p>
    <w:p>
      <w:pPr>
        <w:spacing w:after="0" w:line="184" w:lineRule="exact"/>
        <w:rPr>
          <w:rFonts w:ascii="Arial" w:cs="Arial" w:eastAsia="Arial" w:hAnsi="Arial"/>
          <w:sz w:val="18"/>
          <w:szCs w:val="18"/>
          <w:b w:val="1"/>
          <w:bCs w:val="1"/>
          <w:color w:val="auto"/>
        </w:rPr>
      </w:pPr>
    </w:p>
    <w:p>
      <w:pPr>
        <w:ind w:left="652" w:right="20" w:hanging="652"/>
        <w:spacing w:after="0" w:line="267" w:lineRule="auto"/>
        <w:tabs>
          <w:tab w:leader="none" w:pos="652"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an original for all purposes but all</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taken together shall constitute but one and the same instrument.</w:t>
      </w:r>
    </w:p>
    <w:p>
      <w:pPr>
        <w:spacing w:after="0" w:line="177" w:lineRule="exact"/>
        <w:rPr>
          <w:rFonts w:ascii="Arial" w:cs="Arial" w:eastAsia="Arial" w:hAnsi="Arial"/>
          <w:sz w:val="20"/>
          <w:szCs w:val="20"/>
          <w:b w:val="1"/>
          <w:bCs w:val="1"/>
          <w:color w:val="auto"/>
        </w:rPr>
      </w:pPr>
    </w:p>
    <w:p>
      <w:pPr>
        <w:ind w:left="452" w:hanging="452"/>
        <w:spacing w:after="0"/>
        <w:tabs>
          <w:tab w:leader="none" w:pos="452"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Acknowledgements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Holder acknowledges and agrees to the following:</w:t>
      </w:r>
    </w:p>
    <w:p>
      <w:pPr>
        <w:spacing w:after="0" w:line="221" w:lineRule="exact"/>
        <w:rPr>
          <w:rFonts w:ascii="Arial" w:cs="Arial" w:eastAsia="Arial" w:hAnsi="Arial"/>
          <w:sz w:val="20"/>
          <w:szCs w:val="20"/>
          <w:b w:val="1"/>
          <w:bCs w:val="1"/>
          <w:color w:val="auto"/>
        </w:rPr>
      </w:pPr>
    </w:p>
    <w:p>
      <w:pPr>
        <w:ind w:left="1292" w:hanging="644"/>
        <w:spacing w:after="0" w:line="260" w:lineRule="auto"/>
        <w:tabs>
          <w:tab w:leader="none" w:pos="1292"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20"/>
          <w:szCs w:val="20"/>
          <w:color w:val="auto"/>
        </w:rPr>
      </w:pPr>
    </w:p>
    <w:p>
      <w:pPr>
        <w:ind w:left="1292" w:right="20" w:hanging="644"/>
        <w:spacing w:after="0" w:line="260" w:lineRule="auto"/>
        <w:tabs>
          <w:tab w:leader="none" w:pos="1292"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grant of the Units is voluntary and occasional and does not create any contractual or other right to receive future grants of Units, or benefits in lieu of Units, even if Units have been granted in the past;</w:t>
      </w:r>
    </w:p>
    <w:p>
      <w:pPr>
        <w:spacing w:after="0" w:line="176" w:lineRule="exact"/>
        <w:rPr>
          <w:rFonts w:ascii="Arial" w:cs="Arial" w:eastAsia="Arial" w:hAnsi="Arial"/>
          <w:sz w:val="20"/>
          <w:szCs w:val="20"/>
          <w:color w:val="auto"/>
        </w:rPr>
      </w:pPr>
    </w:p>
    <w:p>
      <w:pPr>
        <w:ind w:left="1292" w:hanging="644"/>
        <w:spacing w:after="0"/>
        <w:tabs>
          <w:tab w:leader="none" w:pos="1292" w:val="left"/>
        </w:tabs>
        <w:numPr>
          <w:ilvl w:val="1"/>
          <w:numId w:val="23"/>
        </w:numPr>
        <w:rPr>
          <w:rFonts w:ascii="Arial" w:cs="Arial" w:eastAsia="Arial" w:hAnsi="Arial"/>
          <w:sz w:val="20"/>
          <w:szCs w:val="20"/>
          <w:color w:val="auto"/>
        </w:rPr>
      </w:pPr>
      <w:r>
        <w:rPr>
          <w:rFonts w:ascii="Arial" w:cs="Arial" w:eastAsia="Arial" w:hAnsi="Arial"/>
          <w:sz w:val="20"/>
          <w:szCs w:val="20"/>
          <w:color w:val="auto"/>
        </w:rPr>
        <w:t>all decisions with respect to future Unit or other grants, if any, will be at the sole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92"/>
        <w:spacing w:after="0"/>
        <w:tabs>
          <w:tab w:leader="none" w:pos="4292"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5"/>
          <w:szCs w:val="15"/>
          <w:color w:val="auto"/>
        </w:rPr>
        <w:t>2010 Plan; Officer PUA Agreement</w:t>
      </w:r>
    </w:p>
    <w:p>
      <w:pPr>
        <w:sectPr>
          <w:pgSz w:w="11900" w:h="16838" w:orient="portrait"/>
          <w:cols w:equalWidth="0" w:num="1">
            <w:col w:w="11412"/>
          </w:cols>
          <w:pgMar w:left="248" w:top="609" w:right="239" w:bottom="1440" w:gutter="0" w:footer="0" w:header="0"/>
        </w:sectPr>
      </w:pPr>
    </w:p>
    <w:bookmarkStart w:id="49" w:name="page50"/>
    <w:bookmarkEnd w:id="49"/>
    <w:p>
      <w:pPr>
        <w:ind w:left="644" w:hanging="644"/>
        <w:spacing w:after="0"/>
        <w:tabs>
          <w:tab w:leader="none" w:pos="644"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Holder is voluntarily participating in the Plan;</w:t>
      </w:r>
    </w:p>
    <w:p>
      <w:pPr>
        <w:spacing w:after="0" w:line="215" w:lineRule="exact"/>
        <w:rPr>
          <w:rFonts w:ascii="Arial" w:cs="Arial" w:eastAsia="Arial" w:hAnsi="Arial"/>
          <w:sz w:val="20"/>
          <w:szCs w:val="20"/>
          <w:color w:val="auto"/>
        </w:rPr>
      </w:pPr>
    </w:p>
    <w:p>
      <w:pPr>
        <w:ind w:left="644" w:hanging="644"/>
        <w:spacing w:after="0"/>
        <w:tabs>
          <w:tab w:leader="none" w:pos="644"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Units and the Shares subject to the Units are not intended to replace any pension rights or compensation;</w:t>
      </w:r>
    </w:p>
    <w:p>
      <w:pPr>
        <w:spacing w:after="0" w:line="215" w:lineRule="exact"/>
        <w:rPr>
          <w:rFonts w:ascii="Arial" w:cs="Arial" w:eastAsia="Arial" w:hAnsi="Arial"/>
          <w:sz w:val="20"/>
          <w:szCs w:val="20"/>
          <w:color w:val="auto"/>
        </w:rPr>
      </w:pPr>
    </w:p>
    <w:p>
      <w:pPr>
        <w:jc w:val="both"/>
        <w:ind w:left="644" w:hanging="644"/>
        <w:spacing w:after="0" w:line="269" w:lineRule="auto"/>
        <w:tabs>
          <w:tab w:leader="none" w:pos="644"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Units and the Shares subject to the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0" w:lineRule="exact"/>
        <w:rPr>
          <w:rFonts w:ascii="Arial" w:cs="Arial" w:eastAsia="Arial" w:hAnsi="Arial"/>
          <w:sz w:val="19"/>
          <w:szCs w:val="19"/>
          <w:color w:val="auto"/>
        </w:rPr>
      </w:pPr>
    </w:p>
    <w:p>
      <w:pPr>
        <w:ind w:left="644" w:hanging="644"/>
        <w:spacing w:after="0"/>
        <w:tabs>
          <w:tab w:leader="none" w:pos="644"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future value of the Shares underlying the Units is unknown, indeterminable and cannot be predicted with certainty;</w:t>
      </w:r>
    </w:p>
    <w:p>
      <w:pPr>
        <w:spacing w:after="0" w:line="227" w:lineRule="exact"/>
        <w:rPr>
          <w:rFonts w:ascii="Arial" w:cs="Arial" w:eastAsia="Arial" w:hAnsi="Arial"/>
          <w:sz w:val="19"/>
          <w:szCs w:val="19"/>
          <w:color w:val="auto"/>
        </w:rPr>
      </w:pPr>
    </w:p>
    <w:p>
      <w:pPr>
        <w:jc w:val="both"/>
        <w:ind w:left="644" w:hanging="644"/>
        <w:spacing w:after="0" w:line="256" w:lineRule="auto"/>
        <w:tabs>
          <w:tab w:leader="none" w:pos="644" w:val="left"/>
        </w:tabs>
        <w:numPr>
          <w:ilvl w:val="0"/>
          <w:numId w:val="24"/>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Units resulting from the termination of the Holder’s employment or affiliation (for any reason whatsoever whether or not later found to be invalid or in breach of employment laws in the jurisdiction where the Holder is employed or the terms of the Employment Agreement, if any), and in consideration of the grant of the Units to which the Holder is otherwise not entitled, the Holder irrevocably agrees never to institute any claim against the Company, any of its Affiliates or the Employer, waives his or her ability, if any, to bring any such claim, and releases the Company, its Affiliates and the Employer from any such claim; if, notwithstanding the foregoing, any such claim is allowed by a court of competent jurisdiction, then, by participating in the Plan, the Holder shall be deemed irrevocably to have agreed not to pursue such claim and agrees to execute any and all documents necessary to request dismissal or withdrawal of such claim;</w:t>
      </w:r>
    </w:p>
    <w:p>
      <w:pPr>
        <w:spacing w:after="0" w:line="184" w:lineRule="exact"/>
        <w:rPr>
          <w:rFonts w:ascii="Arial" w:cs="Arial" w:eastAsia="Arial" w:hAnsi="Arial"/>
          <w:sz w:val="19"/>
          <w:szCs w:val="19"/>
          <w:color w:val="auto"/>
        </w:rPr>
      </w:pPr>
    </w:p>
    <w:p>
      <w:pPr>
        <w:jc w:val="both"/>
        <w:ind w:left="644" w:hanging="644"/>
        <w:spacing w:after="0" w:line="274" w:lineRule="auto"/>
        <w:tabs>
          <w:tab w:leader="none" w:pos="6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purposes of Units and unless otherwise expressly provided in this Agreement or determined by the Company, the Holder’s right to vest in the Units under the Plan, if any, will terminate as of such termination date as determined by the Committee pursuant to Section 9 of this Agreement and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Holder’s period of service would not include any contractual notice period or any period of “garden leave” or similar period mandated under employment laws in the jurisdiction where the Holder is employed or the terms of the Holder’s Employment Agreement, if any); the Committee shall have the exclusive discretion to determine when the Holder is no longer actively providing services for purposes of the Unit grant (including whether Holder may still be considered to be providing services while on a leave of absence);</w:t>
      </w:r>
    </w:p>
    <w:p>
      <w:pPr>
        <w:spacing w:after="0" w:line="169" w:lineRule="exact"/>
        <w:rPr>
          <w:rFonts w:ascii="Arial" w:cs="Arial" w:eastAsia="Arial" w:hAnsi="Arial"/>
          <w:sz w:val="18"/>
          <w:szCs w:val="18"/>
          <w:color w:val="auto"/>
        </w:rPr>
      </w:pPr>
    </w:p>
    <w:p>
      <w:pPr>
        <w:jc w:val="both"/>
        <w:ind w:left="644" w:hanging="644"/>
        <w:spacing w:after="0" w:line="246" w:lineRule="auto"/>
        <w:tabs>
          <w:tab w:leader="none" w:pos="644"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Company in its discretion, the Units and the benefits evidenced by this Agreement do not create any entitlement to have the Units or any such benefits transferred to, or assumed by, another company nor be exchanged, cashed out or substituted for, in connection with any corporate transaction affecting the shares of the Company;</w:t>
      </w:r>
    </w:p>
    <w:p>
      <w:pPr>
        <w:spacing w:after="0" w:line="191" w:lineRule="exact"/>
        <w:rPr>
          <w:rFonts w:ascii="Arial" w:cs="Arial" w:eastAsia="Arial" w:hAnsi="Arial"/>
          <w:sz w:val="20"/>
          <w:szCs w:val="20"/>
          <w:color w:val="auto"/>
        </w:rPr>
      </w:pPr>
    </w:p>
    <w:p>
      <w:pPr>
        <w:jc w:val="both"/>
        <w:ind w:left="644" w:hanging="644"/>
        <w:spacing w:after="0" w:line="246" w:lineRule="auto"/>
        <w:tabs>
          <w:tab w:leader="none" w:pos="644"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the Holder’s participation in the Plan, or the Holder’s acquisition or sale of the underlying Shares. The Holder is hereby advised to consult with his or her own personal tax, legal and financial advisors regarding his or her participation in the Plan before taking any action related to the Plan; and</w:t>
      </w:r>
    </w:p>
    <w:p>
      <w:pPr>
        <w:spacing w:after="0" w:line="191" w:lineRule="exact"/>
        <w:rPr>
          <w:rFonts w:ascii="Arial" w:cs="Arial" w:eastAsia="Arial" w:hAnsi="Arial"/>
          <w:sz w:val="20"/>
          <w:szCs w:val="20"/>
          <w:color w:val="auto"/>
        </w:rPr>
      </w:pPr>
    </w:p>
    <w:p>
      <w:pPr>
        <w:ind w:left="644" w:hanging="320"/>
        <w:spacing w:after="0"/>
        <w:tabs>
          <w:tab w:leader="none" w:pos="644"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following provisions apply only if the Holder is providing services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44"/>
        <w:spacing w:after="0"/>
        <w:tabs>
          <w:tab w:leader="none" w:pos="3643"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15"/>
          <w:szCs w:val="15"/>
          <w:color w:val="auto"/>
        </w:rPr>
        <w:t>2010 Plan; Officer PUA Agreement</w:t>
      </w:r>
    </w:p>
    <w:p>
      <w:pPr>
        <w:sectPr>
          <w:pgSz w:w="11900" w:h="16838" w:orient="portrait"/>
          <w:cols w:equalWidth="0" w:num="1">
            <w:col w:w="10764"/>
          </w:cols>
          <w:pgMar w:left="896" w:top="595" w:right="239" w:bottom="1440" w:gutter="0" w:footer="0" w:header="0"/>
        </w:sectPr>
      </w:pPr>
    </w:p>
    <w:bookmarkStart w:id="50" w:name="page51"/>
    <w:bookmarkEnd w:id="50"/>
    <w:p>
      <w:pPr>
        <w:ind w:left="1672" w:hanging="375"/>
        <w:spacing w:after="0"/>
        <w:tabs>
          <w:tab w:leader="none" w:pos="1672"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Units and the Shares subject to the Units are not part of normal or expected compensation or salary for any purpose;</w:t>
      </w:r>
    </w:p>
    <w:p>
      <w:pPr>
        <w:spacing w:after="0" w:line="238" w:lineRule="exact"/>
        <w:rPr>
          <w:rFonts w:ascii="Arial" w:cs="Arial" w:eastAsia="Arial" w:hAnsi="Arial"/>
          <w:sz w:val="18"/>
          <w:szCs w:val="18"/>
          <w:color w:val="auto"/>
        </w:rPr>
      </w:pPr>
    </w:p>
    <w:p>
      <w:pPr>
        <w:jc w:val="both"/>
        <w:ind w:left="1292" w:firstLine="5"/>
        <w:spacing w:after="0" w:line="246" w:lineRule="auto"/>
        <w:tabs>
          <w:tab w:leader="none" w:pos="1794" w:val="left"/>
        </w:tabs>
        <w:numPr>
          <w:ilvl w:val="2"/>
          <w:numId w:val="25"/>
        </w:numPr>
        <w:rPr>
          <w:rFonts w:ascii="Arial" w:cs="Arial" w:eastAsia="Arial" w:hAnsi="Arial"/>
          <w:sz w:val="20"/>
          <w:szCs w:val="20"/>
          <w:color w:val="auto"/>
        </w:rPr>
      </w:pPr>
      <w:r>
        <w:rPr>
          <w:rFonts w:ascii="Arial" w:cs="Arial" w:eastAsia="Arial" w:hAnsi="Arial"/>
          <w:sz w:val="20"/>
          <w:szCs w:val="20"/>
          <w:color w:val="auto"/>
        </w:rPr>
        <w:t>The Holder acknowledges and agrees that neither the Company, the Employer nor any Affiliate shall be liable for any foreign exchange rate fluctuation between Holder’s local currency and the United States Dollar that may affect the value of the Units or of any amounts due to the Holder pursuant to the settlement of the Units or the subsequent sale of any Shares acquired upon settlement.</w:t>
      </w:r>
    </w:p>
    <w:p>
      <w:pPr>
        <w:spacing w:after="0" w:line="185" w:lineRule="exact"/>
        <w:rPr>
          <w:rFonts w:ascii="Arial" w:cs="Arial" w:eastAsia="Arial" w:hAnsi="Arial"/>
          <w:sz w:val="20"/>
          <w:szCs w:val="20"/>
          <w:color w:val="auto"/>
        </w:rPr>
      </w:pPr>
    </w:p>
    <w:p>
      <w:pPr>
        <w:ind w:left="452" w:hanging="452"/>
        <w:spacing w:after="0"/>
        <w:tabs>
          <w:tab w:leader="none" w:pos="452"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jc w:val="both"/>
        <w:ind w:left="1292" w:hanging="644"/>
        <w:spacing w:after="0" w:line="256" w:lineRule="auto"/>
        <w:tabs>
          <w:tab w:leader="none" w:pos="1292"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delivery of the Holder’s Shares as described in Section 6 shall be made in accordance with such Section, provided that with respect to delivery due to termination of employment for reasons other than death, the delivery at such time can be characterized as a “</w:t>
      </w:r>
      <w:r>
        <w:rPr>
          <w:rFonts w:ascii="Arial" w:cs="Arial" w:eastAsia="Arial" w:hAnsi="Arial"/>
          <w:sz w:val="19"/>
          <w:szCs w:val="19"/>
          <w:b w:val="1"/>
          <w:bCs w:val="1"/>
          <w:i w:val="1"/>
          <w:iCs w:val="1"/>
          <w:color w:val="auto"/>
        </w:rPr>
        <w:t>short-term deferral</w:t>
      </w:r>
      <w:r>
        <w:rPr>
          <w:rFonts w:ascii="Arial" w:cs="Arial" w:eastAsia="Arial" w:hAnsi="Arial"/>
          <w:sz w:val="19"/>
          <w:szCs w:val="19"/>
          <w:color w:val="auto"/>
        </w:rPr>
        <w:t>” for purposes of Section 409A or as otherwise exempt from the provisions of Section 409A, or if any portion of the delivery cannot be so characterized, and the Holder is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under Section 409A, such portion of the delivery shall be delayed until the earlier to occur of the Holder’s death or the date that is six months and one day following the Holder’s termination of employment. For purposes of this Agreement, the terms “</w:t>
      </w:r>
      <w:r>
        <w:rPr>
          <w:rFonts w:ascii="Arial" w:cs="Arial" w:eastAsia="Arial" w:hAnsi="Arial"/>
          <w:sz w:val="19"/>
          <w:szCs w:val="19"/>
          <w:b w:val="1"/>
          <w:bCs w:val="1"/>
          <w:i w:val="1"/>
          <w:iCs w:val="1"/>
          <w:color w:val="auto"/>
        </w:rPr>
        <w:t>terminates</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terminated</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 of employment</w:t>
      </w:r>
      <w:r>
        <w:rPr>
          <w:rFonts w:ascii="Arial" w:cs="Arial" w:eastAsia="Arial" w:hAnsi="Arial"/>
          <w:sz w:val="19"/>
          <w:szCs w:val="19"/>
          <w:color w:val="auto"/>
        </w:rPr>
        <w:t>,” and variations thereof, as used in this Agreement to refer to the Holder’s termination of employment, are intended to mean a termination of employment that constitutes a “</w:t>
      </w:r>
      <w:r>
        <w:rPr>
          <w:rFonts w:ascii="Arial" w:cs="Arial" w:eastAsia="Arial" w:hAnsi="Arial"/>
          <w:sz w:val="19"/>
          <w:szCs w:val="19"/>
          <w:b w:val="1"/>
          <w:bCs w:val="1"/>
          <w:i w:val="1"/>
          <w:iCs w:val="1"/>
          <w:color w:val="auto"/>
        </w:rPr>
        <w:t>separation from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under Section 409A.</w:t>
      </w:r>
    </w:p>
    <w:p>
      <w:pPr>
        <w:spacing w:after="0" w:line="76" w:lineRule="exact"/>
        <w:rPr>
          <w:rFonts w:ascii="Arial" w:cs="Arial" w:eastAsia="Arial" w:hAnsi="Arial"/>
          <w:sz w:val="19"/>
          <w:szCs w:val="19"/>
          <w:color w:val="auto"/>
        </w:rPr>
      </w:pPr>
    </w:p>
    <w:p>
      <w:pPr>
        <w:jc w:val="both"/>
        <w:ind w:left="1292" w:hanging="644"/>
        <w:spacing w:after="0" w:line="272" w:lineRule="auto"/>
        <w:tabs>
          <w:tab w:leader="none" w:pos="12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This Agreement and the Units provided hereunder are intended to comply with Section 409A to the extent applicable thereto. Notwithstanding any provision of this Agreement to the contrary, this Agreement shall be interpreted and construed consistent with this intent. Although the Company and the Committee intend to administer this Agreement so that it will comply with the requirements of Section 409A, to the extent applicable, neither the Company nor the Committee represents or warrants that this Agreement will comply with Section 409A or any other provision of federal, state, local, or non-United States law. Neither the Company or its Affiliates, nor their respective directors, officers, employees or advisers shall be liable to any Holder (or any other individual claiming a benefit through the Holder) for any tax, interest, or penalties the Holder might owe as a result of participation in the Plan, and the Company and its Affiliates shall have no obligation to indemnify or otherwise protect any Holder from the obligation to pay any taxes pursuant to Section 409A.</w:t>
      </w:r>
    </w:p>
    <w:p>
      <w:pPr>
        <w:spacing w:after="0" w:line="57" w:lineRule="exact"/>
        <w:rPr>
          <w:sz w:val="20"/>
          <w:szCs w:val="20"/>
          <w:color w:val="auto"/>
        </w:rPr>
      </w:pPr>
    </w:p>
    <w:p>
      <w:pPr>
        <w:ind w:left="612" w:hanging="620"/>
        <w:spacing w:after="0" w:line="293" w:lineRule="auto"/>
        <w:tabs>
          <w:tab w:leader="none" w:pos="592" w:val="left"/>
        </w:tabs>
        <w:rPr>
          <w:sz w:val="20"/>
          <w:szCs w:val="20"/>
          <w:color w:val="auto"/>
        </w:rPr>
      </w:pPr>
      <w:r>
        <w:rPr>
          <w:rFonts w:ascii="Arial" w:cs="Arial" w:eastAsia="Arial" w:hAnsi="Arial"/>
          <w:sz w:val="20"/>
          <w:szCs w:val="20"/>
          <w:b w:val="1"/>
          <w:bCs w:val="1"/>
          <w:color w:val="auto"/>
        </w:rPr>
        <w:t>20</w:t>
      </w:r>
      <w:r>
        <w:rPr>
          <w:rFonts w:ascii="Arial" w:cs="Arial" w:eastAsia="Arial" w:hAnsi="Arial"/>
          <w:sz w:val="20"/>
          <w:szCs w:val="20"/>
          <w:b w:val="1"/>
          <w:bCs w:val="1"/>
          <w:i w:val="1"/>
          <w:iCs w:val="1"/>
          <w:color w:val="auto"/>
        </w:rPr>
        <w:t>.</w:t>
      </w:r>
      <w:r>
        <w:rPr>
          <w:sz w:val="20"/>
          <w:szCs w:val="20"/>
          <w:color w:val="auto"/>
        </w:rPr>
        <w:tab/>
      </w: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If the Holder has received this Agreement, or any other document related to the Units and/or the Plan translated into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language other than English and if the translated version is different than the English version, the English version will control.</w:t>
      </w:r>
    </w:p>
    <w:p>
      <w:pPr>
        <w:spacing w:after="0" w:line="155" w:lineRule="exact"/>
        <w:rPr>
          <w:sz w:val="20"/>
          <w:szCs w:val="20"/>
          <w:color w:val="auto"/>
        </w:rPr>
      </w:pPr>
    </w:p>
    <w:p>
      <w:pPr>
        <w:jc w:val="both"/>
        <w:ind w:left="612" w:hanging="612"/>
        <w:spacing w:after="0" w:line="246" w:lineRule="auto"/>
        <w:tabs>
          <w:tab w:leader="none" w:pos="612"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Appendix</w:t>
      </w:r>
      <w:r>
        <w:rPr>
          <w:rFonts w:ascii="Arial" w:cs="Arial" w:eastAsia="Arial" w:hAnsi="Arial"/>
          <w:sz w:val="20"/>
          <w:szCs w:val="20"/>
          <w:color w:val="auto"/>
        </w:rPr>
        <w:t>. Notwithstanding any provisions in this Agreement, the Units shall be subject to any special terms and conditions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any Appendix to this Agreement for the Holder’s country. Moreover, if the Holder relocates to one of the countries included in the Appendix, the special terms and conditions for such country will apply to the Holder, to the extent the Company determines that the application of such terms and conditions is necessary or advisable for legal or administrative reasons. The Appendix constitutes part of this Agreement.</w:t>
      </w:r>
    </w:p>
    <w:p>
      <w:pPr>
        <w:spacing w:after="0" w:line="198" w:lineRule="exact"/>
        <w:rPr>
          <w:rFonts w:ascii="Arial" w:cs="Arial" w:eastAsia="Arial" w:hAnsi="Arial"/>
          <w:sz w:val="20"/>
          <w:szCs w:val="20"/>
          <w:b w:val="1"/>
          <w:bCs w:val="1"/>
          <w:color w:val="auto"/>
        </w:rPr>
      </w:pPr>
    </w:p>
    <w:p>
      <w:pPr>
        <w:jc w:val="both"/>
        <w:ind w:left="612" w:hanging="612"/>
        <w:spacing w:after="0" w:line="253" w:lineRule="auto"/>
        <w:tabs>
          <w:tab w:leader="none" w:pos="612"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Holder’s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Units and on any Shares acquired under the Plan, to the extent the Company determines it is necessary or advisable for legal or administrative reasons,</w:t>
      </w:r>
    </w:p>
    <w:p>
      <w:pPr>
        <w:spacing w:after="0" w:line="200" w:lineRule="exact"/>
        <w:rPr>
          <w:sz w:val="20"/>
          <w:szCs w:val="20"/>
          <w:color w:val="auto"/>
        </w:rPr>
      </w:pPr>
    </w:p>
    <w:p>
      <w:pPr>
        <w:spacing w:after="0" w:line="240" w:lineRule="exact"/>
        <w:rPr>
          <w:sz w:val="20"/>
          <w:szCs w:val="20"/>
          <w:color w:val="auto"/>
        </w:rPr>
      </w:pPr>
    </w:p>
    <w:p>
      <w:pPr>
        <w:ind w:left="3892"/>
        <w:spacing w:after="0"/>
        <w:tabs>
          <w:tab w:leader="none" w:pos="4292" w:val="left"/>
        </w:tabs>
        <w:rPr>
          <w:sz w:val="20"/>
          <w:szCs w:val="20"/>
          <w:color w:val="auto"/>
        </w:rPr>
      </w:pPr>
      <w:r>
        <w:rPr>
          <w:rFonts w:ascii="Arial" w:cs="Arial" w:eastAsia="Arial" w:hAnsi="Arial"/>
          <w:sz w:val="20"/>
          <w:szCs w:val="20"/>
          <w:color w:val="auto"/>
        </w:rPr>
        <w:t>-8-</w:t>
      </w:r>
      <w:r>
        <w:rPr>
          <w:sz w:val="20"/>
          <w:szCs w:val="20"/>
          <w:color w:val="auto"/>
        </w:rPr>
        <w:tab/>
      </w:r>
      <w:r>
        <w:rPr>
          <w:rFonts w:ascii="Arial" w:cs="Arial" w:eastAsia="Arial" w:hAnsi="Arial"/>
          <w:sz w:val="15"/>
          <w:szCs w:val="15"/>
          <w:color w:val="auto"/>
        </w:rPr>
        <w:t>2010 Plan; Officer PUA Agreement</w:t>
      </w:r>
    </w:p>
    <w:p>
      <w:pPr>
        <w:sectPr>
          <w:pgSz w:w="11900" w:h="16838" w:orient="portrait"/>
          <w:cols w:equalWidth="0" w:num="1">
            <w:col w:w="11412"/>
          </w:cols>
          <w:pgMar w:left="248" w:top="595" w:right="239" w:bottom="1440" w:gutter="0" w:footer="0" w:header="0"/>
        </w:sectPr>
      </w:pPr>
    </w:p>
    <w:bookmarkStart w:id="51" w:name="page52"/>
    <w:bookmarkEnd w:id="51"/>
    <w:p>
      <w:pPr>
        <w:jc w:val="center"/>
        <w:ind w:right="80"/>
        <w:spacing w:after="0"/>
        <w:rPr>
          <w:sz w:val="20"/>
          <w:szCs w:val="20"/>
          <w:color w:val="auto"/>
        </w:rPr>
      </w:pPr>
      <w:r>
        <w:rPr>
          <w:rFonts w:ascii="Arial" w:cs="Arial" w:eastAsia="Arial" w:hAnsi="Arial"/>
          <w:sz w:val="20"/>
          <w:szCs w:val="20"/>
          <w:color w:val="auto"/>
        </w:rPr>
        <w:t>and to require the Holder to sign any additional agreements or undertakings that may be necessary to accomplish the foregoing.</w:t>
      </w:r>
    </w:p>
    <w:p>
      <w:pPr>
        <w:spacing w:after="0" w:line="237"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0"/>
          <w:szCs w:val="20"/>
          <w:b w:val="1"/>
          <w:bCs w:val="1"/>
          <w:color w:val="auto"/>
        </w:rPr>
        <w:t>23</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u w:val="single" w:color="auto"/>
          <w:color w:val="auto"/>
        </w:rPr>
        <w:t>Waiver</w:t>
      </w:r>
      <w:r>
        <w:rPr>
          <w:rFonts w:ascii="Arial" w:cs="Arial" w:eastAsia="Arial" w:hAnsi="Arial"/>
          <w:sz w:val="20"/>
          <w:szCs w:val="20"/>
          <w:color w:val="auto"/>
        </w:rPr>
        <w:t>. The Holder acknowledges that a waiver by the Company or breach of any provision of this Agreement shall not operate or be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construed as a waiver of any other provision of this Agreement, or of any subsequent breach by the Holder or any other Plan participants.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By the Holder’s execution or electronic acceptance of this Agreement (including the country-specific appendix attached hereto) in the manner specified in the Holder’s online account with the Company’s designated broker/stock plan administrator, the Holder and the Company have agreed that the Units are granted under and governed by the terms and conditions of the Plan and this Agreement (including any country-specific appendix attached hereto).</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00"/>
        <w:spacing w:after="0"/>
        <w:tabs>
          <w:tab w:leader="none" w:pos="4300" w:val="left"/>
        </w:tabs>
        <w:rPr>
          <w:sz w:val="20"/>
          <w:szCs w:val="20"/>
          <w:color w:val="auto"/>
        </w:rPr>
      </w:pPr>
      <w:r>
        <w:rPr>
          <w:rFonts w:ascii="Arial" w:cs="Arial" w:eastAsia="Arial" w:hAnsi="Arial"/>
          <w:sz w:val="20"/>
          <w:szCs w:val="20"/>
          <w:color w:val="auto"/>
        </w:rPr>
        <w:t>-9-</w:t>
      </w:r>
      <w:r>
        <w:rPr>
          <w:sz w:val="20"/>
          <w:szCs w:val="20"/>
          <w:color w:val="auto"/>
        </w:rPr>
        <w:tab/>
      </w:r>
      <w:r>
        <w:rPr>
          <w:rFonts w:ascii="Arial" w:cs="Arial" w:eastAsia="Arial" w:hAnsi="Arial"/>
          <w:sz w:val="15"/>
          <w:szCs w:val="15"/>
          <w:color w:val="auto"/>
        </w:rPr>
        <w:t>2010 Plan; Officer PUA Agreement</w:t>
      </w:r>
    </w:p>
    <w:p>
      <w:pPr>
        <w:sectPr>
          <w:pgSz w:w="11900" w:h="16838" w:orient="portrait"/>
          <w:cols w:equalWidth="0" w:num="1">
            <w:col w:w="11420"/>
          </w:cols>
          <w:pgMar w:left="240" w:top="609" w:right="239" w:bottom="1440" w:gutter="0" w:footer="0" w:header="0"/>
        </w:sectPr>
      </w:pPr>
    </w:p>
    <w:bookmarkStart w:id="52" w:name="page53"/>
    <w:bookmarkEnd w:id="52"/>
    <w:p>
      <w:pPr>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an officer thereunto duly authorized,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Holder has executed this Agreement, all as of the date first above written.</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WEATHERFORD INTERNATIONAL PLC</w:t>
      </w: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7543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ADDRESS:</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Bahnhofstrasse 1</w:t>
      </w:r>
    </w:p>
    <w:p>
      <w:pPr>
        <w:ind w:left="4540"/>
        <w:spacing w:after="0"/>
        <w:rPr>
          <w:sz w:val="20"/>
          <w:szCs w:val="20"/>
          <w:color w:val="auto"/>
        </w:rPr>
      </w:pPr>
      <w:r>
        <w:rPr>
          <w:rFonts w:ascii="Arial" w:cs="Arial" w:eastAsia="Arial" w:hAnsi="Arial"/>
          <w:sz w:val="20"/>
          <w:szCs w:val="20"/>
          <w:color w:val="auto"/>
        </w:rPr>
        <w:t>Baar 6340, Switzerland</w:t>
      </w:r>
    </w:p>
    <w:p>
      <w:pPr>
        <w:ind w:left="4540"/>
        <w:spacing w:after="0"/>
        <w:rPr>
          <w:sz w:val="20"/>
          <w:szCs w:val="20"/>
          <w:color w:val="auto"/>
        </w:rPr>
      </w:pPr>
      <w:r>
        <w:rPr>
          <w:rFonts w:ascii="Arial" w:cs="Arial" w:eastAsia="Arial" w:hAnsi="Arial"/>
          <w:sz w:val="20"/>
          <w:szCs w:val="20"/>
          <w:color w:val="auto"/>
        </w:rPr>
        <w:t>Attn: Corporate Secretary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HOLDER:</w:t>
      </w:r>
    </w:p>
    <w:p>
      <w:pPr>
        <w:spacing w:after="0" w:line="200" w:lineRule="exact"/>
        <w:rPr>
          <w:sz w:val="20"/>
          <w:szCs w:val="20"/>
          <w:color w:val="auto"/>
        </w:rPr>
      </w:pPr>
    </w:p>
    <w:p>
      <w:pPr>
        <w:spacing w:after="0" w:line="265" w:lineRule="exact"/>
        <w:rPr>
          <w:sz w:val="20"/>
          <w:szCs w:val="20"/>
          <w:color w:val="auto"/>
        </w:rPr>
      </w:pPr>
    </w:p>
    <w:p>
      <w:pPr>
        <w:ind w:left="3900"/>
        <w:spacing w:after="0"/>
        <w:tabs>
          <w:tab w:leader="none" w:pos="4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377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(Signature page to the Performance Units Award Agreement)</w:t>
      </w:r>
    </w:p>
    <w:p>
      <w:pPr>
        <w:sectPr>
          <w:pgSz w:w="11900" w:h="16838" w:orient="portrait"/>
          <w:cols w:equalWidth="0" w:num="1">
            <w:col w:w="11000"/>
          </w:cols>
          <w:pgMar w:left="240" w:top="589" w:right="65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29"/>
          <w:szCs w:val="29"/>
          <w:b w:val="1"/>
          <w:bCs w:val="1"/>
          <w:color w:val="auto"/>
        </w:rPr>
        <w:t>Annex A — Performance Goal</w:t>
      </w:r>
    </w:p>
    <w:p>
      <w:pPr>
        <w:spacing w:after="0" w:line="311"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The Performance Goal used to determine the extent of conversion of the Units into Shares will be Weatherford’s closing stock price of the Shares (“Stock Price”) averaged for all trading days in the last month of each calendar year ending ____, ____ and ____.</w:t>
      </w:r>
    </w:p>
    <w:p>
      <w:pPr>
        <w:spacing w:after="0" w:line="298" w:lineRule="exact"/>
        <w:rPr>
          <w:sz w:val="20"/>
          <w:szCs w:val="20"/>
          <w:color w:val="auto"/>
        </w:rPr>
      </w:pPr>
    </w:p>
    <w:tbl>
      <w:tblPr>
        <w:tblLayout w:type="fixed"/>
        <w:tblInd w:w="90" w:type="dxa"/>
        <w:tblCellMar>
          <w:top w:w="0" w:type="dxa"/>
          <w:left w:w="0" w:type="dxa"/>
          <w:bottom w:w="0" w:type="dxa"/>
          <w:right w:w="0" w:type="dxa"/>
        </w:tblCellMar>
      </w:tblPr>
      <w:tr>
        <w:trPr>
          <w:trHeight w:val="247"/>
        </w:trPr>
        <w:tc>
          <w:tcPr>
            <w:tcW w:w="3440" w:type="dxa"/>
            <w:vAlign w:val="bottom"/>
            <w:tcBorders>
              <w:top w:val="single" w:sz="8" w:color="00000A"/>
              <w:left w:val="single" w:sz="8" w:color="00000A"/>
              <w:right w:val="single" w:sz="8" w:color="00000A"/>
            </w:tcBorders>
          </w:tcPr>
          <w:p>
            <w:pPr>
              <w:spacing w:after="0"/>
              <w:rPr>
                <w:sz w:val="21"/>
                <w:szCs w:val="21"/>
                <w:color w:val="auto"/>
              </w:rPr>
            </w:pPr>
          </w:p>
        </w:tc>
        <w:tc>
          <w:tcPr>
            <w:tcW w:w="216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w w:val="89"/>
              </w:rPr>
              <w:t>Conversion Percentage*</w:t>
            </w:r>
          </w:p>
        </w:tc>
        <w:tc>
          <w:tcPr>
            <w:tcW w:w="5760" w:type="dxa"/>
            <w:vAlign w:val="bottom"/>
            <w:tcBorders>
              <w:top w:val="single" w:sz="8" w:color="00000A"/>
              <w:right w:val="single" w:sz="8" w:color="00000A"/>
            </w:tcBorders>
            <w:gridSpan w:val="3"/>
          </w:tcPr>
          <w:p>
            <w:pPr>
              <w:jc w:val="center"/>
              <w:ind w:right="20"/>
              <w:spacing w:after="0"/>
              <w:rPr>
                <w:sz w:val="20"/>
                <w:szCs w:val="20"/>
                <w:color w:val="auto"/>
              </w:rPr>
            </w:pPr>
            <w:r>
              <w:rPr>
                <w:rFonts w:ascii="Arial" w:cs="Arial" w:eastAsia="Arial" w:hAnsi="Arial"/>
                <w:sz w:val="20"/>
                <w:szCs w:val="20"/>
                <w:b w:val="1"/>
                <w:bCs w:val="1"/>
                <w:color w:val="auto"/>
                <w:w w:val="89"/>
              </w:rPr>
              <w:t>Average Weatherford International plc closing Stock Price ($ per</w:t>
            </w:r>
          </w:p>
        </w:tc>
      </w:tr>
      <w:tr>
        <w:trPr>
          <w:trHeight w:val="230"/>
        </w:trPr>
        <w:tc>
          <w:tcPr>
            <w:tcW w:w="3440" w:type="dxa"/>
            <w:vAlign w:val="bottom"/>
            <w:tcBorders>
              <w:left w:val="single" w:sz="8" w:color="00000A"/>
              <w:right w:val="single" w:sz="8" w:color="00000A"/>
            </w:tcBorders>
          </w:tcPr>
          <w:p>
            <w:pPr>
              <w:ind w:left="940"/>
              <w:spacing w:after="0"/>
              <w:rPr>
                <w:sz w:val="20"/>
                <w:szCs w:val="20"/>
                <w:color w:val="auto"/>
              </w:rPr>
            </w:pPr>
            <w:r>
              <w:rPr>
                <w:rFonts w:ascii="Arial" w:cs="Arial" w:eastAsia="Arial" w:hAnsi="Arial"/>
                <w:sz w:val="20"/>
                <w:szCs w:val="20"/>
                <w:b w:val="1"/>
                <w:bCs w:val="1"/>
                <w:color w:val="auto"/>
              </w:rPr>
              <w:t>Performance Goal</w:t>
            </w:r>
          </w:p>
        </w:tc>
        <w:tc>
          <w:tcPr>
            <w:tcW w:w="2160" w:type="dxa"/>
            <w:vAlign w:val="bottom"/>
            <w:tcBorders>
              <w:right w:val="single" w:sz="8" w:color="00000A"/>
            </w:tcBorders>
          </w:tcPr>
          <w:p>
            <w:pPr>
              <w:spacing w:after="0"/>
              <w:rPr>
                <w:sz w:val="19"/>
                <w:szCs w:val="19"/>
                <w:color w:val="auto"/>
              </w:rPr>
            </w:pPr>
          </w:p>
        </w:tc>
        <w:tc>
          <w:tcPr>
            <w:tcW w:w="5760" w:type="dxa"/>
            <w:vAlign w:val="bottom"/>
            <w:tcBorders>
              <w:right w:val="single" w:sz="8" w:color="00000A"/>
            </w:tcBorders>
            <w:gridSpan w:val="3"/>
          </w:tcPr>
          <w:p>
            <w:pPr>
              <w:jc w:val="center"/>
              <w:ind w:right="40"/>
              <w:spacing w:after="0"/>
              <w:rPr>
                <w:sz w:val="20"/>
                <w:szCs w:val="20"/>
                <w:color w:val="auto"/>
              </w:rPr>
            </w:pPr>
            <w:r>
              <w:rPr>
                <w:rFonts w:ascii="Arial" w:cs="Arial" w:eastAsia="Arial" w:hAnsi="Arial"/>
                <w:sz w:val="20"/>
                <w:szCs w:val="20"/>
                <w:b w:val="1"/>
                <w:bCs w:val="1"/>
                <w:color w:val="auto"/>
                <w:w w:val="89"/>
              </w:rPr>
              <w:t>share) on each trading day in December in the calendar year</w:t>
            </w:r>
          </w:p>
        </w:tc>
      </w:tr>
      <w:tr>
        <w:trPr>
          <w:trHeight w:val="256"/>
        </w:trPr>
        <w:tc>
          <w:tcPr>
            <w:tcW w:w="3440" w:type="dxa"/>
            <w:vAlign w:val="bottom"/>
            <w:tcBorders>
              <w:left w:val="single" w:sz="8" w:color="00000A"/>
              <w:right w:val="single" w:sz="8" w:color="00000A"/>
            </w:tcBorders>
          </w:tcPr>
          <w:p>
            <w:pPr>
              <w:spacing w:after="0"/>
              <w:rPr>
                <w:sz w:val="22"/>
                <w:szCs w:val="22"/>
                <w:color w:val="auto"/>
              </w:rPr>
            </w:pPr>
          </w:p>
        </w:tc>
        <w:tc>
          <w:tcPr>
            <w:tcW w:w="2160" w:type="dxa"/>
            <w:vAlign w:val="bottom"/>
            <w:tcBorders>
              <w:right w:val="single" w:sz="8" w:color="00000A"/>
            </w:tcBorders>
          </w:tcPr>
          <w:p>
            <w:pPr>
              <w:spacing w:after="0"/>
              <w:rPr>
                <w:sz w:val="22"/>
                <w:szCs w:val="22"/>
                <w:color w:val="auto"/>
              </w:rPr>
            </w:pPr>
          </w:p>
        </w:tc>
        <w:tc>
          <w:tcPr>
            <w:tcW w:w="1920" w:type="dxa"/>
            <w:vAlign w:val="bottom"/>
          </w:tcPr>
          <w:p>
            <w:pPr>
              <w:spacing w:after="0"/>
              <w:rPr>
                <w:sz w:val="22"/>
                <w:szCs w:val="22"/>
                <w:color w:val="auto"/>
              </w:rPr>
            </w:pPr>
          </w:p>
        </w:tc>
        <w:tc>
          <w:tcPr>
            <w:tcW w:w="3840" w:type="dxa"/>
            <w:vAlign w:val="bottom"/>
            <w:tcBorders>
              <w:right w:val="single" w:sz="8" w:color="00000A"/>
            </w:tcBorders>
            <w:gridSpan w:val="2"/>
          </w:tcPr>
          <w:p>
            <w:pPr>
              <w:jc w:val="center"/>
              <w:ind w:right="1960"/>
              <w:spacing w:after="0"/>
              <w:rPr>
                <w:sz w:val="20"/>
                <w:szCs w:val="20"/>
                <w:color w:val="auto"/>
              </w:rPr>
            </w:pPr>
            <w:r>
              <w:rPr>
                <w:rFonts w:ascii="Arial" w:cs="Arial" w:eastAsia="Arial" w:hAnsi="Arial"/>
                <w:sz w:val="20"/>
                <w:szCs w:val="20"/>
                <w:b w:val="1"/>
                <w:bCs w:val="1"/>
                <w:color w:val="auto"/>
                <w:w w:val="88"/>
              </w:rPr>
              <w:t>ending:</w:t>
            </w:r>
          </w:p>
        </w:tc>
      </w:tr>
      <w:tr>
        <w:trPr>
          <w:trHeight w:val="23"/>
        </w:trPr>
        <w:tc>
          <w:tcPr>
            <w:tcW w:w="3440" w:type="dxa"/>
            <w:vAlign w:val="bottom"/>
            <w:tcBorders>
              <w:left w:val="single" w:sz="8" w:color="00000A"/>
              <w:bottom w:val="single" w:sz="8" w:color="00000A"/>
              <w:right w:val="single" w:sz="8" w:color="00000A"/>
            </w:tcBorders>
          </w:tcPr>
          <w:p>
            <w:pPr>
              <w:spacing w:after="0"/>
              <w:rPr>
                <w:sz w:val="2"/>
                <w:szCs w:val="2"/>
                <w:color w:val="auto"/>
              </w:rPr>
            </w:pPr>
          </w:p>
        </w:tc>
        <w:tc>
          <w:tcPr>
            <w:tcW w:w="2160" w:type="dxa"/>
            <w:vAlign w:val="bottom"/>
            <w:tcBorders>
              <w:bottom w:val="single" w:sz="8" w:color="00000A"/>
              <w:right w:val="single" w:sz="8" w:color="00000A"/>
            </w:tcBorders>
          </w:tcPr>
          <w:p>
            <w:pPr>
              <w:spacing w:after="0"/>
              <w:rPr>
                <w:sz w:val="2"/>
                <w:szCs w:val="2"/>
                <w:color w:val="auto"/>
              </w:rPr>
            </w:pPr>
          </w:p>
        </w:tc>
        <w:tc>
          <w:tcPr>
            <w:tcW w:w="1920" w:type="dxa"/>
            <w:vAlign w:val="bottom"/>
            <w:tcBorders>
              <w:bottom w:val="single" w:sz="8" w:color="00000A"/>
            </w:tcBorders>
          </w:tcPr>
          <w:p>
            <w:pPr>
              <w:spacing w:after="0"/>
              <w:rPr>
                <w:sz w:val="2"/>
                <w:szCs w:val="2"/>
                <w:color w:val="auto"/>
              </w:rPr>
            </w:pPr>
          </w:p>
        </w:tc>
        <w:tc>
          <w:tcPr>
            <w:tcW w:w="2040" w:type="dxa"/>
            <w:vAlign w:val="bottom"/>
            <w:tcBorders>
              <w:bottom w:val="single" w:sz="8" w:color="00000A"/>
            </w:tcBorders>
          </w:tcPr>
          <w:p>
            <w:pPr>
              <w:spacing w:after="0"/>
              <w:rPr>
                <w:sz w:val="2"/>
                <w:szCs w:val="2"/>
                <w:color w:val="auto"/>
              </w:rPr>
            </w:pPr>
          </w:p>
        </w:tc>
        <w:tc>
          <w:tcPr>
            <w:tcW w:w="1800" w:type="dxa"/>
            <w:vAlign w:val="bottom"/>
            <w:tcBorders>
              <w:bottom w:val="single" w:sz="8" w:color="00000A"/>
              <w:right w:val="single" w:sz="8" w:color="00000A"/>
            </w:tcBorders>
          </w:tcPr>
          <w:p>
            <w:pPr>
              <w:spacing w:after="0"/>
              <w:rPr>
                <w:sz w:val="2"/>
                <w:szCs w:val="2"/>
                <w:color w:val="auto"/>
              </w:rPr>
            </w:pPr>
          </w:p>
        </w:tc>
      </w:tr>
      <w:tr>
        <w:trPr>
          <w:trHeight w:val="291"/>
        </w:trPr>
        <w:tc>
          <w:tcPr>
            <w:tcW w:w="3440" w:type="dxa"/>
            <w:vAlign w:val="bottom"/>
            <w:tcBorders>
              <w:left w:val="single" w:sz="8" w:color="00000A"/>
              <w:bottom w:val="single" w:sz="8" w:color="00000A"/>
              <w:right w:val="single" w:sz="8" w:color="00000A"/>
            </w:tcBorders>
          </w:tcPr>
          <w:p>
            <w:pPr>
              <w:spacing w:after="0"/>
              <w:rPr>
                <w:sz w:val="24"/>
                <w:szCs w:val="24"/>
                <w:color w:val="auto"/>
              </w:rPr>
            </w:pPr>
          </w:p>
        </w:tc>
        <w:tc>
          <w:tcPr>
            <w:tcW w:w="2160" w:type="dxa"/>
            <w:vAlign w:val="bottom"/>
            <w:tcBorders>
              <w:bottom w:val="single" w:sz="8" w:color="00000A"/>
              <w:right w:val="single" w:sz="8" w:color="00000A"/>
            </w:tcBorders>
          </w:tcPr>
          <w:p>
            <w:pPr>
              <w:spacing w:after="0"/>
              <w:rPr>
                <w:sz w:val="24"/>
                <w:szCs w:val="24"/>
                <w:color w:val="auto"/>
              </w:rPr>
            </w:pPr>
          </w:p>
        </w:tc>
        <w:tc>
          <w:tcPr>
            <w:tcW w:w="1920" w:type="dxa"/>
            <w:vAlign w:val="bottom"/>
            <w:tcBorders>
              <w:bottom w:val="single" w:sz="8" w:color="00000A"/>
              <w:right w:val="single" w:sz="8" w:color="00000A"/>
            </w:tcBorders>
          </w:tcPr>
          <w:p>
            <w:pPr>
              <w:spacing w:after="0"/>
              <w:rPr>
                <w:sz w:val="24"/>
                <w:szCs w:val="24"/>
                <w:color w:val="auto"/>
              </w:rPr>
            </w:pPr>
          </w:p>
        </w:tc>
        <w:tc>
          <w:tcPr>
            <w:tcW w:w="2040" w:type="dxa"/>
            <w:vAlign w:val="bottom"/>
            <w:tcBorders>
              <w:bottom w:val="single" w:sz="8" w:color="00000A"/>
              <w:right w:val="single" w:sz="8" w:color="00000A"/>
            </w:tcBorders>
          </w:tcPr>
          <w:p>
            <w:pPr>
              <w:spacing w:after="0"/>
              <w:rPr>
                <w:sz w:val="24"/>
                <w:szCs w:val="24"/>
                <w:color w:val="auto"/>
              </w:rPr>
            </w:pPr>
          </w:p>
        </w:tc>
        <w:tc>
          <w:tcPr>
            <w:tcW w:w="1800" w:type="dxa"/>
            <w:vAlign w:val="bottom"/>
            <w:tcBorders>
              <w:bottom w:val="single" w:sz="8" w:color="00000A"/>
              <w:right w:val="single" w:sz="8" w:color="00000A"/>
            </w:tcBorders>
          </w:tcPr>
          <w:p>
            <w:pPr>
              <w:spacing w:after="0"/>
              <w:rPr>
                <w:sz w:val="24"/>
                <w:szCs w:val="24"/>
                <w:color w:val="auto"/>
              </w:rPr>
            </w:pPr>
          </w:p>
        </w:tc>
      </w:tr>
      <w:tr>
        <w:trPr>
          <w:trHeight w:val="318"/>
        </w:trPr>
        <w:tc>
          <w:tcPr>
            <w:tcW w:w="3440" w:type="dxa"/>
            <w:vAlign w:val="bottom"/>
            <w:tcBorders>
              <w:left w:val="single" w:sz="8" w:color="00000A"/>
              <w:bottom w:val="single" w:sz="8" w:color="00000A"/>
              <w:right w:val="single" w:sz="8" w:color="00000A"/>
            </w:tcBorders>
          </w:tcPr>
          <w:p>
            <w:pPr>
              <w:spacing w:after="0"/>
              <w:rPr>
                <w:sz w:val="24"/>
                <w:szCs w:val="24"/>
                <w:color w:val="auto"/>
              </w:rPr>
            </w:pPr>
          </w:p>
        </w:tc>
        <w:tc>
          <w:tcPr>
            <w:tcW w:w="2160" w:type="dxa"/>
            <w:vAlign w:val="bottom"/>
            <w:tcBorders>
              <w:bottom w:val="single" w:sz="8" w:color="00000A"/>
              <w:right w:val="single" w:sz="8" w:color="00000A"/>
            </w:tcBorders>
          </w:tcPr>
          <w:p>
            <w:pPr>
              <w:spacing w:after="0"/>
              <w:rPr>
                <w:sz w:val="24"/>
                <w:szCs w:val="24"/>
                <w:color w:val="auto"/>
              </w:rPr>
            </w:pPr>
          </w:p>
        </w:tc>
        <w:tc>
          <w:tcPr>
            <w:tcW w:w="1920" w:type="dxa"/>
            <w:vAlign w:val="bottom"/>
            <w:tcBorders>
              <w:bottom w:val="single" w:sz="8" w:color="00000A"/>
              <w:right w:val="single" w:sz="8" w:color="00000A"/>
            </w:tcBorders>
          </w:tcPr>
          <w:p>
            <w:pPr>
              <w:spacing w:after="0"/>
              <w:rPr>
                <w:sz w:val="24"/>
                <w:szCs w:val="24"/>
                <w:color w:val="auto"/>
              </w:rPr>
            </w:pPr>
          </w:p>
        </w:tc>
        <w:tc>
          <w:tcPr>
            <w:tcW w:w="2040" w:type="dxa"/>
            <w:vAlign w:val="bottom"/>
            <w:tcBorders>
              <w:bottom w:val="single" w:sz="8" w:color="00000A"/>
              <w:right w:val="single" w:sz="8" w:color="00000A"/>
            </w:tcBorders>
          </w:tcPr>
          <w:p>
            <w:pPr>
              <w:spacing w:after="0"/>
              <w:rPr>
                <w:sz w:val="24"/>
                <w:szCs w:val="24"/>
                <w:color w:val="auto"/>
              </w:rPr>
            </w:pPr>
          </w:p>
        </w:tc>
        <w:tc>
          <w:tcPr>
            <w:tcW w:w="1800" w:type="dxa"/>
            <w:vAlign w:val="bottom"/>
            <w:tcBorders>
              <w:bottom w:val="single" w:sz="8" w:color="00000A"/>
              <w:right w:val="single" w:sz="8" w:color="00000A"/>
            </w:tcBorders>
          </w:tcPr>
          <w:p>
            <w:pPr>
              <w:spacing w:after="0"/>
              <w:rPr>
                <w:sz w:val="24"/>
                <w:szCs w:val="24"/>
                <w:color w:val="auto"/>
              </w:rPr>
            </w:pPr>
          </w:p>
        </w:tc>
      </w:tr>
      <w:tr>
        <w:trPr>
          <w:trHeight w:val="318"/>
        </w:trPr>
        <w:tc>
          <w:tcPr>
            <w:tcW w:w="3440" w:type="dxa"/>
            <w:vAlign w:val="bottom"/>
            <w:tcBorders>
              <w:left w:val="single" w:sz="8" w:color="00000A"/>
              <w:bottom w:val="single" w:sz="8" w:color="00000A"/>
              <w:right w:val="single" w:sz="8" w:color="00000A"/>
            </w:tcBorders>
          </w:tcPr>
          <w:p>
            <w:pPr>
              <w:spacing w:after="0"/>
              <w:rPr>
                <w:sz w:val="24"/>
                <w:szCs w:val="24"/>
                <w:color w:val="auto"/>
              </w:rPr>
            </w:pPr>
          </w:p>
        </w:tc>
        <w:tc>
          <w:tcPr>
            <w:tcW w:w="2160" w:type="dxa"/>
            <w:vAlign w:val="bottom"/>
            <w:tcBorders>
              <w:bottom w:val="single" w:sz="8" w:color="00000A"/>
              <w:right w:val="single" w:sz="8" w:color="00000A"/>
            </w:tcBorders>
          </w:tcPr>
          <w:p>
            <w:pPr>
              <w:spacing w:after="0"/>
              <w:rPr>
                <w:sz w:val="24"/>
                <w:szCs w:val="24"/>
                <w:color w:val="auto"/>
              </w:rPr>
            </w:pPr>
          </w:p>
        </w:tc>
        <w:tc>
          <w:tcPr>
            <w:tcW w:w="1920" w:type="dxa"/>
            <w:vAlign w:val="bottom"/>
            <w:tcBorders>
              <w:bottom w:val="single" w:sz="8" w:color="00000A"/>
              <w:right w:val="single" w:sz="8" w:color="00000A"/>
            </w:tcBorders>
          </w:tcPr>
          <w:p>
            <w:pPr>
              <w:spacing w:after="0"/>
              <w:rPr>
                <w:sz w:val="24"/>
                <w:szCs w:val="24"/>
                <w:color w:val="auto"/>
              </w:rPr>
            </w:pPr>
          </w:p>
        </w:tc>
        <w:tc>
          <w:tcPr>
            <w:tcW w:w="2040" w:type="dxa"/>
            <w:vAlign w:val="bottom"/>
            <w:tcBorders>
              <w:bottom w:val="single" w:sz="8" w:color="00000A"/>
              <w:right w:val="single" w:sz="8" w:color="00000A"/>
            </w:tcBorders>
          </w:tcPr>
          <w:p>
            <w:pPr>
              <w:spacing w:after="0"/>
              <w:rPr>
                <w:sz w:val="24"/>
                <w:szCs w:val="24"/>
                <w:color w:val="auto"/>
              </w:rPr>
            </w:pPr>
          </w:p>
        </w:tc>
        <w:tc>
          <w:tcPr>
            <w:tcW w:w="1800" w:type="dxa"/>
            <w:vAlign w:val="bottom"/>
            <w:tcBorders>
              <w:bottom w:val="single" w:sz="8" w:color="00000A"/>
              <w:right w:val="single" w:sz="8" w:color="00000A"/>
            </w:tcBorders>
          </w:tcPr>
          <w:p>
            <w:pPr>
              <w:spacing w:after="0"/>
              <w:rPr>
                <w:sz w:val="24"/>
                <w:szCs w:val="24"/>
                <w:color w:val="auto"/>
              </w:rPr>
            </w:pPr>
          </w:p>
        </w:tc>
      </w:tr>
      <w:tr>
        <w:trPr>
          <w:trHeight w:val="318"/>
        </w:trPr>
        <w:tc>
          <w:tcPr>
            <w:tcW w:w="3440" w:type="dxa"/>
            <w:vAlign w:val="bottom"/>
            <w:tcBorders>
              <w:left w:val="single" w:sz="8" w:color="00000A"/>
              <w:bottom w:val="single" w:sz="8" w:color="00000A"/>
              <w:right w:val="single" w:sz="8" w:color="00000A"/>
            </w:tcBorders>
          </w:tcPr>
          <w:p>
            <w:pPr>
              <w:spacing w:after="0"/>
              <w:rPr>
                <w:sz w:val="24"/>
                <w:szCs w:val="24"/>
                <w:color w:val="auto"/>
              </w:rPr>
            </w:pPr>
          </w:p>
        </w:tc>
        <w:tc>
          <w:tcPr>
            <w:tcW w:w="2160" w:type="dxa"/>
            <w:vAlign w:val="bottom"/>
            <w:tcBorders>
              <w:bottom w:val="single" w:sz="8" w:color="00000A"/>
              <w:right w:val="single" w:sz="8" w:color="00000A"/>
            </w:tcBorders>
          </w:tcPr>
          <w:p>
            <w:pPr>
              <w:spacing w:after="0"/>
              <w:rPr>
                <w:sz w:val="24"/>
                <w:szCs w:val="24"/>
                <w:color w:val="auto"/>
              </w:rPr>
            </w:pPr>
          </w:p>
        </w:tc>
        <w:tc>
          <w:tcPr>
            <w:tcW w:w="1920" w:type="dxa"/>
            <w:vAlign w:val="bottom"/>
            <w:tcBorders>
              <w:bottom w:val="single" w:sz="8" w:color="00000A"/>
              <w:right w:val="single" w:sz="8" w:color="00000A"/>
            </w:tcBorders>
          </w:tcPr>
          <w:p>
            <w:pPr>
              <w:spacing w:after="0"/>
              <w:rPr>
                <w:sz w:val="24"/>
                <w:szCs w:val="24"/>
                <w:color w:val="auto"/>
              </w:rPr>
            </w:pPr>
          </w:p>
        </w:tc>
        <w:tc>
          <w:tcPr>
            <w:tcW w:w="2040" w:type="dxa"/>
            <w:vAlign w:val="bottom"/>
            <w:tcBorders>
              <w:bottom w:val="single" w:sz="8" w:color="00000A"/>
              <w:right w:val="single" w:sz="8" w:color="00000A"/>
            </w:tcBorders>
          </w:tcPr>
          <w:p>
            <w:pPr>
              <w:spacing w:after="0"/>
              <w:rPr>
                <w:sz w:val="24"/>
                <w:szCs w:val="24"/>
                <w:color w:val="auto"/>
              </w:rPr>
            </w:pPr>
          </w:p>
        </w:tc>
        <w:tc>
          <w:tcPr>
            <w:tcW w:w="1800" w:type="dxa"/>
            <w:vAlign w:val="bottom"/>
            <w:tcBorders>
              <w:bottom w:val="single" w:sz="8" w:color="00000A"/>
              <w:right w:val="single" w:sz="8" w:color="00000A"/>
            </w:tcBorders>
          </w:tcPr>
          <w:p>
            <w:pPr>
              <w:spacing w:after="0"/>
              <w:rPr>
                <w:sz w:val="24"/>
                <w:szCs w:val="24"/>
                <w:color w:val="auto"/>
              </w:rPr>
            </w:pPr>
          </w:p>
        </w:tc>
      </w:tr>
      <w:tr>
        <w:trPr>
          <w:trHeight w:val="318"/>
        </w:trPr>
        <w:tc>
          <w:tcPr>
            <w:tcW w:w="3440" w:type="dxa"/>
            <w:vAlign w:val="bottom"/>
            <w:tcBorders>
              <w:left w:val="single" w:sz="8" w:color="00000A"/>
              <w:bottom w:val="single" w:sz="8" w:color="00000A"/>
              <w:right w:val="single" w:sz="8" w:color="00000A"/>
            </w:tcBorders>
          </w:tcPr>
          <w:p>
            <w:pPr>
              <w:spacing w:after="0"/>
              <w:rPr>
                <w:sz w:val="24"/>
                <w:szCs w:val="24"/>
                <w:color w:val="auto"/>
              </w:rPr>
            </w:pPr>
          </w:p>
        </w:tc>
        <w:tc>
          <w:tcPr>
            <w:tcW w:w="2160" w:type="dxa"/>
            <w:vAlign w:val="bottom"/>
            <w:tcBorders>
              <w:bottom w:val="single" w:sz="8" w:color="00000A"/>
              <w:right w:val="single" w:sz="8" w:color="00000A"/>
            </w:tcBorders>
          </w:tcPr>
          <w:p>
            <w:pPr>
              <w:spacing w:after="0"/>
              <w:rPr>
                <w:sz w:val="24"/>
                <w:szCs w:val="24"/>
                <w:color w:val="auto"/>
              </w:rPr>
            </w:pPr>
          </w:p>
        </w:tc>
        <w:tc>
          <w:tcPr>
            <w:tcW w:w="1920" w:type="dxa"/>
            <w:vAlign w:val="bottom"/>
            <w:tcBorders>
              <w:bottom w:val="single" w:sz="8" w:color="00000A"/>
              <w:right w:val="single" w:sz="8" w:color="00000A"/>
            </w:tcBorders>
          </w:tcPr>
          <w:p>
            <w:pPr>
              <w:spacing w:after="0"/>
              <w:rPr>
                <w:sz w:val="24"/>
                <w:szCs w:val="24"/>
                <w:color w:val="auto"/>
              </w:rPr>
            </w:pPr>
          </w:p>
        </w:tc>
        <w:tc>
          <w:tcPr>
            <w:tcW w:w="2040" w:type="dxa"/>
            <w:vAlign w:val="bottom"/>
            <w:tcBorders>
              <w:bottom w:val="single" w:sz="8" w:color="00000A"/>
              <w:right w:val="single" w:sz="8" w:color="00000A"/>
            </w:tcBorders>
          </w:tcPr>
          <w:p>
            <w:pPr>
              <w:spacing w:after="0"/>
              <w:rPr>
                <w:sz w:val="24"/>
                <w:szCs w:val="24"/>
                <w:color w:val="auto"/>
              </w:rPr>
            </w:pPr>
          </w:p>
        </w:tc>
        <w:tc>
          <w:tcPr>
            <w:tcW w:w="1800" w:type="dxa"/>
            <w:vAlign w:val="bottom"/>
            <w:tcBorders>
              <w:bottom w:val="single" w:sz="8" w:color="00000A"/>
              <w:right w:val="single" w:sz="8" w:color="00000A"/>
            </w:tcBorders>
          </w:tcPr>
          <w:p>
            <w:pPr>
              <w:spacing w:after="0"/>
              <w:rPr>
                <w:sz w:val="24"/>
                <w:szCs w:val="24"/>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*Will be interpolated for intermediate results within the stock price range shown.</w:t>
      </w:r>
    </w:p>
    <w:p>
      <w:pPr>
        <w:sectPr>
          <w:pgSz w:w="11900" w:h="16838" w:orient="portrait"/>
          <w:cols w:equalWidth="0" w:num="1">
            <w:col w:w="11440"/>
          </w:cols>
          <w:pgMar w:left="240" w:top="1018" w:right="21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Bernard J. Duroc-Danner, certify that:</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April 24, 2015</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Bernard J. Duroc-Danner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Bernard J. Duroc-Danner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Krishna Shivram, certify that:</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Date: April 24, 2015</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Krishna Shivram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Krishna Shivram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connection with the Quarterly Report on Form 10-Q of Weatherford International plc (the "Company") for the period ended March 31, 2015 as filed with the Securities and Exchange Commission on the date hereof (the "Report"), I, Bernard J. Duroc-Danner,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480" w:hanging="324"/>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Duroc-Danner</w:t>
      </w:r>
    </w:p>
    <w:p>
      <w:pPr>
        <w:spacing w:after="0" w:line="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Bernard J. Duroc-Danner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April 24, 2015</w:t>
      </w:r>
    </w:p>
    <w:p>
      <w:pPr>
        <w:spacing w:after="0" w:line="2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In connection with the Quarterly Report on Form 10-K of Weatherford International plc (the "Company") for the period ended March 31, 2015 as filed with the Securities and Exchange Commission on the date hereof (the "Report"), I, Krishna Shivram,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480" w:hanging="324"/>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Krishna Shivram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Krishna Shivram</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April 24, 2015</w:t>
      </w:r>
    </w:p>
    <w:p>
      <w:pPr>
        <w:spacing w:after="0" w:line="2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1."/>
      <w:numFmt w:val="decimal"/>
      <w:start w:val="1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3"/>
    </w:lvl>
  </w:abstractNum>
  <w:abstractNum w:abstractNumId="6">
    <w:nsid w:val="7C83E458"/>
    <w:multiLevelType w:val="hybridMultilevel"/>
    <w:lvl w:ilvl="0">
      <w:lvlJc w:val="left"/>
      <w:lvlText w:val="%1."/>
      <w:numFmt w:val="decimal"/>
      <w:start w:val="15"/>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4"/>
    </w:lvl>
    <w:lvl w:ilvl="1">
      <w:lvlJc w:val="left"/>
      <w:lvlText w:val="(%2)"/>
      <w:numFmt w:val="lowerLetter"/>
      <w:start w:val="1"/>
    </w:lvl>
  </w:abstractNum>
  <w:abstractNum w:abstractNumId="16">
    <w:nsid w:val="75A2A8D4"/>
    <w:multiLevelType w:val="hybridMultilevel"/>
    <w:lvl w:ilvl="0">
      <w:lvlJc w:val="left"/>
      <w:lvlText w:val="%1"/>
      <w:numFmt w:val="decimal"/>
      <w:start w:val="1"/>
    </w:lvl>
    <w:lvl w:ilvl="1">
      <w:lvlJc w:val="left"/>
      <w:lvlText w:val="(%2)"/>
      <w:numFmt w:val="lowerLetter"/>
      <w:start w:val="2"/>
    </w:lvl>
  </w:abstractNum>
  <w:abstractNum w:abstractNumId="17">
    <w:nsid w:val="8EDBDAB"/>
    <w:multiLevelType w:val="hybridMultilevel"/>
    <w:lvl w:ilvl="0">
      <w:lvlJc w:val="left"/>
      <w:lvlText w:val="%1."/>
      <w:numFmt w:val="decimal"/>
      <w:start w:val="5"/>
    </w:lvl>
    <w:lvl w:ilvl="1">
      <w:lvlJc w:val="left"/>
      <w:lvlText w:val="%2"/>
      <w:numFmt w:val="lowerLetter"/>
      <w:start w:val="1"/>
    </w:lvl>
  </w:abstractNum>
  <w:abstractNum w:abstractNumId="18">
    <w:nsid w:val="79838CB2"/>
    <w:multiLevelType w:val="hybridMultilevel"/>
    <w:lvl w:ilvl="0">
      <w:lvlJc w:val="left"/>
      <w:lvlText w:val="%1."/>
      <w:numFmt w:val="decimal"/>
      <w:start w:val="6"/>
    </w:lvl>
    <w:lvl w:ilvl="1">
      <w:lvlJc w:val="left"/>
      <w:lvlText w:val="%2."/>
      <w:numFmt w:val="lowerLetter"/>
      <w:start w:val="1"/>
    </w:lvl>
  </w:abstractNum>
  <w:abstractNum w:abstractNumId="19">
    <w:nsid w:val="4353D0CD"/>
    <w:multiLevelType w:val="hybridMultilevel"/>
    <w:lvl w:ilvl="0">
      <w:lvlJc w:val="left"/>
      <w:lvlText w:val="%1."/>
      <w:numFmt w:val="lowerLetter"/>
      <w:start w:val="3"/>
    </w:lvl>
  </w:abstractNum>
  <w:abstractNum w:abstractNumId="20">
    <w:nsid w:val="B03E0C6"/>
    <w:multiLevelType w:val="hybridMultilevel"/>
    <w:lvl w:ilvl="0">
      <w:lvlJc w:val="left"/>
      <w:lvlText w:val="%1."/>
      <w:numFmt w:val="decimal"/>
      <w:start w:val="9"/>
    </w:lvl>
  </w:abstractNum>
  <w:abstractNum w:abstractNumId="21">
    <w:nsid w:val="189A769B"/>
    <w:multiLevelType w:val="hybridMultilevel"/>
    <w:lvl w:ilvl="0">
      <w:lvlJc w:val="left"/>
      <w:lvlText w:val="%1."/>
      <w:numFmt w:val="decimal"/>
      <w:start w:val="12"/>
    </w:lvl>
  </w:abstractNum>
  <w:abstractNum w:abstractNumId="22">
    <w:nsid w:val="54E49EB4"/>
    <w:multiLevelType w:val="hybridMultilevel"/>
    <w:lvl w:ilvl="0">
      <w:lvlJc w:val="left"/>
      <w:lvlText w:val="%1."/>
      <w:numFmt w:val="decimal"/>
      <w:start w:val="14"/>
    </w:lvl>
    <w:lvl w:ilvl="1">
      <w:lvlJc w:val="left"/>
      <w:lvlText w:val="%2."/>
      <w:numFmt w:val="lowerLetter"/>
      <w:start w:val="1"/>
    </w:lvl>
  </w:abstractNum>
  <w:abstractNum w:abstractNumId="23">
    <w:nsid w:val="71F32454"/>
    <w:multiLevelType w:val="hybridMultilevel"/>
    <w:lvl w:ilvl="0">
      <w:lvlJc w:val="left"/>
      <w:lvlText w:val="%1."/>
      <w:numFmt w:val="lowerLetter"/>
      <w:start w:val="4"/>
    </w:lvl>
    <w:lvl w:ilvl="1">
      <w:lvlJc w:val="left"/>
      <w:lvlText w:val="%2."/>
      <w:numFmt w:val="lowerLetter"/>
      <w:start w:val="12"/>
    </w:lvl>
  </w:abstractNum>
  <w:abstractNum w:abstractNumId="24">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
    <w:nsid w:val="836C40E"/>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26">
    <w:nsid w:val="2901D82"/>
    <w:multiLevelType w:val="hybridMultilevel"/>
    <w:lvl w:ilvl="0">
      <w:lvlJc w:val="left"/>
      <w:lvlText w:val="%1."/>
      <w:numFmt w:val="decimal"/>
      <w:start w:val="2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2019-12-29T18:30:58Z</dcterms:created>
  <dcterms:modified xsi:type="dcterms:W3CDTF">2019-12-29T18:30:58Z</dcterms:modified>
</cp:coreProperties>
</file>