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4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Minas Angela A</w:t>
              </w:r>
            </w:hyperlink>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spacing w:after="0" w:line="117" w:lineRule="exact"/>
              <w:rPr>
                <w:rFonts w:ascii="Arial" w:cs="Arial" w:eastAsia="Arial" w:hAnsi="Arial"/>
                <w:sz w:val="13"/>
                <w:szCs w:val="13"/>
                <w:color w:val="0000EE"/>
              </w:rPr>
            </w:pPr>
            <w:hyperlink r:id="rId13">
              <w:r>
                <w:rPr>
                  <w:rFonts w:ascii="Arial" w:cs="Arial" w:eastAsia="Arial" w:hAnsi="Arial"/>
                  <w:sz w:val="13"/>
                  <w:szCs w:val="13"/>
                  <w:color w:val="0000EE"/>
                </w:rPr>
                <w:t xml:space="preserve">Weatherford International plc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2"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Director</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1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82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4"/>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80" w:type="dxa"/>
            <w:vAlign w:val="bottom"/>
            <w:gridSpan w:val="4"/>
            <w:vMerge w:val="restart"/>
          </w:tcPr>
          <w:p>
            <w:pPr>
              <w:ind w:left="800"/>
              <w:spacing w:after="0"/>
              <w:rPr>
                <w:sz w:val="20"/>
                <w:szCs w:val="20"/>
                <w:color w:val="auto"/>
              </w:rPr>
            </w:pPr>
            <w:r>
              <w:rPr>
                <w:rFonts w:ascii="Arial" w:cs="Arial" w:eastAsia="Arial" w:hAnsi="Arial"/>
                <w:sz w:val="12"/>
                <w:szCs w:val="12"/>
                <w:color w:val="0000FF"/>
              </w:rPr>
              <w:t>04/27/2018</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8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6"/>
          </w:tcPr>
          <w:p>
            <w:pPr>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HOUSTON</w:t>
            </w:r>
          </w:p>
        </w:tc>
        <w:tc>
          <w:tcPr>
            <w:tcW w:w="1160" w:type="dxa"/>
            <w:vAlign w:val="bottom"/>
            <w:vMerge w:val="restart"/>
          </w:tcPr>
          <w:p>
            <w:pPr>
              <w:ind w:left="100"/>
              <w:spacing w:after="0"/>
              <w:rPr>
                <w:sz w:val="20"/>
                <w:szCs w:val="20"/>
                <w:color w:val="auto"/>
              </w:rPr>
            </w:pPr>
            <w:r>
              <w:rPr>
                <w:rFonts w:ascii="Arial" w:cs="Arial" w:eastAsia="Arial" w:hAnsi="Arial"/>
                <w:sz w:val="12"/>
                <w:szCs w:val="12"/>
                <w:color w:val="0000FF"/>
              </w:rPr>
              <w:t>TX</w:t>
            </w:r>
          </w:p>
        </w:tc>
        <w:tc>
          <w:tcPr>
            <w:tcW w:w="820" w:type="dxa"/>
            <w:vAlign w:val="bottom"/>
            <w:vMerge w:val="restart"/>
          </w:tcPr>
          <w:p>
            <w:pPr>
              <w:ind w:left="220"/>
              <w:spacing w:after="0"/>
              <w:rPr>
                <w:sz w:val="20"/>
                <w:szCs w:val="20"/>
                <w:color w:val="auto"/>
              </w:rPr>
            </w:pPr>
            <w:r>
              <w:rPr>
                <w:rFonts w:ascii="Arial" w:cs="Arial" w:eastAsia="Arial" w:hAnsi="Arial"/>
                <w:sz w:val="12"/>
                <w:szCs w:val="12"/>
                <w:color w:val="0000FF"/>
              </w:rPr>
              <w:t>77056</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11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22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gridSpan w:val="12"/>
          </w:tcPr>
          <w:p>
            <w:pPr>
              <w:ind w:left="2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6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160" w:type="dxa"/>
            <w:vAlign w:val="bottom"/>
            <w:gridSpan w:val="4"/>
          </w:tcPr>
          <w:p>
            <w:pPr>
              <w:ind w:left="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2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spacing w:after="0"/>
              <w:rPr>
                <w:sz w:val="20"/>
                <w:szCs w:val="20"/>
                <w:color w:val="auto"/>
              </w:rPr>
            </w:pPr>
            <w:r>
              <w:rPr>
                <w:rFonts w:ascii="Arial" w:cs="Arial" w:eastAsia="Arial" w:hAnsi="Arial"/>
                <w:sz w:val="8"/>
                <w:szCs w:val="8"/>
                <w:b w:val="1"/>
                <w:bCs w:val="1"/>
                <w:color w:val="auto"/>
              </w:rPr>
              <w:t>V</w:t>
            </w:r>
          </w:p>
        </w:tc>
        <w:tc>
          <w:tcPr>
            <w:tcW w:w="720" w:type="dxa"/>
            <w:vAlign w:val="bottom"/>
          </w:tcPr>
          <w:p>
            <w:pPr>
              <w:ind w:left="8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2"/>
                <w:szCs w:val="12"/>
                <w:color w:val="0000FF"/>
                <w:w w:val="99"/>
              </w:rPr>
              <w:t>04/27/2018</w:t>
            </w: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259"/>
              <w:spacing w:after="0"/>
              <w:rPr>
                <w:sz w:val="20"/>
                <w:szCs w:val="20"/>
                <w:color w:val="auto"/>
              </w:rPr>
            </w:pPr>
            <w:r>
              <w:rPr>
                <w:rFonts w:ascii="Arial" w:cs="Arial" w:eastAsia="Arial" w:hAnsi="Arial"/>
                <w:sz w:val="9"/>
                <w:szCs w:val="9"/>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62,711</w:t>
            </w:r>
          </w:p>
        </w:tc>
        <w:tc>
          <w:tcPr>
            <w:tcW w:w="94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80" w:type="dxa"/>
            <w:vAlign w:val="bottom"/>
            <w:tcBorders>
              <w:bottom w:val="single" w:sz="8" w:color="2C2C2C"/>
            </w:tcBorders>
          </w:tcPr>
          <w:p>
            <w:pPr>
              <w:jc w:val="right"/>
              <w:ind w:right="400"/>
              <w:spacing w:after="0" w:line="216"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1100" w:type="dxa"/>
            <w:vAlign w:val="bottom"/>
            <w:tcBorders>
              <w:bottom w:val="single" w:sz="8" w:color="2C2C2C"/>
            </w:tcBorders>
            <w:gridSpan w:val="3"/>
          </w:tcPr>
          <w:p>
            <w:pPr>
              <w:ind w:left="260"/>
              <w:spacing w:after="0"/>
              <w:rPr>
                <w:sz w:val="20"/>
                <w:szCs w:val="20"/>
                <w:color w:val="auto"/>
              </w:rPr>
            </w:pPr>
            <w:r>
              <w:rPr>
                <w:rFonts w:ascii="Arial" w:cs="Arial" w:eastAsia="Arial" w:hAnsi="Arial"/>
                <w:sz w:val="12"/>
                <w:szCs w:val="12"/>
                <w:color w:val="0000FF"/>
              </w:rPr>
              <w:t>62,711</w:t>
            </w:r>
          </w:p>
        </w:tc>
        <w:tc>
          <w:tcPr>
            <w:tcW w:w="2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920" w:type="dxa"/>
            <w:vAlign w:val="bottom"/>
            <w:gridSpan w:val="7"/>
          </w:tcPr>
          <w:p>
            <w:pPr>
              <w:ind w:left="20"/>
              <w:spacing w:after="0"/>
              <w:rPr>
                <w:sz w:val="20"/>
                <w:szCs w:val="20"/>
                <w:color w:val="auto"/>
              </w:rPr>
            </w:pPr>
            <w:r>
              <w:rPr>
                <w:rFonts w:ascii="Arial" w:cs="Arial" w:eastAsia="Arial" w:hAnsi="Arial"/>
                <w:sz w:val="9"/>
                <w:szCs w:val="9"/>
                <w:color w:val="008000"/>
                <w:w w:val="95"/>
              </w:rPr>
              <w:t>1. Transaction was a grant of restricted share units and therefore has no price. The units are scheduled to vest on April 27, 2019.</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05/01/2018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01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2019-12-27T10:07:06Z</dcterms:created>
  <dcterms:modified xsi:type="dcterms:W3CDTF">2019-12-27T10:07:06Z</dcterms:modified>
</cp:coreProperties>
</file>