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7047230" cy="457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7962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Weatherholt Scott C</w:t>
        </w:r>
      </w:hyperlink>
    </w:p>
    <w:p>
      <w:pPr>
        <w:spacing w:after="0" w:line="3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11/01/2021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3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2"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02"/>
        <w:spacing w:after="0"/>
        <w:rPr>
          <w:sz w:val="20"/>
          <w:szCs w:val="20"/>
          <w:color w:val="auto"/>
        </w:rPr>
      </w:pPr>
      <w:r>
        <w:rPr>
          <w:rFonts w:ascii="Arial" w:cs="Arial" w:eastAsia="Arial" w:hAnsi="Arial"/>
          <w:sz w:val="17"/>
          <w:szCs w:val="17"/>
          <w:color w:val="0000FF"/>
        </w:rPr>
        <w:t>EVP, GC &amp; CCO</w:t>
      </w:r>
    </w:p>
    <w:p>
      <w:pPr>
        <w:spacing w:after="0" w:line="303" w:lineRule="exact"/>
        <w:rPr>
          <w:sz w:val="24"/>
          <w:szCs w:val="24"/>
          <w:color w:val="auto"/>
        </w:rPr>
      </w:pPr>
    </w:p>
    <w:p>
      <w:pPr>
        <w:sectPr>
          <w:pgSz w:w="11900" w:h="16838" w:orient="portrait"/>
          <w:cols w:equalWidth="0" w:num="3">
            <w:col w:w="3180" w:space="720"/>
            <w:col w:w="3200" w:space="638"/>
            <w:col w:w="3342"/>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95"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0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2"/>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8"/>
        </w:trPr>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163"/>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2"/>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8"/>
        </w:trPr>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r>
      <w:tr>
        <w:trPr>
          <w:trHeight w:val="183"/>
        </w:trPr>
        <w:tc>
          <w:tcPr>
            <w:tcW w:w="780" w:type="dxa"/>
            <w:vAlign w:val="bottom"/>
          </w:tcPr>
          <w:p>
            <w:pPr>
              <w:ind w:left="60"/>
              <w:spacing w:after="0"/>
              <w:rPr>
                <w:sz w:val="20"/>
                <w:szCs w:val="20"/>
                <w:color w:val="auto"/>
              </w:rPr>
            </w:pPr>
            <w:r>
              <w:rPr>
                <w:rFonts w:ascii="Arial" w:cs="Arial" w:eastAsia="Arial" w:hAnsi="Arial"/>
                <w:sz w:val="13"/>
                <w:szCs w:val="13"/>
                <w:color w:val="0000FF"/>
              </w:rPr>
              <w:t>2021</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8"/>
        </w:trPr>
        <w:tc>
          <w:tcPr>
            <w:tcW w:w="780" w:type="dxa"/>
            <w:vAlign w:val="bottom"/>
          </w:tcPr>
          <w:p>
            <w:pPr>
              <w:ind w:left="60"/>
              <w:spacing w:after="0"/>
              <w:rPr>
                <w:sz w:val="20"/>
                <w:szCs w:val="20"/>
                <w:color w:val="auto"/>
              </w:rPr>
            </w:pPr>
            <w:r>
              <w:rPr>
                <w:rFonts w:ascii="Arial" w:cs="Arial" w:eastAsia="Arial" w:hAnsi="Arial"/>
                <w:sz w:val="13"/>
                <w:szCs w:val="13"/>
                <w:color w:val="0000FF"/>
              </w:rPr>
              <w:t>Program</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201"/>
              <w:spacing w:after="0"/>
              <w:rPr>
                <w:sz w:val="20"/>
                <w:szCs w:val="20"/>
                <w:color w:val="auto"/>
              </w:rPr>
            </w:pPr>
            <w:r>
              <w:rPr>
                <w:rFonts w:ascii="Arial" w:cs="Arial" w:eastAsia="Arial" w:hAnsi="Arial"/>
                <w:sz w:val="13"/>
                <w:szCs w:val="13"/>
                <w:color w:val="0000FF"/>
              </w:rPr>
              <w:t>11/01/2021</w:t>
            </w:r>
          </w:p>
        </w:tc>
        <w:tc>
          <w:tcPr>
            <w:tcW w:w="1060" w:type="dxa"/>
            <w:vAlign w:val="bottom"/>
          </w:tcPr>
          <w:p>
            <w:pPr>
              <w:spacing w:after="0"/>
              <w:rPr>
                <w:sz w:val="16"/>
                <w:szCs w:val="16"/>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A</w:t>
            </w:r>
          </w:p>
        </w:tc>
        <w:tc>
          <w:tcPr>
            <w:tcW w:w="500" w:type="dxa"/>
            <w:vAlign w:val="bottom"/>
          </w:tcPr>
          <w:p>
            <w:pPr>
              <w:ind w:left="80"/>
              <w:spacing w:after="0"/>
              <w:rPr>
                <w:sz w:val="20"/>
                <w:szCs w:val="20"/>
                <w:color w:val="auto"/>
              </w:rPr>
            </w:pPr>
            <w:r>
              <w:rPr>
                <w:rFonts w:ascii="Arial" w:cs="Arial" w:eastAsia="Arial" w:hAnsi="Arial"/>
                <w:sz w:val="13"/>
                <w:szCs w:val="13"/>
                <w:color w:val="0000FF"/>
              </w:rPr>
              <w:t>60,570</w:t>
            </w:r>
          </w:p>
        </w:tc>
        <w:tc>
          <w:tcPr>
            <w:tcW w:w="300" w:type="dxa"/>
            <w:vAlign w:val="bottom"/>
          </w:tcPr>
          <w:p>
            <w:pPr>
              <w:spacing w:after="0"/>
              <w:rPr>
                <w:sz w:val="16"/>
                <w:szCs w:val="16"/>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jc w:val="right"/>
              <w:ind w:right="224"/>
              <w:spacing w:after="0"/>
              <w:rPr>
                <w:sz w:val="20"/>
                <w:szCs w:val="20"/>
                <w:color w:val="auto"/>
              </w:rPr>
            </w:pPr>
            <w:r>
              <w:rPr>
                <w:rFonts w:ascii="Arial" w:cs="Arial" w:eastAsia="Arial" w:hAnsi="Arial"/>
                <w:sz w:val="11"/>
                <w:szCs w:val="11"/>
                <w:color w:val="008000"/>
              </w:rPr>
              <w:t>(1)</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tcPr>
          <w:p>
            <w:pPr>
              <w:ind w:left="20"/>
              <w:spacing w:after="0" w:line="188" w:lineRule="exact"/>
              <w:rPr>
                <w:sz w:val="20"/>
                <w:szCs w:val="20"/>
                <w:color w:val="auto"/>
              </w:rPr>
            </w:pPr>
            <w:r>
              <w:rPr>
                <w:rFonts w:ascii="Arial" w:cs="Arial" w:eastAsia="Arial" w:hAnsi="Arial"/>
                <w:sz w:val="17"/>
                <w:szCs w:val="17"/>
                <w:color w:val="0000FF"/>
                <w:w w:val="96"/>
              </w:rPr>
              <w:t>60,570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300"/>
              <w:spacing w:after="0"/>
              <w:rPr>
                <w:sz w:val="20"/>
                <w:szCs w:val="20"/>
                <w:color w:val="auto"/>
              </w:rPr>
            </w:pPr>
            <w:r>
              <w:rPr>
                <w:rFonts w:ascii="Arial" w:cs="Arial" w:eastAsia="Arial" w:hAnsi="Arial"/>
                <w:sz w:val="13"/>
                <w:szCs w:val="13"/>
                <w:color w:val="0000FF"/>
              </w:rPr>
              <w:t>60,570</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r>
      <w:tr>
        <w:trPr>
          <w:trHeight w:val="104"/>
        </w:trPr>
        <w:tc>
          <w:tcPr>
            <w:tcW w:w="780" w:type="dxa"/>
            <w:vAlign w:val="bottom"/>
          </w:tcPr>
          <w:p>
            <w:pPr>
              <w:ind w:left="60"/>
              <w:spacing w:after="0" w:line="104" w:lineRule="exact"/>
              <w:rPr>
                <w:sz w:val="20"/>
                <w:szCs w:val="20"/>
                <w:color w:val="auto"/>
              </w:rPr>
            </w:pPr>
            <w:r>
              <w:rPr>
                <w:rFonts w:ascii="Arial" w:cs="Arial" w:eastAsia="Arial" w:hAnsi="Arial"/>
                <w:sz w:val="12"/>
                <w:szCs w:val="12"/>
                <w:color w:val="0000FF"/>
              </w:rPr>
              <w:t>Performance</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40"/>
              <w:spacing w:after="0" w:line="104" w:lineRule="exact"/>
              <w:rPr>
                <w:sz w:val="20"/>
                <w:szCs w:val="20"/>
                <w:color w:val="auto"/>
              </w:rPr>
            </w:pPr>
            <w:r>
              <w:rPr>
                <w:rFonts w:ascii="Arial" w:cs="Arial" w:eastAsia="Arial" w:hAnsi="Arial"/>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Share 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1"/>
        <w:spacing w:after="0" w:line="26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performance share units ("PSUs") granted on November 1, 2021 under the Weatherford Accelerating Growth &amp; Efficiency Program of the Second Amended and Restated 2019 Equity Incentive Plan. The number of PSUs reported is the target award and may be subject to a payout ranging from 0% to 100% of target award depending on the actual achievement of the performance goals at the end of the performance period. The performance period is the Issuer's fiscal years beginning on January 1, 2022 ending December 31, 2024.</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Jonathan B. Wolens by Power</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11/02/2021</w:t>
            </w:r>
          </w:p>
        </w:tc>
        <w:tc>
          <w:tcPr>
            <w:tcW w:w="0" w:type="dxa"/>
            <w:vAlign w:val="bottom"/>
          </w:tcPr>
          <w:p>
            <w:pPr>
              <w:spacing w:after="0"/>
              <w:rPr>
                <w:sz w:val="1"/>
                <w:szCs w:val="1"/>
                <w:color w:val="auto"/>
              </w:rPr>
            </w:pPr>
          </w:p>
        </w:tc>
      </w:tr>
      <w:tr>
        <w:trPr>
          <w:trHeight w:val="82"/>
        </w:trPr>
        <w:tc>
          <w:tcPr>
            <w:tcW w:w="780" w:type="dxa"/>
            <w:vAlign w:val="bottom"/>
            <w:vMerge w:val="restart"/>
          </w:tcPr>
          <w:p>
            <w:pPr>
              <w:spacing w:after="0" w:line="185" w:lineRule="exact"/>
              <w:rPr>
                <w:sz w:val="20"/>
                <w:szCs w:val="20"/>
                <w:color w:val="auto"/>
              </w:rPr>
            </w:pPr>
            <w:r>
              <w:rPr>
                <w:rFonts w:ascii="Arial" w:cs="Arial" w:eastAsia="Arial" w:hAnsi="Arial"/>
                <w:sz w:val="17"/>
                <w:szCs w:val="17"/>
                <w:color w:val="0000FF"/>
                <w:w w:val="92"/>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78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942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2021-11-02T18:36:01Z</dcterms:created>
  <dcterms:modified xsi:type="dcterms:W3CDTF">2021-11-02T18:36:01Z</dcterms:modified>
</cp:coreProperties>
</file>